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F48B8" w14:textId="3D22A1C2" w:rsidR="00EB0D1F" w:rsidRPr="00DD6A04" w:rsidRDefault="007A00FB" w:rsidP="007A00FB">
      <w:pPr>
        <w:pStyle w:val="Pagedecouverture"/>
        <w:rPr>
          <w:noProof/>
        </w:rPr>
      </w:pPr>
      <w:bookmarkStart w:id="0" w:name="LW_BM_COVERPAGE"/>
      <w:r>
        <w:rPr>
          <w:noProof/>
        </w:rPr>
        <w:pict w14:anchorId="5B115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9B8AB7A-3F67-4CAF-8524-1EFFA08D47F4" style="width:455.25pt;height:410.25pt">
            <v:imagedata r:id="rId11" o:title=""/>
          </v:shape>
        </w:pict>
      </w:r>
    </w:p>
    <w:p w14:paraId="7B760B5F" w14:textId="77777777" w:rsidR="005B1351" w:rsidRPr="00DD6A04" w:rsidRDefault="005B1351" w:rsidP="005B1351">
      <w:pPr>
        <w:rPr>
          <w:noProof/>
        </w:rPr>
        <w:sectPr w:rsidR="005B1351" w:rsidRPr="00DD6A04" w:rsidSect="007A00FB">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39"/>
          <w:pgMar w:top="1134" w:right="1417" w:bottom="1134" w:left="1417" w:header="709" w:footer="709" w:gutter="0"/>
          <w:pgNumType w:start="0"/>
          <w:cols w:space="720"/>
          <w:docGrid w:linePitch="360"/>
        </w:sectPr>
      </w:pPr>
      <w:bookmarkStart w:id="1" w:name="DWCons_LanguagesConcernedRange"/>
      <w:bookmarkEnd w:id="0"/>
    </w:p>
    <w:p w14:paraId="36882FCB" w14:textId="77777777" w:rsidR="00EB0D1F" w:rsidRPr="00DD6A04" w:rsidRDefault="00EB0D1F" w:rsidP="0053456F">
      <w:pPr>
        <w:pStyle w:val="Annextitle"/>
        <w:jc w:val="center"/>
        <w:rPr>
          <w:noProof/>
        </w:rPr>
      </w:pPr>
      <w:bookmarkStart w:id="2" w:name="_GoBack"/>
      <w:bookmarkEnd w:id="1"/>
      <w:bookmarkEnd w:id="2"/>
      <w:r>
        <w:rPr>
          <w:noProof/>
        </w:rPr>
        <w:lastRenderedPageBreak/>
        <w:t>PRILOGA</w:t>
      </w:r>
    </w:p>
    <w:p w14:paraId="73514131" w14:textId="77790374" w:rsidR="00040E32" w:rsidRPr="00DD6A04" w:rsidRDefault="00040E32" w:rsidP="0053456F">
      <w:pPr>
        <w:rPr>
          <w:noProof/>
        </w:rPr>
      </w:pPr>
      <w:r>
        <w:rPr>
          <w:noProof/>
        </w:rPr>
        <w:t xml:space="preserve"> </w:t>
      </w:r>
    </w:p>
    <w:p w14:paraId="20594786" w14:textId="3342A4D5" w:rsidR="003C6015" w:rsidRPr="00DD6A04" w:rsidRDefault="00751020" w:rsidP="00751020">
      <w:pPr>
        <w:pStyle w:val="TechnicalBlock"/>
        <w:ind w:left="-1134" w:right="-1134"/>
        <w:rPr>
          <w:b/>
          <w:noProof/>
        </w:rPr>
      </w:pPr>
      <w:r>
        <w:rPr>
          <w:noProof/>
        </w:rPr>
        <w:t>„</w:t>
      </w:r>
      <w:r>
        <w:rPr>
          <w:b/>
          <w:noProof/>
        </w:rPr>
        <w:t>ODDELEK 1: REFORME IN NALOŽBE V OKVIRU NAČRTA ZA OKREVANJE IN ODPORNOST</w:t>
      </w:r>
    </w:p>
    <w:p w14:paraId="1C1994BB" w14:textId="77777777" w:rsidR="003C6015" w:rsidRPr="00DD6A04" w:rsidRDefault="003C6015" w:rsidP="003C6015">
      <w:pPr>
        <w:spacing w:before="0" w:after="200" w:line="276" w:lineRule="auto"/>
        <w:rPr>
          <w:rFonts w:ascii="Calibri" w:hAnsi="Calibri"/>
          <w:noProof/>
          <w:sz w:val="22"/>
          <w:lang w:val="en-GB"/>
        </w:rPr>
      </w:pPr>
    </w:p>
    <w:p w14:paraId="1C6B947D" w14:textId="77777777" w:rsidR="003C6015" w:rsidRPr="00DD6A04" w:rsidRDefault="003C6015" w:rsidP="003C6015">
      <w:pPr>
        <w:tabs>
          <w:tab w:val="num" w:pos="850"/>
        </w:tabs>
        <w:spacing w:line="240" w:lineRule="auto"/>
        <w:ind w:left="850" w:hanging="850"/>
        <w:jc w:val="both"/>
        <w:rPr>
          <w:b/>
          <w:noProof/>
        </w:rPr>
      </w:pPr>
      <w:r>
        <w:rPr>
          <w:b/>
          <w:noProof/>
        </w:rPr>
        <w:t xml:space="preserve">Opis reform in naložb </w:t>
      </w:r>
    </w:p>
    <w:p w14:paraId="662C4EFB" w14:textId="77777777" w:rsidR="003C6015" w:rsidRPr="00DD6A04" w:rsidRDefault="003C6015" w:rsidP="003C6015">
      <w:pPr>
        <w:keepNext/>
        <w:tabs>
          <w:tab w:val="left" w:pos="850"/>
        </w:tabs>
        <w:spacing w:line="240" w:lineRule="auto"/>
        <w:ind w:left="130" w:hanging="130"/>
        <w:jc w:val="both"/>
        <w:outlineLvl w:val="0"/>
        <w:rPr>
          <w:b/>
          <w:smallCaps/>
          <w:noProof/>
        </w:rPr>
      </w:pPr>
      <w:r>
        <w:rPr>
          <w:b/>
          <w:smallCaps/>
          <w:noProof/>
        </w:rPr>
        <w:t xml:space="preserve">A. KOMPONENTA 1: OBNOVLJIVI VIRI ENERGIJE IN UČINKOVITA RABA ENERGIJE </w:t>
      </w:r>
    </w:p>
    <w:p w14:paraId="4CDEEFA4" w14:textId="77777777" w:rsidR="003C6015" w:rsidRPr="00DD6A04" w:rsidRDefault="003C6015" w:rsidP="003C6015">
      <w:pPr>
        <w:spacing w:line="240" w:lineRule="auto"/>
        <w:jc w:val="both"/>
        <w:rPr>
          <w:noProof/>
        </w:rPr>
      </w:pPr>
      <w:r>
        <w:rPr>
          <w:noProof/>
        </w:rPr>
        <w:t xml:space="preserve">Ta komponenta slovenskega načrta za okrevanje in odpornost obravnava več izzivov, s katerimi se soočajo proizvajalci in odjemalci energije iz obnovljivih virov v Sloveniji, ter stare in neučinkovite sisteme daljinskega ogrevanja, izgube v distribucijskem sistemu električne energije in omejeno uporabo sistemov upravljanja z energijo. </w:t>
      </w:r>
    </w:p>
    <w:p w14:paraId="1F9C351B" w14:textId="77777777" w:rsidR="003C6015" w:rsidRPr="00DD6A04" w:rsidRDefault="003C6015" w:rsidP="003C6015">
      <w:pPr>
        <w:spacing w:line="240" w:lineRule="auto"/>
        <w:jc w:val="both"/>
        <w:rPr>
          <w:noProof/>
        </w:rPr>
      </w:pPr>
      <w:r>
        <w:rPr>
          <w:noProof/>
        </w:rPr>
        <w:t>Cilji komponente so povečati rabo obnovljivih virov energije, izboljšati energetsko učinkovitost in zmanjšati emisije toplogrednih plinov. Reforme, ki podpirajo investicije, vključujejo regulativne spremembe za izkoriščanje potenciala proizvodnje energije iz obnovljivih virov, okrepitev elektroenergetskega omrežja in izboljšanje energetske učinkovitosti v gospodarstvu. Investicije, ki jih podpirajo te reforme, se nanašajo na povečanje deleža električne energije iz obnovljivih virov, zmanjšanje izgub v električnem omrežju in spodbujanje ukrepov za energetsko učinkovitost v industriji.</w:t>
      </w:r>
    </w:p>
    <w:p w14:paraId="46AE0E12" w14:textId="77777777" w:rsidR="003C6015" w:rsidRPr="00DD6A04" w:rsidRDefault="003C6015" w:rsidP="003C6015">
      <w:pPr>
        <w:spacing w:line="240" w:lineRule="auto"/>
        <w:jc w:val="both"/>
        <w:rPr>
          <w:noProof/>
        </w:rPr>
      </w:pPr>
      <w:r>
        <w:rPr>
          <w:noProof/>
        </w:rPr>
        <w:t>Te investicije in reforme bodo prispevale k specifičnim priporočilom za Slovenijo v zadnjih dveh letih, in sicer naj „ekonomsko politiko v zvezi z naložbami osredotoči na [...] nizkoogljični in energijski prehod“ (specifično priporočilo št. 3 iz leta 2019) ter „[u]smeri naložbe na zeleni [...] prehod, zlasti na čisto in učinkovito proizvodnjo in rabo energije, okoljsko infrastrukturo“ (specifično priporočilo št. 3 iz leta 2020).</w:t>
      </w:r>
    </w:p>
    <w:p w14:paraId="1E5EAA66" w14:textId="7C09A8E4"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30BBC713" w14:textId="77777777" w:rsidR="003C6015" w:rsidRPr="00DD6A04" w:rsidRDefault="003C6015" w:rsidP="003C6015">
      <w:pPr>
        <w:spacing w:line="240" w:lineRule="auto"/>
        <w:jc w:val="both"/>
        <w:rPr>
          <w:b/>
          <w:i/>
          <w:noProof/>
          <w:color w:val="4F81BD"/>
        </w:rPr>
      </w:pPr>
      <w:r>
        <w:rPr>
          <w:b/>
          <w:noProof/>
          <w:u w:val="single"/>
        </w:rPr>
        <w:t xml:space="preserve">A.1 </w:t>
      </w:r>
      <w:r>
        <w:rPr>
          <w:b/>
          <w:noProof/>
          <w:u w:val="single"/>
        </w:rPr>
        <w:tab/>
        <w:t>Opis reform in naložb za nepovratno finančno podporo</w:t>
      </w:r>
    </w:p>
    <w:p w14:paraId="2ED0EA56" w14:textId="77777777" w:rsidR="003C6015" w:rsidRPr="00DD6A04" w:rsidRDefault="003C6015" w:rsidP="003C6015">
      <w:pPr>
        <w:spacing w:line="240" w:lineRule="auto"/>
        <w:jc w:val="both"/>
        <w:rPr>
          <w:noProof/>
          <w:u w:val="single"/>
        </w:rPr>
      </w:pPr>
      <w:r>
        <w:rPr>
          <w:noProof/>
          <w:u w:val="single"/>
        </w:rPr>
        <w:t>Reforma A. Reforma spodbujanja obnovljivih virov energije v Sloveniji</w:t>
      </w:r>
    </w:p>
    <w:p w14:paraId="1FBAB531" w14:textId="77777777" w:rsidR="003C6015" w:rsidRPr="00DD6A04" w:rsidRDefault="003C6015" w:rsidP="003C6015">
      <w:pPr>
        <w:spacing w:line="240" w:lineRule="auto"/>
        <w:jc w:val="both"/>
        <w:rPr>
          <w:noProof/>
        </w:rPr>
      </w:pPr>
      <w:r>
        <w:rPr>
          <w:noProof/>
        </w:rPr>
        <w:t xml:space="preserve">Cilj reforme je pospešiti uvajanje tehnologij obnovljivih virov energije v elektroenergetskem sektorju. Reforma bo podprla tudi nacionalni prispevek k cilju Unije glede obnovljivih virov energije. </w:t>
      </w:r>
    </w:p>
    <w:p w14:paraId="58C5EB5F" w14:textId="23E6D571" w:rsidR="003C6015" w:rsidRPr="00DD6A04" w:rsidRDefault="003C6015" w:rsidP="003C6015">
      <w:pPr>
        <w:spacing w:line="240" w:lineRule="auto"/>
        <w:jc w:val="both"/>
        <w:rPr>
          <w:noProof/>
        </w:rPr>
      </w:pPr>
      <w:r>
        <w:rPr>
          <w:noProof/>
        </w:rPr>
        <w:t>Reforma bo izvedena z začetkom veljavnosti Zakona o spodbujanju rabe obnovljivih virov energije. Zakon bo podprl pospešitev in nastanek dodatnih projektov na področju obnovljivih virov energije, in sicer z odpravo nekaterih pravnih in upravnih ovir na področju prostorskega načrtovanja, in vzpostavitvijo enotne kontaktne točke za pomoč odjemalcem pri vseh postopkih za namestitev in uporabo obnovljivih virov energije. Reforma bo upoštevala tudi rezultate kartiranja biotske raznovrstnosti v zvezi s potencialom obnovljivih virov energije na celotnem ozemlju Republike Slovenije.</w:t>
      </w:r>
    </w:p>
    <w:p w14:paraId="3BE37BCC" w14:textId="77777777" w:rsidR="003C6015" w:rsidRPr="00DD6A04" w:rsidRDefault="003C6015" w:rsidP="003C6015">
      <w:pPr>
        <w:spacing w:line="240" w:lineRule="auto"/>
        <w:jc w:val="both"/>
        <w:rPr>
          <w:noProof/>
        </w:rPr>
      </w:pPr>
      <w:r>
        <w:rPr>
          <w:noProof/>
        </w:rPr>
        <w:t xml:space="preserve">Mejniki in cilji v zvezi z izvedbo reforme bodo doseženi do 31. decembra 2024. </w:t>
      </w:r>
    </w:p>
    <w:p w14:paraId="2111043F" w14:textId="6739BD53" w:rsidR="003C6015" w:rsidRPr="00DD6A04" w:rsidRDefault="003C6015" w:rsidP="003C6015">
      <w:pPr>
        <w:spacing w:line="240" w:lineRule="auto"/>
        <w:jc w:val="both"/>
        <w:rPr>
          <w:noProof/>
          <w:u w:val="single"/>
        </w:rPr>
      </w:pPr>
      <w:r>
        <w:rPr>
          <w:noProof/>
          <w:u w:val="single"/>
        </w:rPr>
        <w:t>Reforma C. Energetska učinkovitost v gospodarstvu</w:t>
      </w:r>
    </w:p>
    <w:p w14:paraId="24DCB523" w14:textId="77777777" w:rsidR="003C6015" w:rsidRPr="00DD6A04" w:rsidRDefault="003C6015" w:rsidP="003C6015">
      <w:pPr>
        <w:spacing w:line="240" w:lineRule="auto"/>
        <w:jc w:val="both"/>
        <w:rPr>
          <w:noProof/>
        </w:rPr>
      </w:pPr>
      <w:r>
        <w:rPr>
          <w:noProof/>
        </w:rPr>
        <w:t xml:space="preserve">Cilj reforme je povečati potencial energetske učinkovitosti industrije v Sloveniji. </w:t>
      </w:r>
    </w:p>
    <w:p w14:paraId="421DC7CC" w14:textId="65FCB92C" w:rsidR="003C6015" w:rsidRPr="00DD6A04" w:rsidRDefault="003C6015" w:rsidP="003C6015">
      <w:pPr>
        <w:spacing w:line="240" w:lineRule="auto"/>
        <w:jc w:val="both"/>
        <w:rPr>
          <w:noProof/>
        </w:rPr>
      </w:pPr>
      <w:bookmarkStart w:id="3" w:name="_Hlk142405023"/>
      <w:r>
        <w:rPr>
          <w:noProof/>
        </w:rPr>
        <w:t xml:space="preserve">Reforma bo spodbujala digitalizacijo poročanja in spremljanja energetske učinkovitosti. Akcijski načrt za upravljanje energetske učinkovitosti v gospodarstvu bo predvidel uvedbo digitaliziranega načina poročanja podatkov o energetskih pregledih podjetij ter spremljanje potencialnih in doseženih prihrankov energije. Digitaliziran način poročanja bodo uporabljala tako podjetja, zavezana k izvajanju energetskih pregledov po Zakonu o energetski učinkovitosti, kot podjetja, za katera zakon trenutno ne velja. Akcijski načrt bo predvidel tudi, da ustrezne institucije vključijo zahtevo za poročanje in izvajanje energetskih pregledov za podjetja, ki prejemajo podporo za izboljšanje energetske učinkovitosti. </w:t>
      </w:r>
    </w:p>
    <w:bookmarkEnd w:id="3"/>
    <w:p w14:paraId="1261F0AD" w14:textId="3CC6E810" w:rsidR="00C37D9D" w:rsidRPr="00DD6A04" w:rsidRDefault="00C37D9D" w:rsidP="003C6015">
      <w:pPr>
        <w:spacing w:line="240" w:lineRule="auto"/>
        <w:jc w:val="both"/>
        <w:rPr>
          <w:noProof/>
        </w:rPr>
      </w:pPr>
      <w:r>
        <w:rPr>
          <w:noProof/>
        </w:rPr>
        <w:t>Reforma naj bi z digitalizacijo administrativno razbremenila podjetja ter izboljšala in uskladila poročanje in spremljanje podatkov na področju energetske učinkovitosti, kar bo omogočilo boljše vrednotenje učinkov ukrepov energetske učinkovitosti.</w:t>
      </w:r>
    </w:p>
    <w:p w14:paraId="48A42B47" w14:textId="35C18A5A" w:rsidR="003C6015" w:rsidRPr="00DD6A04" w:rsidRDefault="003C6015" w:rsidP="003C6015">
      <w:pPr>
        <w:spacing w:line="240" w:lineRule="auto"/>
        <w:jc w:val="both"/>
        <w:rPr>
          <w:noProof/>
        </w:rPr>
      </w:pPr>
      <w:r>
        <w:rPr>
          <w:noProof/>
        </w:rPr>
        <w:t>Mejniki in cilji v zvezi z izvedbo reforme bodo doseženi do 31. decembra 2023.</w:t>
      </w:r>
    </w:p>
    <w:p w14:paraId="5D1D2B51" w14:textId="77777777" w:rsidR="003C6015" w:rsidRPr="00DD6A04" w:rsidRDefault="003C6015" w:rsidP="003C6015">
      <w:pPr>
        <w:spacing w:line="240" w:lineRule="auto"/>
        <w:jc w:val="both"/>
        <w:rPr>
          <w:noProof/>
          <w:u w:val="single"/>
        </w:rPr>
      </w:pPr>
      <w:r>
        <w:rPr>
          <w:noProof/>
          <w:u w:val="single"/>
        </w:rPr>
        <w:t>Investicija D. Energetsko učinkovito prestrukturiranje sistemov daljinskega ogrevanja na obnovljive vire energije</w:t>
      </w:r>
    </w:p>
    <w:p w14:paraId="4313AB2D" w14:textId="666E3E0F" w:rsidR="003C6015" w:rsidRPr="00DD6A04" w:rsidRDefault="003C6015" w:rsidP="003C6015">
      <w:pPr>
        <w:spacing w:line="240" w:lineRule="auto"/>
        <w:jc w:val="both"/>
        <w:rPr>
          <w:noProof/>
        </w:rPr>
      </w:pPr>
      <w:r>
        <w:rPr>
          <w:noProof/>
        </w:rPr>
        <w:t xml:space="preserve">Cilj te investicije je povečati energetsko učinkovitost sistemov daljinskega ogrevanja. V oceni iz leta 2017 je bilo ugotovljeno, da se le približno dve tretjini sistemov daljinskega ogrevanja štejeta za energetsko učinkovite. </w:t>
      </w:r>
    </w:p>
    <w:p w14:paraId="649AB4A3" w14:textId="644C22BC" w:rsidR="003C6015" w:rsidRPr="00DD6A04" w:rsidRDefault="003C6015" w:rsidP="003C6015">
      <w:pPr>
        <w:spacing w:line="240" w:lineRule="auto"/>
        <w:jc w:val="both"/>
        <w:rPr>
          <w:noProof/>
        </w:rPr>
      </w:pPr>
      <w:r>
        <w:rPr>
          <w:noProof/>
        </w:rPr>
        <w:t xml:space="preserve">S to investicijo bo pridobljenih 22 MW dodatnih zmogljivosti obnovljivih virov energije v sistemih daljinskega ogrevanja. Investicija bo izvedena z razpisnim postopkom, ki se bo začel leta 2022, in bo izključevala uporabo biomase, ki krši zahteve iz Direktive (EU) 2018/2001. </w:t>
      </w:r>
    </w:p>
    <w:p w14:paraId="1E10C282" w14:textId="0FB88E08" w:rsidR="003C6015" w:rsidRPr="00DD6A04" w:rsidRDefault="003C6015" w:rsidP="003C6015">
      <w:pPr>
        <w:spacing w:line="240" w:lineRule="auto"/>
        <w:jc w:val="both"/>
        <w:rPr>
          <w:noProof/>
        </w:rPr>
      </w:pPr>
      <w:r>
        <w:rPr>
          <w:noProof/>
        </w:rPr>
        <w:t>Glede na opis ukrepa in blažilne ukrepe, določene v načrtu za okrevanje in odpornost v skladu s tehničnimi smernicami za uporabo načela, da se ne škoduje bistveno (2021/C58/01), ta ukrep naj ne bi bistveno škodoval okoljskim ciljem v smislu člena 17 Uredbe (EU) 2020/852. Zlasti se pri nadgradnji učinkovitega sistema daljinskega ogrevanja kot vir toplote ne bodo uporabljala fosilna goriva, temveč izključno obnovljivi viri.</w:t>
      </w:r>
    </w:p>
    <w:p w14:paraId="0402C148" w14:textId="77777777" w:rsidR="003C6015" w:rsidRPr="00DD6A04" w:rsidRDefault="003C6015" w:rsidP="003C6015">
      <w:pPr>
        <w:spacing w:line="240" w:lineRule="auto"/>
        <w:jc w:val="both"/>
        <w:rPr>
          <w:noProof/>
        </w:rPr>
      </w:pPr>
      <w:r>
        <w:rPr>
          <w:noProof/>
        </w:rPr>
        <w:t>Mejniki in cilji v zvezi z izvedbo investicije bodo doseženi do 31. decembra 2025.</w:t>
      </w:r>
    </w:p>
    <w:p w14:paraId="78BDA8A4" w14:textId="77777777" w:rsidR="003C6015" w:rsidRPr="00DD6A04" w:rsidRDefault="003C6015" w:rsidP="003C6015">
      <w:pPr>
        <w:spacing w:line="240" w:lineRule="auto"/>
        <w:jc w:val="both"/>
        <w:rPr>
          <w:noProof/>
          <w:u w:val="single"/>
        </w:rPr>
      </w:pPr>
      <w:r>
        <w:rPr>
          <w:noProof/>
          <w:u w:val="single"/>
        </w:rPr>
        <w:t>Investicija F. Krepitev distribucijskega omrežja električne energije (transformatorske postaje)</w:t>
      </w:r>
    </w:p>
    <w:p w14:paraId="1EFB9258" w14:textId="77777777" w:rsidR="003C6015" w:rsidRPr="00DD6A04" w:rsidRDefault="003C6015" w:rsidP="003C6015">
      <w:pPr>
        <w:spacing w:line="240" w:lineRule="auto"/>
        <w:jc w:val="both"/>
        <w:rPr>
          <w:noProof/>
        </w:rPr>
      </w:pPr>
      <w:r>
        <w:rPr>
          <w:noProof/>
        </w:rPr>
        <w:t xml:space="preserve">Cilj investicije je posodobiti distribucijsko omrežje električne energije v skladu z naraščajočo porabo električne energije iz obnovljivih virov ter omogočiti priključitev proizvodnih naprav na obnovljive vire energije, toplotnih črpalk in polnilnih mest za električna vozila. </w:t>
      </w:r>
    </w:p>
    <w:p w14:paraId="3429E9B3" w14:textId="069EFD1E" w:rsidR="003C6015" w:rsidRPr="00DD6A04" w:rsidRDefault="003C6015" w:rsidP="003C6015">
      <w:pPr>
        <w:spacing w:line="240" w:lineRule="auto"/>
        <w:jc w:val="both"/>
        <w:rPr>
          <w:noProof/>
        </w:rPr>
      </w:pPr>
      <w:r>
        <w:rPr>
          <w:noProof/>
        </w:rPr>
        <w:t xml:space="preserve">Investicija vključuje izgradnjo in začetek obratovanja 838 novih transformatorskih postaj. </w:t>
      </w:r>
    </w:p>
    <w:p w14:paraId="46F7468D" w14:textId="77777777" w:rsidR="003C6015" w:rsidRPr="00DD6A04" w:rsidRDefault="003C6015" w:rsidP="003C6015">
      <w:pPr>
        <w:spacing w:line="240" w:lineRule="auto"/>
        <w:jc w:val="both"/>
        <w:rPr>
          <w:noProof/>
        </w:rPr>
      </w:pPr>
      <w:r>
        <w:rPr>
          <w:noProof/>
        </w:rPr>
        <w:t>Mejniki in cilji v zvezi z izvedbo investicije bodo doseženi do 30. junija 2026.</w:t>
      </w:r>
    </w:p>
    <w:p w14:paraId="1DAEF208" w14:textId="77777777" w:rsidR="009E34C1" w:rsidRPr="00DD6A04" w:rsidRDefault="009E34C1" w:rsidP="003C6015">
      <w:pPr>
        <w:spacing w:line="240" w:lineRule="auto"/>
        <w:jc w:val="both"/>
        <w:rPr>
          <w:noProof/>
          <w:lang w:val="en-GB"/>
        </w:rPr>
      </w:pPr>
    </w:p>
    <w:p w14:paraId="5EDB2D66" w14:textId="77777777" w:rsidR="009E34C1" w:rsidRPr="00DD6A04" w:rsidRDefault="009E34C1" w:rsidP="003C6015">
      <w:pPr>
        <w:spacing w:line="240" w:lineRule="auto"/>
        <w:jc w:val="both"/>
        <w:rPr>
          <w:noProof/>
          <w:lang w:val="en-GB"/>
        </w:rPr>
      </w:pPr>
    </w:p>
    <w:p w14:paraId="175A76DA" w14:textId="064C999E" w:rsidR="003C6015" w:rsidRPr="00DD6A04" w:rsidRDefault="003C6015" w:rsidP="003C6015">
      <w:pPr>
        <w:spacing w:line="240" w:lineRule="auto"/>
        <w:jc w:val="both"/>
        <w:rPr>
          <w:noProof/>
          <w:u w:val="single"/>
        </w:rPr>
      </w:pPr>
      <w:bookmarkStart w:id="4" w:name="_Hlk142405373"/>
      <w:r>
        <w:rPr>
          <w:noProof/>
          <w:u w:val="single"/>
        </w:rPr>
        <w:t>Investicija G. Naložbe v povečanje energetske učinkovitosti v gospodarstvu</w:t>
      </w:r>
    </w:p>
    <w:p w14:paraId="048E44B1" w14:textId="56554D2C" w:rsidR="003C6015" w:rsidRPr="00DD6A04" w:rsidRDefault="003C6015" w:rsidP="003C6015">
      <w:pPr>
        <w:spacing w:line="240" w:lineRule="auto"/>
        <w:jc w:val="both"/>
        <w:rPr>
          <w:noProof/>
        </w:rPr>
      </w:pPr>
      <w:bookmarkStart w:id="5" w:name="_Hlk142405334"/>
      <w:bookmarkEnd w:id="4"/>
      <w:r>
        <w:rPr>
          <w:noProof/>
        </w:rPr>
        <w:t xml:space="preserve">Cilj investicije je izboljšati poročanje in spremljanje energetske učinkovitosti v gospodarstvu. </w:t>
      </w:r>
    </w:p>
    <w:p w14:paraId="60EDF651" w14:textId="5A321494" w:rsidR="003C6015" w:rsidRPr="00DD6A04" w:rsidRDefault="003C6015" w:rsidP="003C6015">
      <w:pPr>
        <w:spacing w:line="240" w:lineRule="auto"/>
        <w:jc w:val="both"/>
        <w:rPr>
          <w:noProof/>
        </w:rPr>
      </w:pPr>
      <w:r>
        <w:rPr>
          <w:noProof/>
        </w:rPr>
        <w:t>Naložba je sestavljena iz vzpostavitve spletnega digitalnega orodja za poročanje, prek katerega bodo podjetjem dodeljene e-izkaznice za poročanje in spremljanje izvajanja energetskih pregledov. E-izkaznico o energetski učinkovitosti bo prejelo najmanj 20 podjetij.</w:t>
      </w:r>
      <w:r w:rsidR="00037751">
        <w:rPr>
          <w:noProof/>
        </w:rPr>
        <w:t xml:space="preserve"> </w:t>
      </w:r>
    </w:p>
    <w:p w14:paraId="7F0450A7" w14:textId="1FB247EC" w:rsidR="003C6015" w:rsidRPr="00DD6A04" w:rsidRDefault="003C6015" w:rsidP="003C6015">
      <w:pPr>
        <w:spacing w:line="240" w:lineRule="auto"/>
        <w:jc w:val="both"/>
        <w:rPr>
          <w:noProof/>
        </w:rPr>
      </w:pPr>
      <w:r>
        <w:rPr>
          <w:noProof/>
        </w:rPr>
        <w:t>Cilj v zvezi z izvedbo investicije bo dosežen do 31. marca 2026.</w:t>
      </w:r>
    </w:p>
    <w:bookmarkEnd w:id="5"/>
    <w:p w14:paraId="63970F9A" w14:textId="77777777" w:rsidR="003C6015" w:rsidRPr="00DD6A04" w:rsidRDefault="003C6015" w:rsidP="003C6015">
      <w:pPr>
        <w:spacing w:line="240" w:lineRule="auto"/>
        <w:ind w:left="850"/>
        <w:jc w:val="both"/>
        <w:rPr>
          <w:noProof/>
          <w:lang w:val="en-GB"/>
        </w:rPr>
        <w:sectPr w:rsidR="003C6015" w:rsidRPr="00DD6A04" w:rsidSect="00842956">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p>
    <w:p w14:paraId="353E6761" w14:textId="77777777" w:rsidR="003C6015" w:rsidRPr="00DD6A04" w:rsidRDefault="003C6015" w:rsidP="003C6015">
      <w:pPr>
        <w:spacing w:line="240" w:lineRule="auto"/>
        <w:ind w:left="850"/>
        <w:jc w:val="both"/>
        <w:rPr>
          <w:noProof/>
          <w:lang w:val="en-GB"/>
        </w:rPr>
      </w:pPr>
    </w:p>
    <w:p w14:paraId="3610C550" w14:textId="77777777" w:rsidR="003C6015" w:rsidRPr="00DD6A04" w:rsidRDefault="003C6015" w:rsidP="003C6015">
      <w:pPr>
        <w:spacing w:line="240" w:lineRule="auto"/>
        <w:ind w:left="850"/>
        <w:jc w:val="both"/>
        <w:rPr>
          <w:b/>
          <w:noProof/>
          <w:u w:val="single"/>
        </w:rPr>
      </w:pPr>
      <w:r>
        <w:rPr>
          <w:b/>
          <w:noProof/>
          <w:u w:val="single"/>
        </w:rPr>
        <w:t xml:space="preserve">A.2 </w:t>
      </w:r>
      <w:r>
        <w:rPr>
          <w:b/>
          <w:noProof/>
          <w:u w:val="single"/>
        </w:rPr>
        <w:tab/>
        <w:t>Mejniki, cilji, kazalniki in časovni razpored za spremljanje in izvajanje nepovratne finančne podpore</w:t>
      </w:r>
    </w:p>
    <w:tbl>
      <w:tblPr>
        <w:tblW w:w="15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499"/>
        <w:gridCol w:w="1029"/>
        <w:gridCol w:w="1701"/>
        <w:gridCol w:w="1719"/>
        <w:gridCol w:w="1116"/>
        <w:gridCol w:w="993"/>
        <w:gridCol w:w="992"/>
        <w:gridCol w:w="850"/>
        <w:gridCol w:w="709"/>
        <w:gridCol w:w="3575"/>
      </w:tblGrid>
      <w:tr w:rsidR="003C6015" w:rsidRPr="00DD6A04" w14:paraId="517CA3CD" w14:textId="77777777" w:rsidTr="00BE4788">
        <w:trPr>
          <w:trHeight w:val="740"/>
          <w:tblHeader/>
          <w:jc w:val="center"/>
        </w:trPr>
        <w:tc>
          <w:tcPr>
            <w:tcW w:w="1361" w:type="dxa"/>
            <w:vMerge w:val="restart"/>
            <w:shd w:val="clear" w:color="auto" w:fill="BDD7EE"/>
            <w:vAlign w:val="center"/>
            <w:hideMark/>
          </w:tcPr>
          <w:p w14:paraId="3C6E5612" w14:textId="77777777" w:rsidR="003C6015" w:rsidRPr="00DD6A04" w:rsidRDefault="003C6015" w:rsidP="003C6015">
            <w:pPr>
              <w:spacing w:before="0" w:after="0" w:line="240" w:lineRule="auto"/>
              <w:jc w:val="center"/>
              <w:rPr>
                <w:rFonts w:eastAsia="Times New Roman"/>
                <w:b/>
                <w:noProof/>
              </w:rPr>
            </w:pPr>
            <w:r>
              <w:rPr>
                <w:b/>
                <w:noProof/>
              </w:rPr>
              <w:t>Zaporedna številka</w:t>
            </w:r>
          </w:p>
        </w:tc>
        <w:tc>
          <w:tcPr>
            <w:tcW w:w="1499" w:type="dxa"/>
            <w:vMerge w:val="restart"/>
            <w:shd w:val="clear" w:color="auto" w:fill="BDD7EE"/>
            <w:vAlign w:val="center"/>
            <w:hideMark/>
          </w:tcPr>
          <w:p w14:paraId="6FE8B95E" w14:textId="77777777" w:rsidR="003C6015" w:rsidRPr="00DD6A04" w:rsidRDefault="003C6015" w:rsidP="003C6015">
            <w:pPr>
              <w:spacing w:before="0" w:after="0" w:line="240" w:lineRule="auto"/>
              <w:jc w:val="center"/>
              <w:rPr>
                <w:rFonts w:eastAsia="Times New Roman"/>
                <w:b/>
                <w:noProof/>
              </w:rPr>
            </w:pPr>
            <w:r>
              <w:rPr>
                <w:b/>
                <w:noProof/>
              </w:rPr>
              <w:t>Povezani ukrep (reforma ali naložba)</w:t>
            </w:r>
          </w:p>
        </w:tc>
        <w:tc>
          <w:tcPr>
            <w:tcW w:w="1029" w:type="dxa"/>
            <w:vMerge w:val="restart"/>
            <w:shd w:val="clear" w:color="auto" w:fill="BDD7EE"/>
            <w:vAlign w:val="center"/>
            <w:hideMark/>
          </w:tcPr>
          <w:p w14:paraId="4E1C3A44" w14:textId="51B3C9ED" w:rsidR="003C6015" w:rsidRPr="00DD6A04" w:rsidRDefault="003C6015" w:rsidP="003C6015">
            <w:pPr>
              <w:spacing w:before="0" w:after="0" w:line="240" w:lineRule="auto"/>
              <w:jc w:val="center"/>
              <w:rPr>
                <w:rFonts w:eastAsia="Times New Roman"/>
                <w:b/>
                <w:noProof/>
              </w:rPr>
            </w:pPr>
            <w:r>
              <w:rPr>
                <w:b/>
                <w:noProof/>
              </w:rPr>
              <w:t>Mejnik/cilj</w:t>
            </w:r>
          </w:p>
        </w:tc>
        <w:tc>
          <w:tcPr>
            <w:tcW w:w="1701" w:type="dxa"/>
            <w:vMerge w:val="restart"/>
            <w:shd w:val="clear" w:color="auto" w:fill="BDD7EE"/>
            <w:vAlign w:val="center"/>
            <w:hideMark/>
          </w:tcPr>
          <w:p w14:paraId="2BF42AEE" w14:textId="77777777" w:rsidR="003C6015" w:rsidRPr="00DD6A04" w:rsidRDefault="003C6015" w:rsidP="003C6015">
            <w:pPr>
              <w:spacing w:before="0" w:after="0" w:line="240" w:lineRule="auto"/>
              <w:jc w:val="center"/>
              <w:rPr>
                <w:rFonts w:eastAsia="Times New Roman"/>
                <w:b/>
                <w:noProof/>
              </w:rPr>
            </w:pPr>
            <w:r>
              <w:rPr>
                <w:b/>
                <w:noProof/>
              </w:rPr>
              <w:t>Ime</w:t>
            </w:r>
          </w:p>
        </w:tc>
        <w:tc>
          <w:tcPr>
            <w:tcW w:w="1719" w:type="dxa"/>
            <w:vMerge w:val="restart"/>
            <w:shd w:val="clear" w:color="auto" w:fill="BDD7EE"/>
            <w:vAlign w:val="center"/>
            <w:hideMark/>
          </w:tcPr>
          <w:p w14:paraId="511FB956" w14:textId="77777777" w:rsidR="003C6015" w:rsidRPr="00DD6A04" w:rsidRDefault="003C6015" w:rsidP="003C6015">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101" w:type="dxa"/>
            <w:gridSpan w:val="3"/>
            <w:shd w:val="clear" w:color="auto" w:fill="BDD7EE"/>
            <w:vAlign w:val="center"/>
            <w:hideMark/>
          </w:tcPr>
          <w:p w14:paraId="49160005" w14:textId="77777777" w:rsidR="003C6015" w:rsidRPr="00DD6A04" w:rsidRDefault="003C6015" w:rsidP="003C6015">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559" w:type="dxa"/>
            <w:gridSpan w:val="2"/>
            <w:shd w:val="clear" w:color="auto" w:fill="BDD7EE"/>
            <w:vAlign w:val="center"/>
            <w:hideMark/>
          </w:tcPr>
          <w:p w14:paraId="6C0B893E" w14:textId="77777777" w:rsidR="003C6015" w:rsidRPr="00DD6A04" w:rsidRDefault="003C6015" w:rsidP="003C6015">
            <w:pPr>
              <w:spacing w:before="0" w:after="0" w:line="240" w:lineRule="auto"/>
              <w:jc w:val="center"/>
              <w:rPr>
                <w:rFonts w:eastAsia="Times New Roman"/>
                <w:b/>
                <w:noProof/>
              </w:rPr>
            </w:pPr>
            <w:r>
              <w:rPr>
                <w:b/>
                <w:noProof/>
              </w:rPr>
              <w:t xml:space="preserve">Okvirni časovni razpored za dokončanje </w:t>
            </w:r>
          </w:p>
        </w:tc>
        <w:tc>
          <w:tcPr>
            <w:tcW w:w="3575" w:type="dxa"/>
            <w:vMerge w:val="restart"/>
            <w:shd w:val="clear" w:color="auto" w:fill="BDD7EE"/>
            <w:vAlign w:val="center"/>
            <w:hideMark/>
          </w:tcPr>
          <w:p w14:paraId="119D1007" w14:textId="77777777" w:rsidR="003C6015" w:rsidRPr="00DD6A04" w:rsidRDefault="003C6015" w:rsidP="003C6015">
            <w:pPr>
              <w:spacing w:before="0" w:after="0" w:line="240" w:lineRule="auto"/>
              <w:jc w:val="center"/>
              <w:rPr>
                <w:rFonts w:eastAsia="Times New Roman"/>
                <w:b/>
                <w:noProof/>
              </w:rPr>
            </w:pPr>
            <w:r>
              <w:rPr>
                <w:b/>
                <w:noProof/>
              </w:rPr>
              <w:t>Opis vsakega mejnika in cilja</w:t>
            </w:r>
          </w:p>
        </w:tc>
      </w:tr>
      <w:tr w:rsidR="003C6015" w:rsidRPr="00DD6A04" w14:paraId="492B5CB7" w14:textId="77777777" w:rsidTr="00BE4788">
        <w:trPr>
          <w:trHeight w:val="751"/>
          <w:tblHeader/>
          <w:jc w:val="center"/>
        </w:trPr>
        <w:tc>
          <w:tcPr>
            <w:tcW w:w="1361" w:type="dxa"/>
            <w:vMerge/>
            <w:vAlign w:val="center"/>
            <w:hideMark/>
          </w:tcPr>
          <w:p w14:paraId="35A4BF59" w14:textId="77777777" w:rsidR="003C6015" w:rsidRPr="00DD6A04" w:rsidRDefault="003C6015" w:rsidP="003C6015">
            <w:pPr>
              <w:spacing w:before="0" w:after="0" w:line="240" w:lineRule="auto"/>
              <w:rPr>
                <w:rFonts w:eastAsia="Times New Roman"/>
                <w:b/>
                <w:noProof/>
                <w:sz w:val="22"/>
                <w:lang w:val="en-GB" w:eastAsia="en-GB"/>
              </w:rPr>
            </w:pPr>
          </w:p>
        </w:tc>
        <w:tc>
          <w:tcPr>
            <w:tcW w:w="1499" w:type="dxa"/>
            <w:vMerge/>
            <w:vAlign w:val="center"/>
            <w:hideMark/>
          </w:tcPr>
          <w:p w14:paraId="0C4D84F0" w14:textId="77777777" w:rsidR="003C6015" w:rsidRPr="00DD6A04" w:rsidRDefault="003C6015" w:rsidP="003C6015">
            <w:pPr>
              <w:spacing w:before="0" w:after="0" w:line="240" w:lineRule="auto"/>
              <w:rPr>
                <w:rFonts w:eastAsia="Times New Roman"/>
                <w:b/>
                <w:noProof/>
                <w:sz w:val="22"/>
                <w:lang w:val="en-GB" w:eastAsia="en-GB"/>
              </w:rPr>
            </w:pPr>
          </w:p>
        </w:tc>
        <w:tc>
          <w:tcPr>
            <w:tcW w:w="1029" w:type="dxa"/>
            <w:vMerge/>
            <w:vAlign w:val="center"/>
            <w:hideMark/>
          </w:tcPr>
          <w:p w14:paraId="14F1A93B" w14:textId="77777777" w:rsidR="003C6015" w:rsidRPr="00DD6A04" w:rsidRDefault="003C6015" w:rsidP="003C6015">
            <w:pPr>
              <w:spacing w:before="0" w:after="0" w:line="240" w:lineRule="auto"/>
              <w:rPr>
                <w:rFonts w:eastAsia="Times New Roman"/>
                <w:b/>
                <w:noProof/>
                <w:sz w:val="22"/>
                <w:lang w:val="en-GB" w:eastAsia="en-GB"/>
              </w:rPr>
            </w:pPr>
          </w:p>
        </w:tc>
        <w:tc>
          <w:tcPr>
            <w:tcW w:w="1701" w:type="dxa"/>
            <w:vMerge/>
            <w:vAlign w:val="center"/>
            <w:hideMark/>
          </w:tcPr>
          <w:p w14:paraId="15F5FF33" w14:textId="77777777" w:rsidR="003C6015" w:rsidRPr="00DD6A04" w:rsidRDefault="003C6015" w:rsidP="003C6015">
            <w:pPr>
              <w:spacing w:before="0" w:after="0" w:line="240" w:lineRule="auto"/>
              <w:rPr>
                <w:rFonts w:eastAsia="Times New Roman"/>
                <w:b/>
                <w:noProof/>
                <w:sz w:val="22"/>
                <w:lang w:val="en-GB" w:eastAsia="en-GB"/>
              </w:rPr>
            </w:pPr>
          </w:p>
        </w:tc>
        <w:tc>
          <w:tcPr>
            <w:tcW w:w="1719" w:type="dxa"/>
            <w:vMerge/>
            <w:vAlign w:val="center"/>
            <w:hideMark/>
          </w:tcPr>
          <w:p w14:paraId="194BF4F0" w14:textId="77777777" w:rsidR="003C6015" w:rsidRPr="00DD6A04" w:rsidRDefault="003C6015" w:rsidP="003C6015">
            <w:pPr>
              <w:spacing w:before="0" w:after="0" w:line="240" w:lineRule="auto"/>
              <w:rPr>
                <w:rFonts w:eastAsia="Times New Roman"/>
                <w:b/>
                <w:noProof/>
                <w:sz w:val="22"/>
                <w:lang w:val="en-GB" w:eastAsia="en-GB"/>
              </w:rPr>
            </w:pPr>
          </w:p>
        </w:tc>
        <w:tc>
          <w:tcPr>
            <w:tcW w:w="1116" w:type="dxa"/>
            <w:shd w:val="clear" w:color="auto" w:fill="BDD7EE"/>
            <w:vAlign w:val="center"/>
            <w:hideMark/>
          </w:tcPr>
          <w:p w14:paraId="12005183" w14:textId="77777777" w:rsidR="003C6015" w:rsidRPr="00DD6A04" w:rsidRDefault="003C6015" w:rsidP="003C6015">
            <w:pPr>
              <w:spacing w:before="0" w:after="0" w:line="240" w:lineRule="auto"/>
              <w:jc w:val="center"/>
              <w:rPr>
                <w:rFonts w:eastAsia="Times New Roman"/>
                <w:b/>
                <w:noProof/>
                <w:sz w:val="22"/>
              </w:rPr>
            </w:pPr>
            <w:r>
              <w:rPr>
                <w:b/>
                <w:noProof/>
                <w:sz w:val="22"/>
              </w:rPr>
              <w:t>Enota merjenja</w:t>
            </w:r>
          </w:p>
        </w:tc>
        <w:tc>
          <w:tcPr>
            <w:tcW w:w="993" w:type="dxa"/>
            <w:shd w:val="clear" w:color="auto" w:fill="BDD7EE"/>
            <w:vAlign w:val="center"/>
            <w:hideMark/>
          </w:tcPr>
          <w:p w14:paraId="3143DC84" w14:textId="77777777" w:rsidR="003C6015" w:rsidRPr="00DD6A04" w:rsidRDefault="003C6015" w:rsidP="003C6015">
            <w:pPr>
              <w:spacing w:before="0" w:after="0" w:line="240" w:lineRule="auto"/>
              <w:jc w:val="center"/>
              <w:rPr>
                <w:rFonts w:eastAsia="Times New Roman"/>
                <w:b/>
                <w:noProof/>
                <w:sz w:val="22"/>
              </w:rPr>
            </w:pPr>
            <w:r>
              <w:rPr>
                <w:b/>
                <w:noProof/>
                <w:sz w:val="22"/>
              </w:rPr>
              <w:t xml:space="preserve">Izhodiščna raven </w:t>
            </w:r>
          </w:p>
        </w:tc>
        <w:tc>
          <w:tcPr>
            <w:tcW w:w="992" w:type="dxa"/>
            <w:shd w:val="clear" w:color="auto" w:fill="BDD7EE"/>
            <w:vAlign w:val="center"/>
            <w:hideMark/>
          </w:tcPr>
          <w:p w14:paraId="136F8A33" w14:textId="77777777" w:rsidR="003C6015" w:rsidRPr="00DD6A04" w:rsidRDefault="003C6015" w:rsidP="003C6015">
            <w:pPr>
              <w:spacing w:before="0" w:after="0" w:line="240" w:lineRule="auto"/>
              <w:jc w:val="center"/>
              <w:rPr>
                <w:rFonts w:eastAsia="Times New Roman"/>
                <w:b/>
                <w:noProof/>
                <w:sz w:val="22"/>
              </w:rPr>
            </w:pPr>
            <w:r>
              <w:rPr>
                <w:b/>
                <w:noProof/>
                <w:sz w:val="22"/>
              </w:rPr>
              <w:t xml:space="preserve">Ciljna raven </w:t>
            </w:r>
          </w:p>
        </w:tc>
        <w:tc>
          <w:tcPr>
            <w:tcW w:w="850" w:type="dxa"/>
            <w:shd w:val="clear" w:color="auto" w:fill="BDD7EE"/>
            <w:vAlign w:val="center"/>
            <w:hideMark/>
          </w:tcPr>
          <w:p w14:paraId="39157CA0" w14:textId="77777777" w:rsidR="003C6015" w:rsidRPr="00DD6A04" w:rsidRDefault="003C6015" w:rsidP="003C6015">
            <w:pPr>
              <w:spacing w:before="0" w:after="0" w:line="240" w:lineRule="auto"/>
              <w:jc w:val="center"/>
              <w:rPr>
                <w:rFonts w:eastAsia="Times New Roman"/>
                <w:b/>
                <w:noProof/>
                <w:sz w:val="22"/>
              </w:rPr>
            </w:pPr>
            <w:r>
              <w:rPr>
                <w:b/>
                <w:noProof/>
                <w:sz w:val="22"/>
              </w:rPr>
              <w:t>Četrtletje</w:t>
            </w:r>
          </w:p>
        </w:tc>
        <w:tc>
          <w:tcPr>
            <w:tcW w:w="709" w:type="dxa"/>
            <w:shd w:val="clear" w:color="auto" w:fill="BDD7EE"/>
            <w:vAlign w:val="center"/>
            <w:hideMark/>
          </w:tcPr>
          <w:p w14:paraId="085AE583" w14:textId="77777777" w:rsidR="003C6015" w:rsidRPr="00DD6A04" w:rsidRDefault="003C6015" w:rsidP="003C6015">
            <w:pPr>
              <w:spacing w:before="0" w:after="0" w:line="240" w:lineRule="auto"/>
              <w:jc w:val="center"/>
              <w:rPr>
                <w:rFonts w:eastAsia="Times New Roman"/>
                <w:b/>
                <w:noProof/>
                <w:sz w:val="22"/>
              </w:rPr>
            </w:pPr>
            <w:r>
              <w:rPr>
                <w:b/>
                <w:noProof/>
                <w:sz w:val="22"/>
              </w:rPr>
              <w:t>Leto</w:t>
            </w:r>
          </w:p>
        </w:tc>
        <w:tc>
          <w:tcPr>
            <w:tcW w:w="3575" w:type="dxa"/>
            <w:vMerge/>
            <w:vAlign w:val="center"/>
            <w:hideMark/>
          </w:tcPr>
          <w:p w14:paraId="22238ED6" w14:textId="77777777" w:rsidR="003C6015" w:rsidRPr="00DD6A04" w:rsidRDefault="003C6015" w:rsidP="003C6015">
            <w:pPr>
              <w:spacing w:before="0" w:after="0" w:line="240" w:lineRule="auto"/>
              <w:rPr>
                <w:rFonts w:eastAsia="Times New Roman"/>
                <w:b/>
                <w:noProof/>
                <w:sz w:val="22"/>
                <w:lang w:val="en-GB" w:eastAsia="en-GB"/>
              </w:rPr>
            </w:pPr>
          </w:p>
        </w:tc>
      </w:tr>
      <w:tr w:rsidR="003C6015" w:rsidRPr="00DD6A04" w14:paraId="2E8D575F"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1F90C26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1</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0F7FC9A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A: Reforma spodbujanja obnovljivih virov energije v Sloveniji</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346807C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15FE22C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Začetek veljavnosti Zakona o spodbujanju rabe obnovljivih virov energije </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5189C1F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Zakonodajna določba o začetku veljavnosti Zakona o spodbujanju rabe obnovljivih virov energije</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CE373C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CDE737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6D00569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4107188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4844D11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2022</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1315C48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Zakon bo urejal uporabo obnovljivih virov energije s strani države in občin ter določal zavezujoč cilj za delež energije iz obnovljivih virov v bruto končni porabi v Republiki Sloveniji. </w:t>
            </w:r>
          </w:p>
          <w:p w14:paraId="45216E32" w14:textId="60B262D5" w:rsidR="003C6015" w:rsidRPr="00DD6A04" w:rsidRDefault="003C6015" w:rsidP="003C6015">
            <w:pPr>
              <w:spacing w:before="0" w:after="0" w:line="240" w:lineRule="auto"/>
              <w:rPr>
                <w:rFonts w:eastAsia="Times New Roman"/>
                <w:noProof/>
                <w:color w:val="006100"/>
                <w:sz w:val="22"/>
                <w:highlight w:val="yellow"/>
              </w:rPr>
            </w:pPr>
            <w:r>
              <w:rPr>
                <w:noProof/>
                <w:color w:val="006100"/>
                <w:sz w:val="22"/>
              </w:rPr>
              <w:t>Poleg tega bo določal ukrepe za doseganje tega cilja in načine njihovega financiranja, vključno s skrajšanjem postopkov za pridobitev dovoljenj in soglasij za namestitev, priključitev in delovanje proizvodnih naprav na obnovljive vire energije (sončne in vetrne) vseh velikosti. Z njim se bodo zlasti izvajala priporočila, ki izhajajo iz stalne tehnične pomoči pri reviziji zakonodaje o prostorskem načrtovanju vetrnih elektrarn, ki se financira v okviru instrumenta za tehnično podporo.</w:t>
            </w:r>
            <w:r w:rsidR="00037751">
              <w:rPr>
                <w:noProof/>
                <w:color w:val="006100"/>
                <w:sz w:val="22"/>
              </w:rPr>
              <w:t xml:space="preserve"> </w:t>
            </w:r>
            <w:r>
              <w:rPr>
                <w:noProof/>
                <w:color w:val="006100"/>
                <w:sz w:val="22"/>
              </w:rPr>
              <w:t>Zakon bo vključeval tudi potrdila o izvoru energije iz obnovljivih virov v sektorju ogrevanja, hlajenja ter prometa, upravne postopke ter obveščanje in usposabljanje inštalaterjev. Z njim bo vzpostavljena enotna kontaktna točka za vlagatelje v proizvodne naprave.</w:t>
            </w:r>
          </w:p>
        </w:tc>
      </w:tr>
      <w:tr w:rsidR="003C6015" w:rsidRPr="00DD6A04" w14:paraId="2AFE5D31"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7F5D9DD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457E3CF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A: Reforma spodbujanja obnovljivih virov energije v Sloveniji</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16F6B31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11424D6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Operativna enotna točka za podporo vlagateljem pri pridobivanju dovoljenj za namestitev in priključitev proizvodnih naprav na obnovljive vire energije</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379F670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Operativna enotna kontaktna točka </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3FEA0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403009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223B65A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5BB83AC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45B375C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2022</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10B92CF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Kontaktna točka bo usmerjala vlagatelje skozi zahtevke za dovoljenja in druge dokumente ter pomagala pri celotnem upravnem postopku. Na zahtevo prijavitelja bo usmerjala zahtevke za dovoljenja in druge dokumente ter mu pomagala skozi celoten upravni postopek.</w:t>
            </w:r>
          </w:p>
        </w:tc>
      </w:tr>
      <w:tr w:rsidR="003C6015" w:rsidRPr="00DD6A04" w14:paraId="2D15D547"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7B49DE6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3</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5BE5880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A: Reforma spodbujanja obnovljivih virov energije v Sloveniji</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0F9F7AF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743C043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Skrajšanje in poenostavitev priključevanja naprav za samooskrbo z zmogljivostjo do 20 kW</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3D7B2A5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3915376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 (dni)</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7DFA7F4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60</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0DF15DA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FA26C3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151E5BB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2024</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48B0436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Zakon o spodbujanju rabe obnovljivih virov energije bo za priključitev naprav z zmogljivostjo do 20 kW določal največ 30 dni. Organi bodo spoštovali načela sorazmernosti, preglednosti, energetske učinkovitosti in nediskriminacije.</w:t>
            </w:r>
          </w:p>
        </w:tc>
      </w:tr>
      <w:tr w:rsidR="003C6015" w:rsidRPr="00DD6A04" w14:paraId="1C21ABDD"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39A3D3F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4</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5D0890E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 Energetsko učinkovito prestrukturiranje sistemov daljinskega ogrevanja na obnovljive vire energije</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2CAB379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3F80A7F9" w14:textId="344E40D7" w:rsidR="003C6015" w:rsidRPr="00DD6A04" w:rsidRDefault="00B12A92" w:rsidP="003C6015">
            <w:pPr>
              <w:spacing w:before="0" w:after="0" w:line="240" w:lineRule="auto"/>
              <w:rPr>
                <w:rFonts w:eastAsia="Times New Roman"/>
                <w:noProof/>
                <w:color w:val="006100"/>
                <w:sz w:val="22"/>
              </w:rPr>
            </w:pPr>
            <w:r>
              <w:rPr>
                <w:noProof/>
                <w:color w:val="006100"/>
                <w:sz w:val="22"/>
              </w:rPr>
              <w:t>Objava javnega razpisa za obnovljive vire energije v sistemih daljinskega ogrevanja</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45B8C88F" w14:textId="391A5026" w:rsidR="003C6015" w:rsidRPr="00DD6A04" w:rsidRDefault="00B12A92" w:rsidP="003C6015">
            <w:pPr>
              <w:spacing w:before="0" w:after="0" w:line="240" w:lineRule="auto"/>
              <w:rPr>
                <w:rFonts w:eastAsia="Times New Roman"/>
                <w:noProof/>
                <w:color w:val="006100"/>
                <w:sz w:val="22"/>
              </w:rPr>
            </w:pPr>
            <w:r>
              <w:rPr>
                <w:noProof/>
                <w:color w:val="006100"/>
                <w:sz w:val="22"/>
              </w:rPr>
              <w:t>Objavljen javni razpis</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5CF2EC4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6E5ED02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4663839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2BD012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57E28E0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2022</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296ED658" w14:textId="17046077" w:rsidR="003C6015" w:rsidRPr="00DD6A04" w:rsidRDefault="003C6015" w:rsidP="003C6015">
            <w:pPr>
              <w:spacing w:before="0" w:after="0" w:line="240" w:lineRule="auto"/>
              <w:rPr>
                <w:rFonts w:eastAsia="Times New Roman"/>
                <w:noProof/>
                <w:color w:val="006100"/>
                <w:sz w:val="22"/>
              </w:rPr>
            </w:pPr>
            <w:r>
              <w:rPr>
                <w:noProof/>
                <w:color w:val="006100"/>
                <w:sz w:val="22"/>
              </w:rPr>
              <w:t>Objavljen bo javni razpis za investicije, ki povečujejo delež obnovljivih virov energije v sistemih daljinskega ogrevanja. Razpis bo odprt, dokler proračunska sredstva ne bodo izčrpana. Merila za izbor/upravičenost bodo zagotavljala skladnost s tehničnimi smernicami za uporabo načela, da se ne škoduje bistveno (2021/C58/01), zlasti da so prestrukturirani sistemi daljinskega ogrevanja v skladu z Direktivo 2012/27/EU ter da je primeru izrabe biomase slednja v skladu z Direktivo (EU) 2018/2001.</w:t>
            </w:r>
          </w:p>
        </w:tc>
      </w:tr>
      <w:tr w:rsidR="003C6015" w:rsidRPr="00DD6A04" w14:paraId="4A00C0DB"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52CAF21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5</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4EB6F82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 Energetsko učinkovito prestrukturiranje sistemov daljinskega ogrevanja na obnovljive vire energije</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5C5BFF0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5052EB0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Dodatna zmogljivost obnovljivih virov energije v sistemih daljinskega ogrevanja </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1810778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AC6C1D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p w14:paraId="46077E1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(MW)</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87C430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4223DF6C" w14:textId="1DF5626A" w:rsidR="003C6015" w:rsidRPr="00DD6A04" w:rsidRDefault="00A2458D" w:rsidP="003C6015">
            <w:pPr>
              <w:spacing w:before="0" w:after="0" w:line="240" w:lineRule="auto"/>
              <w:rPr>
                <w:rFonts w:eastAsia="Times New Roman"/>
                <w:noProof/>
                <w:color w:val="006100"/>
                <w:sz w:val="22"/>
              </w:rPr>
            </w:pPr>
            <w:r>
              <w:rPr>
                <w:noProof/>
                <w:color w:val="006100"/>
                <w:sz w:val="22"/>
              </w:rPr>
              <w:t>22</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53F0C7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0ECD65E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2025</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78CC205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Dokončani projekti za dodatno zmogljivosti obnovljivih virov energije v sistemih daljinskega ogrevanja v skladu z merili za izbor iz mejnika 4.</w:t>
            </w:r>
          </w:p>
        </w:tc>
      </w:tr>
      <w:tr w:rsidR="003C6015" w:rsidRPr="00DD6A04" w14:paraId="79FFFA83"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19F36E1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6</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2AD3751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F: Krepitev distribucijskega omrežja električne energije (transformatorske postaje)</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0D3F120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47A34BE4" w14:textId="69CD4449" w:rsidR="003C6015" w:rsidRPr="00DD6A04" w:rsidRDefault="34058E0A" w:rsidP="150EC00E">
            <w:pPr>
              <w:spacing w:before="0" w:after="0" w:line="240" w:lineRule="auto"/>
              <w:rPr>
                <w:rFonts w:eastAsia="Times New Roman"/>
                <w:noProof/>
                <w:color w:val="006100"/>
                <w:sz w:val="22"/>
              </w:rPr>
            </w:pPr>
            <w:r>
              <w:rPr>
                <w:noProof/>
                <w:color w:val="006100"/>
                <w:sz w:val="22"/>
              </w:rPr>
              <w:t>Objava javnega razpisa za elektroenergetske transformatorske postaje</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5EA35041" w14:textId="02C1A52D" w:rsidR="003C6015" w:rsidRPr="00DD6A04" w:rsidRDefault="34058E0A" w:rsidP="150EC00E">
            <w:pPr>
              <w:spacing w:before="0" w:after="0" w:line="240" w:lineRule="auto"/>
              <w:rPr>
                <w:rFonts w:eastAsia="Times New Roman"/>
                <w:noProof/>
                <w:color w:val="006100"/>
                <w:sz w:val="22"/>
              </w:rPr>
            </w:pPr>
            <w:r>
              <w:rPr>
                <w:noProof/>
                <w:color w:val="006100"/>
                <w:sz w:val="22"/>
              </w:rPr>
              <w:t>Objava javnega razpisa</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3A4AB31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5EC46AC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3040C80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4045B04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4C89169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2022</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4234ADE5" w14:textId="0F28F27A" w:rsidR="003C6015" w:rsidRPr="00DD6A04" w:rsidRDefault="34058E0A" w:rsidP="150EC00E">
            <w:pPr>
              <w:spacing w:before="0" w:after="0" w:line="240" w:lineRule="auto"/>
              <w:rPr>
                <w:rFonts w:eastAsia="Times New Roman"/>
                <w:noProof/>
                <w:color w:val="006100"/>
                <w:sz w:val="22"/>
              </w:rPr>
            </w:pPr>
            <w:r>
              <w:rPr>
                <w:noProof/>
                <w:color w:val="006100"/>
                <w:sz w:val="22"/>
              </w:rPr>
              <w:t xml:space="preserve">Objavi se javni razpis za izgradnjo transformatorskih postaj. Razpis bo odprt, dokler proračunska sredstva ne bodo izčrpana. V razpisu se zagotovijo zlasti merila za učinkovit priklop objektov za proizvodnjo in shranjevanje energije iz obnovljivih virov, vključno s polnilnimi mesti za električna vozila. Poleg vseh obveznih nacionalnih in evropskih pravil, ki določajo zahteve za gradbene in okoljske intervencije, bodo merila za izbor/upravičenost zagotavljala skladnost s tehničnimi smernicami za uporabo načela, da se ne škoduje bistveno (2021/C58/01). </w:t>
            </w:r>
          </w:p>
        </w:tc>
      </w:tr>
      <w:tr w:rsidR="003C6015" w:rsidRPr="00DD6A04" w14:paraId="0E3E511A"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6C3A690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7</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17DB171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F: Krepitev distribucijskega omrežja električne energije (transformatorske postaje)</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4B12A5F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2575432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Število novih operativnih elektroenergetskih transformatorskih postaj </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1E9D196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0BE3C0F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3B6F4B1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37A11031" w14:textId="30EAF36F" w:rsidR="003C6015" w:rsidRPr="00DD6A04" w:rsidRDefault="001E4860" w:rsidP="003C6015">
            <w:pPr>
              <w:spacing w:before="0" w:after="0" w:line="240" w:lineRule="auto"/>
              <w:rPr>
                <w:rFonts w:eastAsia="Times New Roman"/>
                <w:noProof/>
                <w:color w:val="006100"/>
                <w:sz w:val="22"/>
              </w:rPr>
            </w:pPr>
            <w:r>
              <w:rPr>
                <w:noProof/>
                <w:color w:val="006100"/>
                <w:sz w:val="22"/>
              </w:rPr>
              <w:t xml:space="preserve"> 838</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38F7094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782BF50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2026</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49651B7D" w14:textId="46B8126F" w:rsidR="003C6015" w:rsidRPr="00DD6A04" w:rsidRDefault="001E4860" w:rsidP="003C6015">
            <w:pPr>
              <w:spacing w:before="0" w:after="0" w:line="240" w:lineRule="auto"/>
              <w:rPr>
                <w:rFonts w:eastAsia="Times New Roman"/>
                <w:noProof/>
                <w:color w:val="006100"/>
                <w:sz w:val="22"/>
              </w:rPr>
            </w:pPr>
            <w:r>
              <w:rPr>
                <w:noProof/>
                <w:color w:val="006100"/>
                <w:sz w:val="22"/>
              </w:rPr>
              <w:t xml:space="preserve">Operativnih bo 838 novih elektroenergetskih transformatorskih postaj v skladu z zahtevami iz mejnika 6. </w:t>
            </w:r>
          </w:p>
          <w:p w14:paraId="46DC588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 </w:t>
            </w:r>
          </w:p>
        </w:tc>
      </w:tr>
      <w:tr w:rsidR="00C0012E" w:rsidRPr="00DD6A04" w14:paraId="4903BE38"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07B9FC2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8</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050C513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 Energetska učinkovitost v gospodarstvu</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4494A96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3F8F3F5B" w14:textId="7F2DDE25" w:rsidR="007335C2" w:rsidRPr="00DD6A04" w:rsidRDefault="007335C2" w:rsidP="003C6015">
            <w:pPr>
              <w:spacing w:before="0" w:after="0" w:line="240" w:lineRule="auto"/>
              <w:rPr>
                <w:rFonts w:eastAsia="Times New Roman"/>
                <w:noProof/>
                <w:color w:val="006100"/>
                <w:sz w:val="22"/>
              </w:rPr>
            </w:pPr>
            <w:r>
              <w:rPr>
                <w:noProof/>
                <w:color w:val="006100"/>
                <w:sz w:val="22"/>
              </w:rPr>
              <w:t>Akcijski načrt za upravljanje energetske učinkovitosti v gospodarstvu</w:t>
            </w:r>
          </w:p>
          <w:p w14:paraId="1632FEDA" w14:textId="1CF5D394" w:rsidR="003C6015" w:rsidRPr="00DD6A04" w:rsidRDefault="00CD4022" w:rsidP="003C6015">
            <w:pPr>
              <w:spacing w:before="0" w:after="0" w:line="240" w:lineRule="auto"/>
              <w:rPr>
                <w:rFonts w:eastAsia="Times New Roman"/>
                <w:noProof/>
                <w:color w:val="006100"/>
                <w:sz w:val="22"/>
              </w:rPr>
            </w:pPr>
            <w:r>
              <w:rPr>
                <w:noProof/>
                <w:color w:val="006100"/>
                <w:sz w:val="22"/>
              </w:rPr>
              <w:t xml:space="preserve"> </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3CE66E9C" w14:textId="7696EDE0"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Sprejetje akcijskega načrta za upravljanje energetske učinkovitosti v gospodarstvu </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F66C6A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34DFC83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0810ADC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02E6EC22" w14:textId="683B79F3" w:rsidR="003C6015" w:rsidRPr="00DD6A04" w:rsidRDefault="003C6015" w:rsidP="003C6015">
            <w:pPr>
              <w:spacing w:before="0" w:after="0" w:line="240" w:lineRule="auto"/>
              <w:rPr>
                <w:rFonts w:eastAsia="Times New Roman"/>
                <w:noProof/>
                <w:color w:val="006100"/>
                <w:sz w:val="22"/>
              </w:rPr>
            </w:pPr>
            <w:r>
              <w:rPr>
                <w:noProof/>
                <w:color w:val="006100"/>
                <w:sz w:val="22"/>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6FFD831B" w14:textId="4CC258E3" w:rsidR="003C6015" w:rsidRPr="00DD6A04" w:rsidRDefault="003C6015" w:rsidP="003C6015">
            <w:pPr>
              <w:spacing w:before="0" w:after="0" w:line="240" w:lineRule="auto"/>
              <w:rPr>
                <w:rFonts w:eastAsia="Times New Roman"/>
                <w:noProof/>
                <w:color w:val="006100"/>
                <w:sz w:val="22"/>
              </w:rPr>
            </w:pPr>
            <w:r>
              <w:rPr>
                <w:noProof/>
                <w:color w:val="006100"/>
                <w:sz w:val="22"/>
              </w:rPr>
              <w:t>2023</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6B9B89D6" w14:textId="5D448A66" w:rsidR="003C6015" w:rsidRPr="00DD6A04" w:rsidRDefault="00492865" w:rsidP="003C6015">
            <w:pPr>
              <w:spacing w:before="0" w:after="0" w:line="240" w:lineRule="auto"/>
              <w:rPr>
                <w:rFonts w:eastAsia="Times New Roman"/>
                <w:noProof/>
                <w:color w:val="006100"/>
                <w:sz w:val="22"/>
              </w:rPr>
            </w:pPr>
            <w:r>
              <w:rPr>
                <w:noProof/>
                <w:color w:val="006100"/>
                <w:sz w:val="22"/>
              </w:rPr>
              <w:t>Akcijski načrt za upravljanje energetske učinkovitosti v gospodarstvu bo predvidel uvedbo digitaliziranega načina poročanja podatkov o energetskih pregledih podjetij ter spremljanje potencialnih in doseženih prihrankov energije. Akcijski načrt bo predvidel tudi, da ustrezne institucije vključijo zahtevo za poročanje in izvajanje energetskih pregledov za podjetja, ki prejemajo podporo za izboljšanje energetske učinkovitosti.</w:t>
            </w:r>
            <w:r w:rsidR="00037751">
              <w:rPr>
                <w:noProof/>
                <w:color w:val="006100"/>
                <w:sz w:val="22"/>
              </w:rPr>
              <w:t xml:space="preserve"> </w:t>
            </w:r>
          </w:p>
        </w:tc>
      </w:tr>
      <w:tr w:rsidR="00C0012E" w:rsidRPr="00DD6A04" w14:paraId="6CCD8282" w14:textId="77777777" w:rsidTr="00BE4788">
        <w:trPr>
          <w:trHeight w:val="309"/>
          <w:jc w:val="center"/>
        </w:trPr>
        <w:tc>
          <w:tcPr>
            <w:tcW w:w="1361" w:type="dxa"/>
            <w:tcBorders>
              <w:top w:val="single" w:sz="4" w:space="0" w:color="auto"/>
              <w:left w:val="single" w:sz="4" w:space="0" w:color="auto"/>
              <w:bottom w:val="single" w:sz="4" w:space="0" w:color="auto"/>
              <w:right w:val="single" w:sz="4" w:space="0" w:color="auto"/>
            </w:tcBorders>
            <w:shd w:val="clear" w:color="auto" w:fill="C6EFCE"/>
            <w:noWrap/>
          </w:tcPr>
          <w:p w14:paraId="2FA53E5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9</w:t>
            </w:r>
          </w:p>
        </w:tc>
        <w:tc>
          <w:tcPr>
            <w:tcW w:w="1499" w:type="dxa"/>
            <w:tcBorders>
              <w:top w:val="single" w:sz="4" w:space="0" w:color="auto"/>
              <w:left w:val="single" w:sz="4" w:space="0" w:color="auto"/>
              <w:bottom w:val="single" w:sz="4" w:space="0" w:color="auto"/>
              <w:right w:val="single" w:sz="4" w:space="0" w:color="auto"/>
            </w:tcBorders>
            <w:shd w:val="clear" w:color="auto" w:fill="C6EFCE"/>
            <w:noWrap/>
          </w:tcPr>
          <w:p w14:paraId="71555AD5" w14:textId="68DFAE1B" w:rsidR="003C6015" w:rsidRPr="00DD6A04" w:rsidRDefault="00A510A4" w:rsidP="003C6015">
            <w:pPr>
              <w:spacing w:before="0" w:after="0" w:line="240" w:lineRule="auto"/>
              <w:rPr>
                <w:rFonts w:eastAsia="Times New Roman"/>
                <w:noProof/>
                <w:color w:val="006100"/>
                <w:sz w:val="22"/>
              </w:rPr>
            </w:pPr>
            <w:r>
              <w:rPr>
                <w:noProof/>
                <w:color w:val="006100"/>
                <w:sz w:val="22"/>
              </w:rPr>
              <w:t xml:space="preserve">G: Naložbe v povečanje energetske učinkovitosti v gospodarstvu </w:t>
            </w:r>
          </w:p>
        </w:tc>
        <w:tc>
          <w:tcPr>
            <w:tcW w:w="1029" w:type="dxa"/>
            <w:tcBorders>
              <w:top w:val="single" w:sz="4" w:space="0" w:color="auto"/>
              <w:left w:val="single" w:sz="4" w:space="0" w:color="auto"/>
              <w:bottom w:val="single" w:sz="4" w:space="0" w:color="auto"/>
              <w:right w:val="single" w:sz="4" w:space="0" w:color="auto"/>
            </w:tcBorders>
            <w:shd w:val="clear" w:color="auto" w:fill="C6EFCE"/>
            <w:noWrap/>
          </w:tcPr>
          <w:p w14:paraId="728A854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4728D8C7" w14:textId="14300035"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Število podjetij, ki so pridobila e-izkaznice o energetski učinkovitosti </w:t>
            </w:r>
          </w:p>
        </w:tc>
        <w:tc>
          <w:tcPr>
            <w:tcW w:w="1719" w:type="dxa"/>
            <w:tcBorders>
              <w:top w:val="single" w:sz="4" w:space="0" w:color="auto"/>
              <w:left w:val="single" w:sz="4" w:space="0" w:color="auto"/>
              <w:bottom w:val="single" w:sz="4" w:space="0" w:color="auto"/>
              <w:right w:val="single" w:sz="4" w:space="0" w:color="auto"/>
            </w:tcBorders>
            <w:shd w:val="clear" w:color="auto" w:fill="C6EFCE"/>
            <w:noWrap/>
          </w:tcPr>
          <w:p w14:paraId="0511233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D817F9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6C080EE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0C2FBDE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20</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1E9543FA" w14:textId="5E4B524D" w:rsidR="003C6015" w:rsidRPr="00DD6A04" w:rsidRDefault="00D328C8" w:rsidP="003C6015">
            <w:pPr>
              <w:spacing w:before="0" w:after="0" w:line="240" w:lineRule="auto"/>
              <w:rPr>
                <w:rFonts w:eastAsia="Times New Roman"/>
                <w:noProof/>
                <w:color w:val="006100"/>
                <w:sz w:val="22"/>
              </w:rPr>
            </w:pPr>
            <w:r>
              <w:rPr>
                <w:noProof/>
                <w:color w:val="006100"/>
                <w:sz w:val="22"/>
              </w:rPr>
              <w:t>Q1</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5F5D875D" w14:textId="0AA14B7D" w:rsidR="003C6015" w:rsidRPr="00DD6A04" w:rsidRDefault="00D328C8" w:rsidP="003C6015">
            <w:pPr>
              <w:spacing w:before="0" w:after="0" w:line="240" w:lineRule="auto"/>
              <w:rPr>
                <w:rFonts w:eastAsia="Times New Roman"/>
                <w:noProof/>
                <w:color w:val="006100"/>
                <w:sz w:val="22"/>
              </w:rPr>
            </w:pPr>
            <w:r>
              <w:rPr>
                <w:noProof/>
                <w:color w:val="006100"/>
                <w:sz w:val="22"/>
              </w:rPr>
              <w:t>2026</w:t>
            </w:r>
          </w:p>
        </w:tc>
        <w:tc>
          <w:tcPr>
            <w:tcW w:w="3575" w:type="dxa"/>
            <w:tcBorders>
              <w:top w:val="single" w:sz="4" w:space="0" w:color="auto"/>
              <w:left w:val="single" w:sz="4" w:space="0" w:color="auto"/>
              <w:bottom w:val="single" w:sz="4" w:space="0" w:color="auto"/>
              <w:right w:val="single" w:sz="4" w:space="0" w:color="auto"/>
            </w:tcBorders>
            <w:shd w:val="clear" w:color="auto" w:fill="C6EFCE"/>
            <w:noWrap/>
          </w:tcPr>
          <w:p w14:paraId="221EE7CF" w14:textId="03C7ABE4" w:rsidR="003C6015" w:rsidRPr="00DD6A04" w:rsidRDefault="003C6015" w:rsidP="003C6015">
            <w:pPr>
              <w:spacing w:before="0" w:after="0" w:line="240" w:lineRule="auto"/>
              <w:rPr>
                <w:rFonts w:eastAsia="Times New Roman"/>
                <w:noProof/>
                <w:color w:val="006100"/>
                <w:sz w:val="22"/>
              </w:rPr>
            </w:pPr>
            <w:r>
              <w:rPr>
                <w:noProof/>
                <w:color w:val="006100"/>
                <w:sz w:val="22"/>
              </w:rPr>
              <w:t>Vsaj 20 podjetij bo prejelo e-izkaznico v podporo poročanju o energetski učinkovitosti in njenemu spremljanju.</w:t>
            </w:r>
          </w:p>
          <w:p w14:paraId="69AF5B74" w14:textId="77777777" w:rsidR="00C07FAF" w:rsidRPr="00DD6A04" w:rsidRDefault="00C07FAF" w:rsidP="003C6015">
            <w:pPr>
              <w:spacing w:before="0" w:after="0" w:line="240" w:lineRule="auto"/>
              <w:rPr>
                <w:rFonts w:eastAsia="Times New Roman"/>
                <w:noProof/>
                <w:color w:val="006100"/>
                <w:sz w:val="22"/>
                <w:lang w:val="en-GB" w:eastAsia="en-GB"/>
              </w:rPr>
            </w:pPr>
          </w:p>
          <w:p w14:paraId="4B511B98" w14:textId="0B3A99A0" w:rsidR="00566200" w:rsidRPr="00DD6A04" w:rsidRDefault="00566200" w:rsidP="001C2462">
            <w:pPr>
              <w:spacing w:before="0" w:after="0" w:line="240" w:lineRule="auto"/>
              <w:jc w:val="both"/>
              <w:rPr>
                <w:rFonts w:eastAsia="Times New Roman"/>
                <w:noProof/>
                <w:color w:val="006100"/>
                <w:sz w:val="22"/>
                <w:lang w:val="en-GB" w:eastAsia="en-GB"/>
              </w:rPr>
            </w:pPr>
          </w:p>
          <w:p w14:paraId="02BCDB8B" w14:textId="64EF8879" w:rsidR="003C6015" w:rsidRPr="00DD6A04" w:rsidRDefault="00C07FAF" w:rsidP="003C6015">
            <w:pPr>
              <w:spacing w:before="0" w:after="0" w:line="240" w:lineRule="auto"/>
              <w:rPr>
                <w:rFonts w:eastAsia="Times New Roman"/>
                <w:noProof/>
                <w:color w:val="006100"/>
                <w:sz w:val="22"/>
              </w:rPr>
            </w:pPr>
            <w:r>
              <w:rPr>
                <w:noProof/>
                <w:color w:val="006100"/>
                <w:sz w:val="22"/>
              </w:rPr>
              <w:t>Investicija je sestavljena iz vzpostavitve spletnega digitalnega orodja za poročanje, prek katerega bodo podjetjem dodeljene e-izkaznice za poročanje in spremljanje izvajanja energetskih pregledov.</w:t>
            </w:r>
          </w:p>
        </w:tc>
      </w:tr>
    </w:tbl>
    <w:p w14:paraId="470BE882" w14:textId="77777777" w:rsidR="003C6015" w:rsidRPr="00DD6A04" w:rsidRDefault="003C6015" w:rsidP="003C6015">
      <w:pPr>
        <w:spacing w:line="240" w:lineRule="auto"/>
        <w:jc w:val="both"/>
        <w:rPr>
          <w:noProof/>
          <w:lang w:val="en-GB"/>
        </w:rPr>
        <w:sectPr w:rsidR="003C6015" w:rsidRPr="00DD6A04" w:rsidSect="00073927">
          <w:headerReference w:type="even" r:id="rId24"/>
          <w:headerReference w:type="default" r:id="rId25"/>
          <w:footerReference w:type="even" r:id="rId26"/>
          <w:footerReference w:type="default" r:id="rId27"/>
          <w:headerReference w:type="first" r:id="rId28"/>
          <w:footerReference w:type="first" r:id="rId29"/>
          <w:pgSz w:w="16839" w:h="11907" w:orient="landscape"/>
          <w:pgMar w:top="1134" w:right="1134" w:bottom="1134" w:left="1134" w:header="567" w:footer="567" w:gutter="0"/>
          <w:cols w:space="720"/>
          <w:docGrid w:linePitch="360"/>
        </w:sectPr>
      </w:pPr>
    </w:p>
    <w:p w14:paraId="2EE39A98" w14:textId="77777777" w:rsidR="003C6015" w:rsidRPr="00DD6A04" w:rsidRDefault="003C6015" w:rsidP="003C6015">
      <w:pPr>
        <w:spacing w:line="240" w:lineRule="auto"/>
        <w:jc w:val="both"/>
        <w:rPr>
          <w:b/>
          <w:i/>
          <w:noProof/>
          <w:color w:val="4F81BD"/>
        </w:rPr>
      </w:pPr>
      <w:r>
        <w:rPr>
          <w:b/>
          <w:noProof/>
        </w:rPr>
        <w:t xml:space="preserve">A.3 </w:t>
      </w:r>
      <w:r>
        <w:rPr>
          <w:b/>
          <w:noProof/>
        </w:rPr>
        <w:tab/>
        <w:t xml:space="preserve">Opis reform in naložb za pridobitev posojila </w:t>
      </w:r>
    </w:p>
    <w:p w14:paraId="6CAE8B1D" w14:textId="77777777" w:rsidR="003C6015" w:rsidRPr="00DD6A04" w:rsidRDefault="003C6015" w:rsidP="003C6015">
      <w:pPr>
        <w:spacing w:line="240" w:lineRule="auto"/>
        <w:jc w:val="both"/>
        <w:rPr>
          <w:noProof/>
          <w:u w:val="single"/>
        </w:rPr>
      </w:pPr>
      <w:r>
        <w:rPr>
          <w:noProof/>
          <w:u w:val="single"/>
        </w:rPr>
        <w:t>Reforma B. Reforma oskrbe z električno energijo za potrebe spodbujanja obnovljivih virov energije</w:t>
      </w:r>
    </w:p>
    <w:p w14:paraId="7F1BC5D3" w14:textId="77777777" w:rsidR="003C6015" w:rsidRPr="00DD6A04" w:rsidRDefault="003C6015" w:rsidP="003C6015">
      <w:pPr>
        <w:spacing w:line="240" w:lineRule="auto"/>
        <w:jc w:val="both"/>
        <w:rPr>
          <w:noProof/>
        </w:rPr>
      </w:pPr>
      <w:r>
        <w:rPr>
          <w:noProof/>
        </w:rPr>
        <w:t xml:space="preserve">Cilj reforme je izboljšati vključevanje naprav za proizvodnjo energije iz obnovljivih virov v omrežje in prilagajanje odjema. </w:t>
      </w:r>
    </w:p>
    <w:p w14:paraId="67813E3D" w14:textId="77777777" w:rsidR="003C6015" w:rsidRPr="00DD6A04" w:rsidRDefault="003C6015" w:rsidP="003C6015">
      <w:pPr>
        <w:spacing w:line="240" w:lineRule="auto"/>
        <w:jc w:val="both"/>
        <w:rPr>
          <w:noProof/>
        </w:rPr>
      </w:pPr>
      <w:r>
        <w:rPr>
          <w:noProof/>
        </w:rPr>
        <w:t xml:space="preserve">Reforma vključuje začetek veljavnosti Zakona o oskrbi z električno energijo, ki določa ukrepe za zagotovitev varnega obratovanja omrežij, vključno z uvedbo pametnih omrežnih storitev, ter ukrepe za priključitev novih zmogljivosti, vključno s prilagajanjem odjema in objekti za shranjevanje energije. </w:t>
      </w:r>
    </w:p>
    <w:p w14:paraId="643D9D79" w14:textId="77777777" w:rsidR="003C6015" w:rsidRPr="00DD6A04" w:rsidRDefault="003C6015" w:rsidP="003C6015">
      <w:pPr>
        <w:spacing w:line="240" w:lineRule="auto"/>
        <w:jc w:val="both"/>
        <w:rPr>
          <w:noProof/>
          <w:u w:val="single"/>
        </w:rPr>
      </w:pPr>
      <w:r>
        <w:rPr>
          <w:noProof/>
        </w:rPr>
        <w:t xml:space="preserve">Mejniki in cilji v zvezi z izvedbo reforme bodo doseženi do 31. decembra 2025. </w:t>
      </w:r>
    </w:p>
    <w:p w14:paraId="2ACF19B4" w14:textId="77777777" w:rsidR="003C6015" w:rsidRPr="00DD6A04" w:rsidRDefault="003C6015" w:rsidP="003C6015">
      <w:pPr>
        <w:spacing w:line="240" w:lineRule="auto"/>
        <w:jc w:val="both"/>
        <w:rPr>
          <w:noProof/>
          <w:u w:val="single"/>
        </w:rPr>
      </w:pPr>
      <w:r>
        <w:rPr>
          <w:noProof/>
          <w:u w:val="single"/>
        </w:rPr>
        <w:t xml:space="preserve">Investicija E. </w:t>
      </w:r>
      <w:bookmarkStart w:id="6" w:name="_Hlk143249054"/>
      <w:r>
        <w:rPr>
          <w:noProof/>
          <w:u w:val="single"/>
        </w:rPr>
        <w:t>Proizvodnja elektrike iz obnovljivih virov energije</w:t>
      </w:r>
      <w:bookmarkEnd w:id="6"/>
    </w:p>
    <w:p w14:paraId="6619D3B3" w14:textId="57DD76FD" w:rsidR="003C6015" w:rsidRPr="00DD6A04" w:rsidRDefault="34058E0A" w:rsidP="003C6015">
      <w:pPr>
        <w:spacing w:line="240" w:lineRule="auto"/>
        <w:jc w:val="both"/>
        <w:rPr>
          <w:noProof/>
        </w:rPr>
      </w:pPr>
      <w:r>
        <w:rPr>
          <w:noProof/>
        </w:rPr>
        <w:t>Cilj investicije je izgradnja novih zmogljivosti za proizvodnjo električne energije iz obnovljivih virov s tehnološko nevtralnim konkurenčnim javnim razpisom za različne tehnologije (geotermalne in hidroelektrarne) ter sončno tehnologijo za javne stavbe. Projekti bodo skladni z ustreznimi prilogami Delegirane uredbe Komisije (EU) (C(2021) 2800 final), ki dopolnjuje uredbo o taksonomiji (Uredba (EU) 2020/852).</w:t>
      </w:r>
    </w:p>
    <w:p w14:paraId="07DB548B" w14:textId="5D0677FA" w:rsidR="003C6015" w:rsidRPr="00DD6A04" w:rsidRDefault="34058E0A" w:rsidP="003C6015">
      <w:pPr>
        <w:spacing w:line="240" w:lineRule="auto"/>
        <w:jc w:val="both"/>
        <w:rPr>
          <w:noProof/>
        </w:rPr>
      </w:pPr>
      <w:r>
        <w:rPr>
          <w:noProof/>
        </w:rPr>
        <w:t xml:space="preserve">Investicija vključuje nepovratna sredstva za izgradnjo izbranih naprav, da se namesti 30 MW zmogljivosti za proizvodnjo električne energije iz obnovljivih virov ali največja količina, združljiva z razpisom, ki bo potekal v konkurenčnih pogojih. </w:t>
      </w:r>
    </w:p>
    <w:p w14:paraId="04471C29" w14:textId="71083E9B" w:rsidR="003C6015" w:rsidRPr="00DD6A04" w:rsidRDefault="003C6015" w:rsidP="003C6015">
      <w:pPr>
        <w:spacing w:line="240" w:lineRule="auto"/>
        <w:jc w:val="both"/>
        <w:rPr>
          <w:noProof/>
          <w:u w:val="single"/>
        </w:rPr>
      </w:pPr>
      <w:r>
        <w:rPr>
          <w:noProof/>
        </w:rPr>
        <w:t>Glede na opis ukrepa ter mejnike in cilje, ki jih mora Slovenija doseči, ta ukrep naj ne bi bistveno škodoval okoljskim ciljem v smislu člena 17 Uredbe (EU) 2020/852.</w:t>
      </w:r>
      <w:r w:rsidR="00037751">
        <w:rPr>
          <w:noProof/>
        </w:rPr>
        <w:t xml:space="preserve"> </w:t>
      </w:r>
      <w:r>
        <w:rPr>
          <w:noProof/>
        </w:rPr>
        <w:t>Zlasti bo dokazana popolna in vsebinska skladnost z veljavnimi pravnimi določbami. Mejniki in cilji v zvezi z izvedbo investicije bodo doseženi do 30. junija 2026.</w:t>
      </w:r>
    </w:p>
    <w:p w14:paraId="37100532" w14:textId="77777777" w:rsidR="003C6015" w:rsidRPr="00DD6A04" w:rsidRDefault="003C6015" w:rsidP="003C6015">
      <w:pPr>
        <w:spacing w:line="240" w:lineRule="auto"/>
        <w:jc w:val="both"/>
        <w:rPr>
          <w:noProof/>
          <w:u w:val="single"/>
        </w:rPr>
      </w:pPr>
      <w:r>
        <w:rPr>
          <w:noProof/>
          <w:u w:val="single"/>
        </w:rPr>
        <w:t>Investicija F. Krepitev distribucijskega omrežja električne energije (nizkonapetostno omrežje)</w:t>
      </w:r>
    </w:p>
    <w:p w14:paraId="7CA420C2" w14:textId="77777777" w:rsidR="003C6015" w:rsidRPr="00DD6A04" w:rsidRDefault="003C6015" w:rsidP="003C6015">
      <w:pPr>
        <w:spacing w:line="240" w:lineRule="auto"/>
        <w:jc w:val="both"/>
        <w:rPr>
          <w:noProof/>
        </w:rPr>
      </w:pPr>
      <w:r>
        <w:rPr>
          <w:noProof/>
        </w:rPr>
        <w:t xml:space="preserve">Cilj investicije je posodobiti distribucijsko omrežje električne energije v skladu z naraščajočo porabo električne energije iz obnovljivih virov ter omogočiti priključitev proizvodnih naprav na obnovljive vire energije, toplotnih črpalk in polnilnih mest za električna vozila. </w:t>
      </w:r>
    </w:p>
    <w:p w14:paraId="3F89AB43" w14:textId="5C3598EC" w:rsidR="003C6015" w:rsidRPr="00DD6A04" w:rsidRDefault="003C6015" w:rsidP="003C6015">
      <w:pPr>
        <w:spacing w:line="240" w:lineRule="auto"/>
        <w:jc w:val="both"/>
        <w:rPr>
          <w:noProof/>
        </w:rPr>
      </w:pPr>
      <w:r>
        <w:rPr>
          <w:noProof/>
        </w:rPr>
        <w:t xml:space="preserve">Investicija vključuje izgradnjo in začetek delovanja novega nizkonapetostnega omrežja, dolgega vsaj 1 300 kilometrov. </w:t>
      </w:r>
    </w:p>
    <w:p w14:paraId="1F7BFBB0" w14:textId="77777777" w:rsidR="003C6015" w:rsidRPr="00DD6A04" w:rsidRDefault="003C6015" w:rsidP="003C6015">
      <w:pPr>
        <w:spacing w:line="240" w:lineRule="auto"/>
        <w:jc w:val="both"/>
        <w:rPr>
          <w:noProof/>
        </w:rPr>
      </w:pPr>
      <w:r>
        <w:rPr>
          <w:noProof/>
        </w:rPr>
        <w:t>Mejniki in cilji v zvezi z izvedbo investicije bodo doseženi do 30. junija 2026.</w:t>
      </w:r>
    </w:p>
    <w:p w14:paraId="72735A50" w14:textId="77777777" w:rsidR="003C6015" w:rsidRPr="00DD6A04" w:rsidRDefault="003C6015" w:rsidP="003C6015">
      <w:pPr>
        <w:spacing w:line="240" w:lineRule="auto"/>
        <w:ind w:left="850"/>
        <w:jc w:val="both"/>
        <w:rPr>
          <w:i/>
          <w:noProof/>
          <w:lang w:val="en-GB"/>
        </w:rPr>
        <w:sectPr w:rsidR="003C6015" w:rsidRPr="00DD6A04" w:rsidSect="00073927">
          <w:headerReference w:type="even" r:id="rId30"/>
          <w:headerReference w:type="default" r:id="rId31"/>
          <w:footerReference w:type="even" r:id="rId32"/>
          <w:footerReference w:type="default" r:id="rId33"/>
          <w:headerReference w:type="first" r:id="rId34"/>
          <w:footerReference w:type="first" r:id="rId35"/>
          <w:pgSz w:w="11907" w:h="16839"/>
          <w:pgMar w:top="1134" w:right="1134" w:bottom="1134" w:left="1134" w:header="567" w:footer="567" w:gutter="0"/>
          <w:cols w:space="720"/>
          <w:docGrid w:linePitch="360"/>
        </w:sectPr>
      </w:pPr>
    </w:p>
    <w:p w14:paraId="4E5CA4ED" w14:textId="0AA6F237" w:rsidR="003C6015" w:rsidRPr="00DD6A04" w:rsidRDefault="003C6015" w:rsidP="003C6015">
      <w:pPr>
        <w:spacing w:line="240" w:lineRule="auto"/>
        <w:ind w:left="850"/>
        <w:jc w:val="both"/>
        <w:rPr>
          <w:b/>
          <w:noProof/>
          <w:u w:val="single"/>
        </w:rPr>
      </w:pPr>
      <w:r>
        <w:rPr>
          <w:b/>
          <w:noProof/>
          <w:u w:val="single"/>
        </w:rPr>
        <w:t xml:space="preserve">A.4 </w:t>
      </w:r>
      <w:r>
        <w:rPr>
          <w:b/>
          <w:noProof/>
          <w:u w:val="single"/>
        </w:rPr>
        <w:tab/>
        <w:t xml:space="preserve">Mejniki, cilji, kazalniki in časovni razpored za spremljanje in izvajanje posojila </w:t>
      </w:r>
    </w:p>
    <w:tbl>
      <w:tblPr>
        <w:tblW w:w="15584" w:type="dxa"/>
        <w:jc w:val="center"/>
        <w:tblLayout w:type="fixed"/>
        <w:tblLook w:val="04A0" w:firstRow="1" w:lastRow="0" w:firstColumn="1" w:lastColumn="0" w:noHBand="0" w:noVBand="1"/>
      </w:tblPr>
      <w:tblGrid>
        <w:gridCol w:w="1358"/>
        <w:gridCol w:w="1435"/>
        <w:gridCol w:w="975"/>
        <w:gridCol w:w="1701"/>
        <w:gridCol w:w="1701"/>
        <w:gridCol w:w="1138"/>
        <w:gridCol w:w="1271"/>
        <w:gridCol w:w="993"/>
        <w:gridCol w:w="850"/>
        <w:gridCol w:w="876"/>
        <w:gridCol w:w="3286"/>
      </w:tblGrid>
      <w:tr w:rsidR="00175DD2" w:rsidRPr="00DD6A04" w14:paraId="5F99EE4E" w14:textId="77777777" w:rsidTr="00BE4788">
        <w:trPr>
          <w:trHeight w:val="740"/>
          <w:tblHeader/>
          <w:jc w:val="center"/>
        </w:trPr>
        <w:tc>
          <w:tcPr>
            <w:tcW w:w="135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8B0168" w14:textId="77777777" w:rsidR="00175DD2" w:rsidRPr="00DD6A04" w:rsidRDefault="00175DD2">
            <w:pPr>
              <w:spacing w:before="0" w:after="0" w:line="240" w:lineRule="auto"/>
              <w:jc w:val="center"/>
              <w:rPr>
                <w:rFonts w:eastAsia="Times New Roman"/>
                <w:b/>
                <w:noProof/>
              </w:rPr>
            </w:pPr>
            <w:r>
              <w:rPr>
                <w:b/>
                <w:noProof/>
              </w:rPr>
              <w:t>Zaporedna številka</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C1C4C1" w14:textId="77777777" w:rsidR="00175DD2" w:rsidRPr="00DD6A04" w:rsidRDefault="00175DD2">
            <w:pPr>
              <w:spacing w:before="0" w:after="0" w:line="240" w:lineRule="auto"/>
              <w:jc w:val="center"/>
              <w:rPr>
                <w:rFonts w:eastAsia="Times New Roman"/>
                <w:b/>
                <w:noProof/>
              </w:rPr>
            </w:pPr>
            <w:r>
              <w:rPr>
                <w:b/>
                <w:noProof/>
              </w:rPr>
              <w:t>Povezani ukrep (reforma ali naložba)</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A5EF04" w14:textId="77777777" w:rsidR="00175DD2" w:rsidRPr="00DD6A04" w:rsidRDefault="00175DD2">
            <w:pPr>
              <w:spacing w:before="0" w:after="0" w:line="240" w:lineRule="auto"/>
              <w:jc w:val="center"/>
              <w:rPr>
                <w:rFonts w:eastAsia="Times New Roman"/>
                <w:b/>
                <w:noProof/>
              </w:rPr>
            </w:pPr>
            <w:r>
              <w:rPr>
                <w:b/>
                <w:noProof/>
              </w:rPr>
              <w:t>Mejnik/cilj</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CF2A31" w14:textId="77777777" w:rsidR="00175DD2" w:rsidRPr="00DD6A04" w:rsidRDefault="00175DD2">
            <w:pPr>
              <w:spacing w:before="0" w:after="0" w:line="240" w:lineRule="auto"/>
              <w:jc w:val="center"/>
              <w:rPr>
                <w:rFonts w:eastAsia="Times New Roman"/>
                <w:b/>
                <w:noProof/>
              </w:rPr>
            </w:pPr>
            <w:r>
              <w:rPr>
                <w:b/>
                <w:noProof/>
              </w:rPr>
              <w:t>Ime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928D6A" w14:textId="77777777" w:rsidR="00175DD2" w:rsidRPr="00DD6A04" w:rsidRDefault="00175DD2">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147FFC3" w14:textId="77777777" w:rsidR="00175DD2" w:rsidRPr="00DD6A04" w:rsidRDefault="00175DD2">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726"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022BB72E" w14:textId="77777777" w:rsidR="00175DD2" w:rsidRPr="00DD6A04" w:rsidRDefault="00175DD2">
            <w:pPr>
              <w:spacing w:before="0" w:after="0" w:line="240" w:lineRule="auto"/>
              <w:jc w:val="center"/>
              <w:rPr>
                <w:rFonts w:eastAsia="Times New Roman"/>
                <w:b/>
                <w:noProof/>
              </w:rPr>
            </w:pPr>
            <w:r>
              <w:rPr>
                <w:b/>
                <w:noProof/>
              </w:rPr>
              <w:t xml:space="preserve">Okvirni časovni razpored za dokončanje </w:t>
            </w:r>
          </w:p>
        </w:tc>
        <w:tc>
          <w:tcPr>
            <w:tcW w:w="32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1F234B" w14:textId="77777777" w:rsidR="00175DD2" w:rsidRPr="00DD6A04" w:rsidRDefault="00175DD2">
            <w:pPr>
              <w:spacing w:before="0" w:after="0" w:line="240" w:lineRule="auto"/>
              <w:jc w:val="center"/>
              <w:rPr>
                <w:rFonts w:eastAsia="Times New Roman"/>
                <w:b/>
                <w:noProof/>
              </w:rPr>
            </w:pPr>
            <w:r>
              <w:rPr>
                <w:b/>
                <w:noProof/>
              </w:rPr>
              <w:t>Opis vsakega mejnika in cilja</w:t>
            </w:r>
          </w:p>
        </w:tc>
      </w:tr>
      <w:tr w:rsidR="006B18FC" w:rsidRPr="00DD6A04" w14:paraId="1F5BD38B" w14:textId="77777777" w:rsidTr="00BE4788">
        <w:trPr>
          <w:trHeight w:val="751"/>
          <w:tblHeader/>
          <w:jc w:val="center"/>
        </w:trPr>
        <w:tc>
          <w:tcPr>
            <w:tcW w:w="1358" w:type="dxa"/>
            <w:vMerge/>
            <w:tcBorders>
              <w:top w:val="single" w:sz="4" w:space="0" w:color="auto"/>
              <w:left w:val="single" w:sz="4" w:space="0" w:color="auto"/>
              <w:bottom w:val="single" w:sz="4" w:space="0" w:color="auto"/>
              <w:right w:val="single" w:sz="4" w:space="0" w:color="auto"/>
            </w:tcBorders>
            <w:vAlign w:val="center"/>
            <w:hideMark/>
          </w:tcPr>
          <w:p w14:paraId="2F58130F" w14:textId="77777777" w:rsidR="00175DD2" w:rsidRPr="00DD6A04" w:rsidRDefault="00175DD2">
            <w:pPr>
              <w:spacing w:before="0" w:after="0" w:line="240" w:lineRule="auto"/>
              <w:rPr>
                <w:rFonts w:eastAsia="Times New Roman"/>
                <w:b/>
                <w:noProof/>
                <w:sz w:val="22"/>
                <w:lang w:val="en-GB" w:eastAsia="en-GB"/>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60DFEF6D" w14:textId="77777777" w:rsidR="00175DD2" w:rsidRPr="00DD6A04" w:rsidRDefault="00175DD2">
            <w:pPr>
              <w:spacing w:before="0" w:after="0" w:line="240" w:lineRule="auto"/>
              <w:rPr>
                <w:rFonts w:eastAsia="Times New Roman"/>
                <w:b/>
                <w:noProof/>
                <w:sz w:val="22"/>
                <w:lang w:val="en-GB" w:eastAsia="en-GB"/>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09F125A8" w14:textId="77777777" w:rsidR="00175DD2" w:rsidRPr="00DD6A04" w:rsidRDefault="00175DD2">
            <w:pPr>
              <w:spacing w:before="0" w:after="0" w:line="240" w:lineRule="auto"/>
              <w:rPr>
                <w:rFonts w:eastAsia="Times New Roman"/>
                <w:b/>
                <w:noProof/>
                <w:sz w:val="22"/>
                <w:lang w:val="en-GB"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3E5795" w14:textId="77777777" w:rsidR="00175DD2" w:rsidRPr="00DD6A04" w:rsidRDefault="00175DD2">
            <w:pPr>
              <w:spacing w:before="0" w:after="0" w:line="240" w:lineRule="auto"/>
              <w:rPr>
                <w:rFonts w:eastAsia="Times New Roman"/>
                <w:b/>
                <w:noProof/>
                <w:sz w:val="22"/>
                <w:lang w:val="en-GB" w:eastAsia="en-GB"/>
              </w:rPr>
            </w:pPr>
          </w:p>
        </w:tc>
        <w:tc>
          <w:tcPr>
            <w:tcW w:w="1701" w:type="dxa"/>
            <w:vMerge/>
            <w:tcBorders>
              <w:left w:val="single" w:sz="4" w:space="0" w:color="auto"/>
            </w:tcBorders>
            <w:vAlign w:val="center"/>
            <w:hideMark/>
          </w:tcPr>
          <w:p w14:paraId="09B28F6D" w14:textId="77777777" w:rsidR="00175DD2" w:rsidRPr="00DD6A04" w:rsidRDefault="00175DD2">
            <w:pPr>
              <w:spacing w:before="0" w:after="0" w:line="240" w:lineRule="auto"/>
              <w:rPr>
                <w:rFonts w:eastAsia="Times New Roman"/>
                <w:b/>
                <w:noProof/>
                <w:sz w:val="22"/>
                <w:lang w:val="en-GB" w:eastAsia="en-GB"/>
              </w:rPr>
            </w:pPr>
          </w:p>
        </w:tc>
        <w:tc>
          <w:tcPr>
            <w:tcW w:w="113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2350718" w14:textId="77777777" w:rsidR="00175DD2" w:rsidRPr="00DD6A04" w:rsidRDefault="00175DD2">
            <w:pPr>
              <w:spacing w:before="0" w:after="0" w:line="240" w:lineRule="auto"/>
              <w:jc w:val="center"/>
              <w:rPr>
                <w:rFonts w:eastAsia="Times New Roman"/>
                <w:b/>
                <w:noProof/>
                <w:sz w:val="22"/>
              </w:rPr>
            </w:pPr>
            <w:r>
              <w:rPr>
                <w:b/>
                <w:noProof/>
                <w:sz w:val="22"/>
              </w:rPr>
              <w:t>Enota merjenja</w:t>
            </w:r>
          </w:p>
        </w:tc>
        <w:tc>
          <w:tcPr>
            <w:tcW w:w="127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75DDA8E" w14:textId="77777777" w:rsidR="00175DD2" w:rsidRPr="00DD6A04" w:rsidRDefault="00175DD2">
            <w:pPr>
              <w:spacing w:before="0" w:after="0" w:line="240" w:lineRule="auto"/>
              <w:jc w:val="center"/>
              <w:rPr>
                <w:rFonts w:eastAsia="Times New Roman"/>
                <w:b/>
                <w:noProof/>
                <w:sz w:val="22"/>
              </w:rPr>
            </w:pPr>
            <w:r>
              <w:rPr>
                <w:b/>
                <w:noProof/>
                <w:sz w:val="22"/>
              </w:rPr>
              <w:t xml:space="preserve">Izhodiščna raven </w:t>
            </w:r>
          </w:p>
        </w:tc>
        <w:tc>
          <w:tcPr>
            <w:tcW w:w="99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96690B" w14:textId="77777777" w:rsidR="00175DD2" w:rsidRPr="00DD6A04" w:rsidRDefault="00175DD2">
            <w:pPr>
              <w:spacing w:before="0" w:after="0" w:line="240" w:lineRule="auto"/>
              <w:jc w:val="center"/>
              <w:rPr>
                <w:rFonts w:eastAsia="Times New Roman"/>
                <w:b/>
                <w:noProof/>
                <w:sz w:val="22"/>
              </w:rPr>
            </w:pPr>
            <w:r>
              <w:rPr>
                <w:b/>
                <w:noProof/>
                <w:sz w:val="22"/>
              </w:rPr>
              <w:t xml:space="preserve">Ciljna raven </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34898EC" w14:textId="77777777" w:rsidR="00175DD2" w:rsidRPr="00DD6A04" w:rsidRDefault="00175DD2">
            <w:pPr>
              <w:spacing w:before="0" w:after="0" w:line="240" w:lineRule="auto"/>
              <w:jc w:val="center"/>
              <w:rPr>
                <w:rFonts w:eastAsia="Times New Roman"/>
                <w:b/>
                <w:noProof/>
                <w:sz w:val="22"/>
              </w:rPr>
            </w:pPr>
            <w:r>
              <w:rPr>
                <w:b/>
                <w:noProof/>
                <w:sz w:val="22"/>
              </w:rPr>
              <w:t>Četrtletje</w:t>
            </w:r>
          </w:p>
        </w:tc>
        <w:tc>
          <w:tcPr>
            <w:tcW w:w="8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31F6BFA" w14:textId="77777777" w:rsidR="00175DD2" w:rsidRPr="00DD6A04" w:rsidRDefault="00175DD2">
            <w:pPr>
              <w:spacing w:before="0" w:after="0" w:line="240" w:lineRule="auto"/>
              <w:jc w:val="center"/>
              <w:rPr>
                <w:rFonts w:eastAsia="Times New Roman"/>
                <w:b/>
                <w:noProof/>
                <w:sz w:val="22"/>
              </w:rPr>
            </w:pPr>
            <w:r>
              <w:rPr>
                <w:b/>
                <w:noProof/>
                <w:sz w:val="22"/>
              </w:rPr>
              <w:t>Leto</w:t>
            </w:r>
          </w:p>
        </w:tc>
        <w:tc>
          <w:tcPr>
            <w:tcW w:w="3286" w:type="dxa"/>
            <w:vMerge/>
            <w:tcBorders>
              <w:bottom w:val="single" w:sz="4" w:space="0" w:color="auto"/>
              <w:right w:val="single" w:sz="4" w:space="0" w:color="auto"/>
            </w:tcBorders>
            <w:vAlign w:val="center"/>
            <w:hideMark/>
          </w:tcPr>
          <w:p w14:paraId="577E3248" w14:textId="77777777" w:rsidR="00175DD2" w:rsidRPr="00DD6A04" w:rsidRDefault="00175DD2">
            <w:pPr>
              <w:spacing w:before="0" w:after="0" w:line="240" w:lineRule="auto"/>
              <w:rPr>
                <w:rFonts w:eastAsia="Times New Roman"/>
                <w:b/>
                <w:noProof/>
                <w:sz w:val="22"/>
                <w:lang w:val="en-GB" w:eastAsia="en-GB"/>
              </w:rPr>
            </w:pPr>
          </w:p>
        </w:tc>
      </w:tr>
      <w:tr w:rsidR="006B18FC" w:rsidRPr="00DD6A04" w14:paraId="36791D93" w14:textId="77777777" w:rsidTr="00BE4788">
        <w:trPr>
          <w:trHeight w:val="309"/>
          <w:jc w:val="center"/>
        </w:trPr>
        <w:tc>
          <w:tcPr>
            <w:tcW w:w="1358" w:type="dxa"/>
            <w:tcBorders>
              <w:top w:val="single" w:sz="4" w:space="0" w:color="auto"/>
              <w:left w:val="single" w:sz="4" w:space="0" w:color="auto"/>
              <w:bottom w:val="single" w:sz="4" w:space="0" w:color="auto"/>
              <w:right w:val="single" w:sz="4" w:space="0" w:color="auto"/>
            </w:tcBorders>
            <w:shd w:val="clear" w:color="auto" w:fill="C6EFCE"/>
            <w:noWrap/>
          </w:tcPr>
          <w:p w14:paraId="20CF37BE" w14:textId="0F5456CE" w:rsidR="00175DD2" w:rsidRPr="00DD6A04" w:rsidRDefault="00175DD2" w:rsidP="00175DD2">
            <w:pPr>
              <w:spacing w:before="0" w:after="0" w:line="240" w:lineRule="auto"/>
              <w:rPr>
                <w:rFonts w:eastAsia="Times New Roman"/>
                <w:noProof/>
                <w:color w:val="006100"/>
                <w:sz w:val="22"/>
              </w:rPr>
            </w:pPr>
            <w:r>
              <w:rPr>
                <w:noProof/>
                <w:color w:val="006100"/>
                <w:sz w:val="22"/>
              </w:rPr>
              <w:t>13</w:t>
            </w:r>
          </w:p>
        </w:tc>
        <w:tc>
          <w:tcPr>
            <w:tcW w:w="1435" w:type="dxa"/>
            <w:tcBorders>
              <w:top w:val="single" w:sz="4" w:space="0" w:color="auto"/>
              <w:left w:val="nil"/>
              <w:bottom w:val="single" w:sz="4" w:space="0" w:color="auto"/>
              <w:right w:val="single" w:sz="4" w:space="0" w:color="auto"/>
            </w:tcBorders>
            <w:shd w:val="clear" w:color="auto" w:fill="C6EFCE"/>
            <w:noWrap/>
          </w:tcPr>
          <w:p w14:paraId="489A28FF" w14:textId="3192D3FC" w:rsidR="00175DD2" w:rsidRPr="00DD6A04" w:rsidRDefault="00175DD2" w:rsidP="00175DD2">
            <w:pPr>
              <w:spacing w:before="0" w:after="0" w:line="240" w:lineRule="auto"/>
              <w:rPr>
                <w:rFonts w:eastAsia="Times New Roman"/>
                <w:noProof/>
                <w:color w:val="006100"/>
                <w:sz w:val="22"/>
              </w:rPr>
            </w:pPr>
            <w:r>
              <w:rPr>
                <w:noProof/>
                <w:color w:val="006100"/>
                <w:sz w:val="22"/>
              </w:rPr>
              <w:t>B: Reforma oskrbe z električno energijo za potrebe spodbujanja obnovljivih virov energije</w:t>
            </w:r>
          </w:p>
        </w:tc>
        <w:tc>
          <w:tcPr>
            <w:tcW w:w="975" w:type="dxa"/>
            <w:tcBorders>
              <w:top w:val="single" w:sz="4" w:space="0" w:color="auto"/>
              <w:left w:val="nil"/>
              <w:bottom w:val="single" w:sz="4" w:space="0" w:color="auto"/>
              <w:right w:val="single" w:sz="4" w:space="0" w:color="auto"/>
            </w:tcBorders>
            <w:shd w:val="clear" w:color="auto" w:fill="C6EFCE"/>
            <w:noWrap/>
          </w:tcPr>
          <w:p w14:paraId="5D23A895" w14:textId="68DB3865" w:rsidR="00175DD2" w:rsidRPr="00DD6A04" w:rsidRDefault="00175DD2" w:rsidP="00175DD2">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3C075630" w14:textId="3D0F7054" w:rsidR="00175DD2" w:rsidRPr="00DD6A04" w:rsidRDefault="00175DD2" w:rsidP="00175DD2">
            <w:pPr>
              <w:spacing w:before="0" w:after="0" w:line="240" w:lineRule="auto"/>
              <w:rPr>
                <w:rFonts w:eastAsia="Times New Roman"/>
                <w:noProof/>
                <w:color w:val="006100"/>
                <w:sz w:val="22"/>
              </w:rPr>
            </w:pPr>
            <w:r>
              <w:rPr>
                <w:noProof/>
                <w:color w:val="006100"/>
                <w:sz w:val="22"/>
              </w:rPr>
              <w:t xml:space="preserve">Začetek veljavnosti Zakona o oskrbi z električno energijo </w:t>
            </w:r>
          </w:p>
        </w:tc>
        <w:tc>
          <w:tcPr>
            <w:tcW w:w="1701" w:type="dxa"/>
            <w:tcBorders>
              <w:top w:val="single" w:sz="4" w:space="0" w:color="auto"/>
              <w:left w:val="nil"/>
              <w:bottom w:val="single" w:sz="4" w:space="0" w:color="auto"/>
              <w:right w:val="single" w:sz="4" w:space="0" w:color="auto"/>
            </w:tcBorders>
            <w:shd w:val="clear" w:color="auto" w:fill="C6EFCE"/>
            <w:noWrap/>
          </w:tcPr>
          <w:p w14:paraId="00824529" w14:textId="1455271A" w:rsidR="00175DD2" w:rsidRPr="00DD6A04" w:rsidRDefault="00175DD2" w:rsidP="00175DD2">
            <w:pPr>
              <w:spacing w:before="0" w:after="0" w:line="240" w:lineRule="auto"/>
              <w:rPr>
                <w:rFonts w:eastAsia="Times New Roman"/>
                <w:noProof/>
                <w:color w:val="006100"/>
                <w:sz w:val="22"/>
              </w:rPr>
            </w:pPr>
            <w:r>
              <w:rPr>
                <w:noProof/>
                <w:color w:val="006100"/>
                <w:sz w:val="22"/>
              </w:rPr>
              <w:t xml:space="preserve">Zakonodajna določba o začetku veljavnosti Zakona o oskrbi z električno energijo </w:t>
            </w:r>
          </w:p>
        </w:tc>
        <w:tc>
          <w:tcPr>
            <w:tcW w:w="1138" w:type="dxa"/>
            <w:tcBorders>
              <w:top w:val="single" w:sz="4" w:space="0" w:color="auto"/>
              <w:left w:val="nil"/>
              <w:bottom w:val="single" w:sz="4" w:space="0" w:color="auto"/>
              <w:right w:val="single" w:sz="4" w:space="0" w:color="auto"/>
            </w:tcBorders>
            <w:shd w:val="clear" w:color="auto" w:fill="C6EFCE"/>
            <w:noWrap/>
          </w:tcPr>
          <w:p w14:paraId="20A3E194" w14:textId="55345D7B"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1271" w:type="dxa"/>
            <w:tcBorders>
              <w:top w:val="single" w:sz="4" w:space="0" w:color="auto"/>
              <w:left w:val="nil"/>
              <w:bottom w:val="single" w:sz="4" w:space="0" w:color="auto"/>
              <w:right w:val="single" w:sz="4" w:space="0" w:color="auto"/>
            </w:tcBorders>
            <w:shd w:val="clear" w:color="auto" w:fill="C6EFCE"/>
            <w:noWrap/>
          </w:tcPr>
          <w:p w14:paraId="4A11C0A2" w14:textId="0F440D34"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nil"/>
              <w:bottom w:val="single" w:sz="4" w:space="0" w:color="auto"/>
              <w:right w:val="single" w:sz="4" w:space="0" w:color="auto"/>
            </w:tcBorders>
            <w:shd w:val="clear" w:color="auto" w:fill="C6EFCE"/>
            <w:noWrap/>
          </w:tcPr>
          <w:p w14:paraId="2617F257" w14:textId="6AFFAF08"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7FB8A98D" w14:textId="6DEAB4F3" w:rsidR="00175DD2" w:rsidRPr="00DD6A04" w:rsidRDefault="00175DD2" w:rsidP="00175DD2">
            <w:pPr>
              <w:spacing w:before="0" w:after="0" w:line="240" w:lineRule="auto"/>
              <w:rPr>
                <w:rFonts w:eastAsia="Times New Roman"/>
                <w:noProof/>
                <w:color w:val="006100"/>
                <w:sz w:val="22"/>
              </w:rPr>
            </w:pPr>
            <w:r>
              <w:rPr>
                <w:noProof/>
                <w:color w:val="006100"/>
                <w:sz w:val="22"/>
              </w:rPr>
              <w:t>Q2</w:t>
            </w:r>
          </w:p>
        </w:tc>
        <w:tc>
          <w:tcPr>
            <w:tcW w:w="876" w:type="dxa"/>
            <w:tcBorders>
              <w:top w:val="single" w:sz="4" w:space="0" w:color="auto"/>
              <w:left w:val="nil"/>
              <w:bottom w:val="single" w:sz="4" w:space="0" w:color="auto"/>
              <w:right w:val="single" w:sz="4" w:space="0" w:color="auto"/>
            </w:tcBorders>
            <w:shd w:val="clear" w:color="auto" w:fill="C6EFCE"/>
            <w:noWrap/>
          </w:tcPr>
          <w:p w14:paraId="6A4D7E08" w14:textId="602CAF9C" w:rsidR="00175DD2" w:rsidRPr="00DD6A04" w:rsidRDefault="00175DD2" w:rsidP="00175DD2">
            <w:pPr>
              <w:spacing w:before="0" w:after="0" w:line="240" w:lineRule="auto"/>
              <w:rPr>
                <w:rFonts w:eastAsia="Times New Roman"/>
                <w:noProof/>
                <w:color w:val="006100"/>
                <w:sz w:val="22"/>
              </w:rPr>
            </w:pPr>
            <w:r>
              <w:rPr>
                <w:noProof/>
                <w:color w:val="006100"/>
                <w:sz w:val="22"/>
              </w:rPr>
              <w:t>2022</w:t>
            </w:r>
          </w:p>
        </w:tc>
        <w:tc>
          <w:tcPr>
            <w:tcW w:w="3286" w:type="dxa"/>
            <w:tcBorders>
              <w:top w:val="single" w:sz="4" w:space="0" w:color="auto"/>
              <w:left w:val="nil"/>
              <w:bottom w:val="single" w:sz="4" w:space="0" w:color="auto"/>
              <w:right w:val="single" w:sz="4" w:space="0" w:color="auto"/>
            </w:tcBorders>
            <w:shd w:val="clear" w:color="auto" w:fill="C6EFCE"/>
            <w:noWrap/>
          </w:tcPr>
          <w:p w14:paraId="39E8E3D4" w14:textId="68E8EF5D" w:rsidR="00175DD2" w:rsidRPr="00DD6A04" w:rsidRDefault="00175DD2" w:rsidP="00175DD2">
            <w:pPr>
              <w:spacing w:before="0" w:after="0" w:line="240" w:lineRule="auto"/>
              <w:rPr>
                <w:rFonts w:eastAsia="Times New Roman"/>
                <w:noProof/>
                <w:color w:val="006100"/>
                <w:sz w:val="22"/>
                <w:highlight w:val="yellow"/>
              </w:rPr>
            </w:pPr>
            <w:r>
              <w:rPr>
                <w:noProof/>
                <w:color w:val="006100"/>
                <w:sz w:val="22"/>
              </w:rPr>
              <w:t>Novi Zakon o oskrbi z električno energijo bo določal pravila za delovanje trga z električno energijo ter proizvodnjo, prenos, distribucijo, shranjevanje in dobavo električne energije, vključeval pa bo tudi določbe za varstvo končnih odjemalcev, načine in oblike izvajanja javnih služb na področju prenosa in distribucije električne energije ter trga z električno energijo, načela in ukrepe za doseganje zanesljive oskrbe z električno energijo, ukrepe za preprečevanje energetske revščine in druga vprašanja oskrbe z električno energijo.</w:t>
            </w:r>
          </w:p>
        </w:tc>
      </w:tr>
      <w:tr w:rsidR="006B18FC" w:rsidRPr="00DD6A04" w14:paraId="208E2460" w14:textId="77777777" w:rsidTr="00BE4788">
        <w:trPr>
          <w:trHeight w:val="309"/>
          <w:jc w:val="center"/>
        </w:trPr>
        <w:tc>
          <w:tcPr>
            <w:tcW w:w="1358" w:type="dxa"/>
            <w:tcBorders>
              <w:top w:val="single" w:sz="4" w:space="0" w:color="auto"/>
              <w:left w:val="single" w:sz="4" w:space="0" w:color="auto"/>
              <w:bottom w:val="single" w:sz="4" w:space="0" w:color="auto"/>
              <w:right w:val="single" w:sz="4" w:space="0" w:color="auto"/>
            </w:tcBorders>
            <w:shd w:val="clear" w:color="auto" w:fill="C6EFCE"/>
            <w:noWrap/>
          </w:tcPr>
          <w:p w14:paraId="3524520D" w14:textId="4B33B25A" w:rsidR="00175DD2" w:rsidRPr="00DD6A04" w:rsidRDefault="00175DD2" w:rsidP="00175DD2">
            <w:pPr>
              <w:spacing w:before="0" w:after="0" w:line="240" w:lineRule="auto"/>
              <w:rPr>
                <w:rFonts w:eastAsia="Times New Roman"/>
                <w:noProof/>
                <w:color w:val="006100"/>
                <w:sz w:val="22"/>
              </w:rPr>
            </w:pPr>
            <w:r>
              <w:rPr>
                <w:noProof/>
                <w:color w:val="006100"/>
                <w:sz w:val="22"/>
              </w:rPr>
              <w:t>14</w:t>
            </w:r>
          </w:p>
        </w:tc>
        <w:tc>
          <w:tcPr>
            <w:tcW w:w="1435" w:type="dxa"/>
            <w:tcBorders>
              <w:top w:val="single" w:sz="4" w:space="0" w:color="auto"/>
              <w:left w:val="nil"/>
              <w:bottom w:val="single" w:sz="4" w:space="0" w:color="auto"/>
              <w:right w:val="single" w:sz="4" w:space="0" w:color="auto"/>
            </w:tcBorders>
            <w:shd w:val="clear" w:color="auto" w:fill="C6EFCE"/>
            <w:noWrap/>
          </w:tcPr>
          <w:p w14:paraId="4D6C7AB0" w14:textId="194E124C" w:rsidR="00175DD2" w:rsidRPr="00DD6A04" w:rsidRDefault="00175DD2" w:rsidP="00175DD2">
            <w:pPr>
              <w:spacing w:before="0" w:after="0" w:line="240" w:lineRule="auto"/>
              <w:rPr>
                <w:rFonts w:eastAsia="Times New Roman"/>
                <w:noProof/>
                <w:color w:val="006100"/>
                <w:sz w:val="22"/>
              </w:rPr>
            </w:pPr>
            <w:r>
              <w:rPr>
                <w:noProof/>
                <w:color w:val="006100"/>
                <w:sz w:val="22"/>
              </w:rPr>
              <w:t>B: Reforma oskrbe z električno energijo za potrebe spodbujanja obnovljivih virov energije</w:t>
            </w:r>
          </w:p>
        </w:tc>
        <w:tc>
          <w:tcPr>
            <w:tcW w:w="975" w:type="dxa"/>
            <w:tcBorders>
              <w:top w:val="single" w:sz="4" w:space="0" w:color="auto"/>
              <w:left w:val="nil"/>
              <w:bottom w:val="single" w:sz="4" w:space="0" w:color="auto"/>
              <w:right w:val="single" w:sz="4" w:space="0" w:color="auto"/>
            </w:tcBorders>
            <w:shd w:val="clear" w:color="auto" w:fill="C6EFCE"/>
            <w:noWrap/>
          </w:tcPr>
          <w:p w14:paraId="55AB9418" w14:textId="63209ACA" w:rsidR="00175DD2" w:rsidRPr="00DD6A04" w:rsidRDefault="00175DD2" w:rsidP="00175DD2">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325D349C" w14:textId="74DF2586" w:rsidR="00175DD2" w:rsidRPr="00DD6A04" w:rsidRDefault="00175DD2" w:rsidP="00175DD2">
            <w:pPr>
              <w:spacing w:before="0" w:after="0" w:line="240" w:lineRule="auto"/>
              <w:rPr>
                <w:rFonts w:eastAsia="Times New Roman"/>
                <w:noProof/>
                <w:color w:val="006100"/>
                <w:sz w:val="22"/>
              </w:rPr>
            </w:pPr>
            <w:r>
              <w:rPr>
                <w:noProof/>
                <w:color w:val="006100"/>
                <w:sz w:val="22"/>
              </w:rPr>
              <w:t>Dodatna zmogljivost priključenih in delujočih novih proizvodnih naprav za samooskrbo na obnovljive vire energije</w:t>
            </w:r>
          </w:p>
        </w:tc>
        <w:tc>
          <w:tcPr>
            <w:tcW w:w="1701" w:type="dxa"/>
            <w:tcBorders>
              <w:top w:val="single" w:sz="4" w:space="0" w:color="auto"/>
              <w:left w:val="nil"/>
              <w:bottom w:val="single" w:sz="4" w:space="0" w:color="auto"/>
              <w:right w:val="single" w:sz="4" w:space="0" w:color="auto"/>
            </w:tcBorders>
            <w:shd w:val="clear" w:color="auto" w:fill="C6EFCE"/>
            <w:noWrap/>
          </w:tcPr>
          <w:p w14:paraId="3CB820FC" w14:textId="77777777" w:rsidR="00175DD2" w:rsidRPr="00DD6A04" w:rsidRDefault="00175DD2" w:rsidP="00175DD2">
            <w:pPr>
              <w:spacing w:before="0" w:after="0" w:line="240" w:lineRule="auto"/>
              <w:rPr>
                <w:rFonts w:eastAsia="Times New Roman"/>
                <w:noProof/>
                <w:color w:val="006100"/>
                <w:sz w:val="22"/>
                <w:lang w:val="en-GB" w:eastAsia="en-GB"/>
              </w:rPr>
            </w:pPr>
          </w:p>
        </w:tc>
        <w:tc>
          <w:tcPr>
            <w:tcW w:w="1138" w:type="dxa"/>
            <w:tcBorders>
              <w:top w:val="single" w:sz="4" w:space="0" w:color="auto"/>
              <w:left w:val="nil"/>
              <w:bottom w:val="single" w:sz="4" w:space="0" w:color="auto"/>
              <w:right w:val="single" w:sz="4" w:space="0" w:color="auto"/>
            </w:tcBorders>
            <w:shd w:val="clear" w:color="auto" w:fill="C6EFCE"/>
            <w:noWrap/>
          </w:tcPr>
          <w:p w14:paraId="2FAF8655" w14:textId="77777777" w:rsidR="00175DD2" w:rsidRPr="00DD6A04" w:rsidRDefault="00175DD2" w:rsidP="00175DD2">
            <w:pPr>
              <w:spacing w:before="0" w:after="0" w:line="240" w:lineRule="auto"/>
              <w:rPr>
                <w:rFonts w:eastAsia="Times New Roman"/>
                <w:noProof/>
                <w:color w:val="006100"/>
                <w:sz w:val="22"/>
              </w:rPr>
            </w:pPr>
            <w:r>
              <w:rPr>
                <w:noProof/>
                <w:color w:val="006100"/>
                <w:sz w:val="22"/>
              </w:rPr>
              <w:t>Število</w:t>
            </w:r>
          </w:p>
          <w:p w14:paraId="7ED634FE" w14:textId="7BC14012" w:rsidR="00175DD2" w:rsidRPr="00DD6A04" w:rsidRDefault="00175DD2" w:rsidP="00175DD2">
            <w:pPr>
              <w:spacing w:before="0" w:after="0" w:line="240" w:lineRule="auto"/>
              <w:rPr>
                <w:rFonts w:eastAsia="Times New Roman"/>
                <w:noProof/>
                <w:color w:val="006100"/>
                <w:sz w:val="22"/>
              </w:rPr>
            </w:pPr>
            <w:r>
              <w:rPr>
                <w:noProof/>
                <w:color w:val="006100"/>
                <w:sz w:val="22"/>
              </w:rPr>
              <w:t>(MW)</w:t>
            </w:r>
          </w:p>
        </w:tc>
        <w:tc>
          <w:tcPr>
            <w:tcW w:w="1271" w:type="dxa"/>
            <w:tcBorders>
              <w:top w:val="single" w:sz="4" w:space="0" w:color="auto"/>
              <w:left w:val="nil"/>
              <w:bottom w:val="single" w:sz="4" w:space="0" w:color="auto"/>
              <w:right w:val="single" w:sz="4" w:space="0" w:color="auto"/>
            </w:tcBorders>
            <w:shd w:val="clear" w:color="auto" w:fill="C6EFCE"/>
            <w:noWrap/>
          </w:tcPr>
          <w:p w14:paraId="7ABBDF1E" w14:textId="3FC3E089" w:rsidR="00175DD2" w:rsidRPr="00DD6A04" w:rsidRDefault="00175DD2" w:rsidP="00175DD2">
            <w:pPr>
              <w:spacing w:before="0" w:after="0" w:line="240" w:lineRule="auto"/>
              <w:rPr>
                <w:rFonts w:eastAsia="Times New Roman"/>
                <w:noProof/>
                <w:color w:val="006100"/>
                <w:sz w:val="22"/>
              </w:rPr>
            </w:pPr>
            <w:r>
              <w:rPr>
                <w:noProof/>
                <w:color w:val="006100"/>
                <w:sz w:val="22"/>
              </w:rPr>
              <w:t>0</w:t>
            </w:r>
          </w:p>
        </w:tc>
        <w:tc>
          <w:tcPr>
            <w:tcW w:w="993" w:type="dxa"/>
            <w:tcBorders>
              <w:top w:val="single" w:sz="4" w:space="0" w:color="auto"/>
              <w:left w:val="nil"/>
              <w:bottom w:val="single" w:sz="4" w:space="0" w:color="auto"/>
              <w:right w:val="single" w:sz="4" w:space="0" w:color="auto"/>
            </w:tcBorders>
            <w:shd w:val="clear" w:color="auto" w:fill="C6EFCE"/>
            <w:noWrap/>
          </w:tcPr>
          <w:p w14:paraId="146B8301" w14:textId="5889B41F" w:rsidR="00175DD2" w:rsidRPr="00DD6A04" w:rsidRDefault="00175DD2" w:rsidP="00175DD2">
            <w:pPr>
              <w:spacing w:before="0" w:after="0" w:line="240" w:lineRule="auto"/>
              <w:rPr>
                <w:rFonts w:eastAsia="Times New Roman"/>
                <w:noProof/>
                <w:color w:val="006100"/>
                <w:sz w:val="22"/>
              </w:rPr>
            </w:pPr>
            <w:r>
              <w:rPr>
                <w:noProof/>
                <w:color w:val="006100"/>
                <w:sz w:val="22"/>
              </w:rPr>
              <w:t>55</w:t>
            </w:r>
          </w:p>
        </w:tc>
        <w:tc>
          <w:tcPr>
            <w:tcW w:w="850" w:type="dxa"/>
            <w:tcBorders>
              <w:top w:val="single" w:sz="4" w:space="0" w:color="auto"/>
              <w:left w:val="nil"/>
              <w:bottom w:val="single" w:sz="4" w:space="0" w:color="auto"/>
              <w:right w:val="single" w:sz="4" w:space="0" w:color="auto"/>
            </w:tcBorders>
            <w:shd w:val="clear" w:color="auto" w:fill="C6EFCE"/>
            <w:noWrap/>
          </w:tcPr>
          <w:p w14:paraId="7B8D6FA3" w14:textId="35CFE6A0" w:rsidR="00175DD2" w:rsidRPr="00DD6A04" w:rsidRDefault="00175DD2" w:rsidP="00175DD2">
            <w:pPr>
              <w:spacing w:before="0" w:after="0" w:line="240" w:lineRule="auto"/>
              <w:rPr>
                <w:rFonts w:eastAsia="Times New Roman"/>
                <w:noProof/>
                <w:color w:val="006100"/>
                <w:sz w:val="22"/>
              </w:rPr>
            </w:pPr>
            <w:r>
              <w:rPr>
                <w:noProof/>
                <w:color w:val="006100"/>
                <w:sz w:val="22"/>
              </w:rPr>
              <w:t>Q4</w:t>
            </w:r>
          </w:p>
        </w:tc>
        <w:tc>
          <w:tcPr>
            <w:tcW w:w="876" w:type="dxa"/>
            <w:tcBorders>
              <w:top w:val="single" w:sz="4" w:space="0" w:color="auto"/>
              <w:left w:val="nil"/>
              <w:bottom w:val="single" w:sz="4" w:space="0" w:color="auto"/>
              <w:right w:val="single" w:sz="4" w:space="0" w:color="auto"/>
            </w:tcBorders>
            <w:shd w:val="clear" w:color="auto" w:fill="C6EFCE"/>
            <w:noWrap/>
          </w:tcPr>
          <w:p w14:paraId="7C00BBD8" w14:textId="03CF480B" w:rsidR="00175DD2" w:rsidRPr="00DD6A04" w:rsidRDefault="00175DD2" w:rsidP="00175DD2">
            <w:pPr>
              <w:spacing w:before="0" w:after="0" w:line="240" w:lineRule="auto"/>
              <w:rPr>
                <w:rFonts w:eastAsia="Times New Roman"/>
                <w:noProof/>
                <w:color w:val="006100"/>
                <w:sz w:val="22"/>
              </w:rPr>
            </w:pPr>
            <w:r>
              <w:rPr>
                <w:noProof/>
                <w:color w:val="006100"/>
                <w:sz w:val="22"/>
              </w:rPr>
              <w:t>2025</w:t>
            </w:r>
          </w:p>
        </w:tc>
        <w:tc>
          <w:tcPr>
            <w:tcW w:w="3286" w:type="dxa"/>
            <w:tcBorders>
              <w:top w:val="single" w:sz="4" w:space="0" w:color="auto"/>
              <w:left w:val="nil"/>
              <w:bottom w:val="single" w:sz="4" w:space="0" w:color="auto"/>
              <w:right w:val="single" w:sz="4" w:space="0" w:color="auto"/>
            </w:tcBorders>
            <w:shd w:val="clear" w:color="auto" w:fill="C6EFCE"/>
            <w:noWrap/>
          </w:tcPr>
          <w:p w14:paraId="43334295" w14:textId="420B7F26" w:rsidR="00175DD2" w:rsidRPr="00DD6A04" w:rsidRDefault="00175DD2" w:rsidP="00175DD2">
            <w:pPr>
              <w:spacing w:before="0" w:after="0" w:line="240" w:lineRule="auto"/>
              <w:rPr>
                <w:rFonts w:eastAsia="Times New Roman"/>
                <w:noProof/>
                <w:color w:val="006100"/>
                <w:sz w:val="22"/>
              </w:rPr>
            </w:pPr>
            <w:r>
              <w:rPr>
                <w:noProof/>
                <w:color w:val="006100"/>
                <w:sz w:val="22"/>
              </w:rPr>
              <w:t>Gre za dodatno zmogljivost novih, priključenih in operativnih proizvodnih naprav za samooskrbo. Njihovo izgradnjo, priključitev in začetek delovanja naj bi spodbudil začetek veljavnosti Zakona o oskrbi z električno energijo.</w:t>
            </w:r>
          </w:p>
        </w:tc>
      </w:tr>
      <w:tr w:rsidR="006B18FC" w:rsidRPr="00DD6A04" w14:paraId="2B28D8C4" w14:textId="77777777" w:rsidTr="00BE4788">
        <w:trPr>
          <w:trHeight w:val="309"/>
          <w:jc w:val="center"/>
        </w:trPr>
        <w:tc>
          <w:tcPr>
            <w:tcW w:w="1358" w:type="dxa"/>
            <w:tcBorders>
              <w:top w:val="single" w:sz="4" w:space="0" w:color="auto"/>
              <w:left w:val="single" w:sz="4" w:space="0" w:color="auto"/>
              <w:bottom w:val="single" w:sz="4" w:space="0" w:color="auto"/>
              <w:right w:val="single" w:sz="4" w:space="0" w:color="auto"/>
            </w:tcBorders>
            <w:shd w:val="clear" w:color="auto" w:fill="C6EFCE"/>
            <w:noWrap/>
          </w:tcPr>
          <w:p w14:paraId="5081B19B" w14:textId="4E19B4A3" w:rsidR="00175DD2" w:rsidRPr="00DD6A04" w:rsidRDefault="00175DD2" w:rsidP="00175DD2">
            <w:pPr>
              <w:spacing w:before="0" w:after="0" w:line="240" w:lineRule="auto"/>
              <w:rPr>
                <w:rFonts w:eastAsia="Times New Roman"/>
                <w:noProof/>
                <w:color w:val="006100"/>
                <w:sz w:val="22"/>
              </w:rPr>
            </w:pPr>
            <w:r>
              <w:rPr>
                <w:noProof/>
                <w:color w:val="006100"/>
                <w:sz w:val="22"/>
              </w:rPr>
              <w:t>15</w:t>
            </w:r>
          </w:p>
        </w:tc>
        <w:tc>
          <w:tcPr>
            <w:tcW w:w="1435" w:type="dxa"/>
            <w:tcBorders>
              <w:top w:val="single" w:sz="4" w:space="0" w:color="auto"/>
              <w:left w:val="nil"/>
              <w:bottom w:val="single" w:sz="4" w:space="0" w:color="auto"/>
              <w:right w:val="single" w:sz="4" w:space="0" w:color="auto"/>
            </w:tcBorders>
            <w:shd w:val="clear" w:color="auto" w:fill="C6EFCE"/>
            <w:noWrap/>
          </w:tcPr>
          <w:p w14:paraId="1A8756A9" w14:textId="4B33B744" w:rsidR="00175DD2" w:rsidRPr="00DD6A04" w:rsidRDefault="00175DD2" w:rsidP="00175DD2">
            <w:pPr>
              <w:spacing w:before="0" w:after="0" w:line="240" w:lineRule="auto"/>
              <w:rPr>
                <w:rFonts w:eastAsia="Times New Roman"/>
                <w:noProof/>
                <w:color w:val="006100"/>
                <w:sz w:val="22"/>
              </w:rPr>
            </w:pPr>
            <w:r>
              <w:rPr>
                <w:noProof/>
                <w:color w:val="006100"/>
                <w:sz w:val="22"/>
              </w:rPr>
              <w:t>E: Proizvodnja elektrike iz obnovljivih virov energije</w:t>
            </w:r>
          </w:p>
        </w:tc>
        <w:tc>
          <w:tcPr>
            <w:tcW w:w="975" w:type="dxa"/>
            <w:tcBorders>
              <w:top w:val="single" w:sz="4" w:space="0" w:color="auto"/>
              <w:left w:val="nil"/>
              <w:bottom w:val="single" w:sz="4" w:space="0" w:color="auto"/>
              <w:right w:val="single" w:sz="4" w:space="0" w:color="auto"/>
            </w:tcBorders>
            <w:shd w:val="clear" w:color="auto" w:fill="C6EFCE"/>
            <w:noWrap/>
          </w:tcPr>
          <w:p w14:paraId="55145295" w14:textId="1A0A94AE" w:rsidR="00175DD2" w:rsidRPr="00DD6A04" w:rsidRDefault="00175DD2" w:rsidP="00175DD2">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07B0F905" w14:textId="035D4A80" w:rsidR="00175DD2" w:rsidRPr="00DD6A04" w:rsidRDefault="00FC24F2" w:rsidP="5B9C4358">
            <w:pPr>
              <w:spacing w:before="0" w:after="0" w:line="240" w:lineRule="auto"/>
              <w:rPr>
                <w:rFonts w:eastAsia="Times New Roman"/>
                <w:noProof/>
                <w:color w:val="006100"/>
                <w:sz w:val="22"/>
              </w:rPr>
            </w:pPr>
            <w:r>
              <w:rPr>
                <w:noProof/>
                <w:color w:val="006100"/>
                <w:sz w:val="22"/>
              </w:rPr>
              <w:t>Oddaja naročil za nove proizvodne naprave na obnovljive vire energije</w:t>
            </w:r>
          </w:p>
        </w:tc>
        <w:tc>
          <w:tcPr>
            <w:tcW w:w="1701" w:type="dxa"/>
            <w:tcBorders>
              <w:top w:val="single" w:sz="4" w:space="0" w:color="auto"/>
              <w:left w:val="nil"/>
              <w:bottom w:val="single" w:sz="4" w:space="0" w:color="auto"/>
              <w:right w:val="single" w:sz="4" w:space="0" w:color="auto"/>
            </w:tcBorders>
            <w:shd w:val="clear" w:color="auto" w:fill="C6EFCE"/>
            <w:noWrap/>
          </w:tcPr>
          <w:p w14:paraId="2B4DF4F5" w14:textId="407EB846" w:rsidR="00175DD2" w:rsidRPr="00DD6A04" w:rsidRDefault="00175DD2" w:rsidP="00175DD2">
            <w:pPr>
              <w:spacing w:before="0" w:after="0" w:line="240" w:lineRule="auto"/>
              <w:rPr>
                <w:rFonts w:eastAsia="Times New Roman"/>
                <w:noProof/>
                <w:color w:val="006100"/>
                <w:sz w:val="22"/>
              </w:rPr>
            </w:pPr>
            <w:r>
              <w:rPr>
                <w:noProof/>
                <w:color w:val="006100"/>
                <w:sz w:val="22"/>
              </w:rPr>
              <w:t xml:space="preserve">Objava rezultatov razpisa </w:t>
            </w:r>
          </w:p>
        </w:tc>
        <w:tc>
          <w:tcPr>
            <w:tcW w:w="1138" w:type="dxa"/>
            <w:tcBorders>
              <w:top w:val="single" w:sz="4" w:space="0" w:color="auto"/>
              <w:left w:val="nil"/>
              <w:bottom w:val="single" w:sz="4" w:space="0" w:color="auto"/>
              <w:right w:val="single" w:sz="4" w:space="0" w:color="auto"/>
            </w:tcBorders>
            <w:shd w:val="clear" w:color="auto" w:fill="C6EFCE"/>
            <w:noWrap/>
          </w:tcPr>
          <w:p w14:paraId="68BB210F" w14:textId="2AF65C01"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1271" w:type="dxa"/>
            <w:tcBorders>
              <w:top w:val="single" w:sz="4" w:space="0" w:color="auto"/>
              <w:left w:val="nil"/>
              <w:bottom w:val="single" w:sz="4" w:space="0" w:color="auto"/>
              <w:right w:val="single" w:sz="4" w:space="0" w:color="auto"/>
            </w:tcBorders>
            <w:shd w:val="clear" w:color="auto" w:fill="C6EFCE"/>
            <w:noWrap/>
          </w:tcPr>
          <w:p w14:paraId="6DF03648" w14:textId="483469A8"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nil"/>
              <w:bottom w:val="single" w:sz="4" w:space="0" w:color="auto"/>
              <w:right w:val="single" w:sz="4" w:space="0" w:color="auto"/>
            </w:tcBorders>
            <w:shd w:val="clear" w:color="auto" w:fill="C6EFCE"/>
            <w:noWrap/>
          </w:tcPr>
          <w:p w14:paraId="335F4F55" w14:textId="1DC61CF6"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6A734E5C" w14:textId="5451D56B" w:rsidR="00175DD2" w:rsidRPr="00DD6A04" w:rsidRDefault="00175DD2" w:rsidP="00175DD2">
            <w:pPr>
              <w:spacing w:before="0" w:after="0" w:line="240" w:lineRule="auto"/>
              <w:rPr>
                <w:rFonts w:eastAsia="Times New Roman"/>
                <w:noProof/>
                <w:color w:val="006100"/>
                <w:sz w:val="22"/>
              </w:rPr>
            </w:pPr>
            <w:r>
              <w:rPr>
                <w:noProof/>
                <w:color w:val="006100"/>
                <w:sz w:val="22"/>
              </w:rPr>
              <w:t>Q4</w:t>
            </w:r>
          </w:p>
        </w:tc>
        <w:tc>
          <w:tcPr>
            <w:tcW w:w="876" w:type="dxa"/>
            <w:tcBorders>
              <w:top w:val="single" w:sz="4" w:space="0" w:color="auto"/>
              <w:left w:val="nil"/>
              <w:bottom w:val="single" w:sz="4" w:space="0" w:color="auto"/>
              <w:right w:val="single" w:sz="4" w:space="0" w:color="auto"/>
            </w:tcBorders>
            <w:shd w:val="clear" w:color="auto" w:fill="C6EFCE"/>
            <w:noWrap/>
          </w:tcPr>
          <w:p w14:paraId="6492217F" w14:textId="0F386D2E" w:rsidR="00175DD2" w:rsidRPr="00DD6A04" w:rsidRDefault="00175DD2" w:rsidP="00175DD2">
            <w:pPr>
              <w:spacing w:before="0" w:after="0" w:line="240" w:lineRule="auto"/>
              <w:rPr>
                <w:rFonts w:eastAsia="Times New Roman"/>
                <w:noProof/>
                <w:color w:val="006100"/>
                <w:sz w:val="22"/>
              </w:rPr>
            </w:pPr>
            <w:r>
              <w:rPr>
                <w:noProof/>
                <w:color w:val="006100"/>
                <w:sz w:val="22"/>
              </w:rPr>
              <w:t>2024</w:t>
            </w:r>
          </w:p>
        </w:tc>
        <w:tc>
          <w:tcPr>
            <w:tcW w:w="3286" w:type="dxa"/>
            <w:tcBorders>
              <w:top w:val="single" w:sz="4" w:space="0" w:color="auto"/>
              <w:left w:val="nil"/>
              <w:bottom w:val="single" w:sz="4" w:space="0" w:color="auto"/>
              <w:right w:val="single" w:sz="4" w:space="0" w:color="auto"/>
            </w:tcBorders>
            <w:shd w:val="clear" w:color="auto" w:fill="C6EFCE"/>
            <w:noWrap/>
          </w:tcPr>
          <w:p w14:paraId="1F1E5413" w14:textId="77777777" w:rsidR="00175DD2" w:rsidRPr="00DD6A04" w:rsidRDefault="00175DD2" w:rsidP="00175DD2">
            <w:pPr>
              <w:spacing w:before="0" w:after="0" w:line="240" w:lineRule="auto"/>
              <w:rPr>
                <w:rFonts w:eastAsia="Times New Roman"/>
                <w:noProof/>
                <w:color w:val="006100"/>
                <w:sz w:val="22"/>
              </w:rPr>
            </w:pPr>
            <w:r>
              <w:rPr>
                <w:noProof/>
                <w:color w:val="006100"/>
                <w:sz w:val="22"/>
              </w:rPr>
              <w:t xml:space="preserve">Objava rezultatov razpisa za sofinanciranje izgradnje novih proizvodnih naprav na obnovljive vire energije (hidroelektrarne oziroma geotermalna ali sončna tehnologija za javne stavbe). </w:t>
            </w:r>
          </w:p>
          <w:p w14:paraId="698C2249" w14:textId="77777777" w:rsidR="00175DD2" w:rsidRPr="00DD6A04" w:rsidRDefault="00175DD2" w:rsidP="00175DD2">
            <w:pPr>
              <w:spacing w:before="0" w:after="0" w:line="240" w:lineRule="auto"/>
              <w:rPr>
                <w:rFonts w:eastAsia="Times New Roman"/>
                <w:noProof/>
                <w:color w:val="006100"/>
                <w:sz w:val="22"/>
                <w:lang w:val="en-GB" w:eastAsia="en-GB"/>
              </w:rPr>
            </w:pPr>
          </w:p>
          <w:p w14:paraId="400C2C00" w14:textId="02C13037" w:rsidR="00175DD2" w:rsidRPr="00DD6A04" w:rsidRDefault="248CAD6B" w:rsidP="150EC00E">
            <w:pPr>
              <w:spacing w:before="0" w:after="0" w:line="240" w:lineRule="auto"/>
              <w:rPr>
                <w:rFonts w:eastAsia="Times New Roman"/>
                <w:noProof/>
                <w:color w:val="006100"/>
                <w:sz w:val="22"/>
              </w:rPr>
            </w:pPr>
            <w:r>
              <w:rPr>
                <w:noProof/>
                <w:color w:val="006100"/>
                <w:sz w:val="22"/>
              </w:rPr>
              <w:t>Razpis bo zagotavljal skladnost s tehničnimi smernicami za uporabo načela, da se ne škoduje bistveno (2021/C58/01), za izbrane projekte, saj bo zahteval skladnost z ustrezno okoljsko zakonodajo EU in nacionalno okoljsko zakonodajo ter poglavjem 4.5 „Proizvodnja električne energije iz hidroelektrarn“ (Priloga I k Delegirani uredbi Komisije (EU) (C(2021) 2800 final), ki dopolnjuje uredbo o taksonomiji (Uredba (EU) 2020/852).</w:t>
            </w:r>
          </w:p>
          <w:p w14:paraId="551BEB90" w14:textId="6AE2C446" w:rsidR="00175DD2" w:rsidRPr="00DD6A04" w:rsidRDefault="00037751" w:rsidP="00175DD2">
            <w:pPr>
              <w:spacing w:before="0" w:after="0" w:line="240" w:lineRule="auto"/>
              <w:rPr>
                <w:rFonts w:eastAsia="Times New Roman"/>
                <w:noProof/>
                <w:color w:val="006100"/>
                <w:sz w:val="22"/>
              </w:rPr>
            </w:pPr>
            <w:r>
              <w:rPr>
                <w:noProof/>
                <w:color w:val="006100"/>
                <w:sz w:val="22"/>
              </w:rPr>
              <w:t xml:space="preserve"> </w:t>
            </w:r>
          </w:p>
        </w:tc>
      </w:tr>
      <w:tr w:rsidR="006B18FC" w:rsidRPr="00DD6A04" w14:paraId="67129AEC" w14:textId="77777777" w:rsidTr="00BE4788">
        <w:trPr>
          <w:trHeight w:val="309"/>
          <w:jc w:val="center"/>
        </w:trPr>
        <w:tc>
          <w:tcPr>
            <w:tcW w:w="1358" w:type="dxa"/>
            <w:tcBorders>
              <w:top w:val="single" w:sz="4" w:space="0" w:color="auto"/>
              <w:left w:val="single" w:sz="4" w:space="0" w:color="auto"/>
              <w:bottom w:val="single" w:sz="4" w:space="0" w:color="auto"/>
              <w:right w:val="single" w:sz="4" w:space="0" w:color="auto"/>
            </w:tcBorders>
            <w:shd w:val="clear" w:color="auto" w:fill="C6EFCE"/>
            <w:noWrap/>
          </w:tcPr>
          <w:p w14:paraId="1EDF9BF6" w14:textId="72E735F4" w:rsidR="00175DD2" w:rsidRPr="00DD6A04" w:rsidRDefault="00175DD2" w:rsidP="00175DD2">
            <w:pPr>
              <w:spacing w:before="0" w:after="0" w:line="240" w:lineRule="auto"/>
              <w:rPr>
                <w:rFonts w:eastAsia="Times New Roman"/>
                <w:noProof/>
                <w:color w:val="006100"/>
                <w:sz w:val="22"/>
              </w:rPr>
            </w:pPr>
            <w:r>
              <w:rPr>
                <w:noProof/>
                <w:color w:val="006100"/>
                <w:sz w:val="22"/>
              </w:rPr>
              <w:t>16</w:t>
            </w:r>
          </w:p>
        </w:tc>
        <w:tc>
          <w:tcPr>
            <w:tcW w:w="1435" w:type="dxa"/>
            <w:tcBorders>
              <w:top w:val="single" w:sz="4" w:space="0" w:color="auto"/>
              <w:left w:val="nil"/>
              <w:bottom w:val="single" w:sz="4" w:space="0" w:color="auto"/>
              <w:right w:val="single" w:sz="4" w:space="0" w:color="auto"/>
            </w:tcBorders>
            <w:shd w:val="clear" w:color="auto" w:fill="C6EFCE"/>
            <w:noWrap/>
          </w:tcPr>
          <w:p w14:paraId="036EE40B" w14:textId="2B0DC615" w:rsidR="00175DD2" w:rsidRPr="00DD6A04" w:rsidRDefault="00175DD2" w:rsidP="00175DD2">
            <w:pPr>
              <w:spacing w:before="0" w:after="0" w:line="240" w:lineRule="auto"/>
              <w:rPr>
                <w:rFonts w:eastAsia="Times New Roman"/>
                <w:noProof/>
                <w:color w:val="006100"/>
                <w:sz w:val="22"/>
              </w:rPr>
            </w:pPr>
            <w:r>
              <w:rPr>
                <w:noProof/>
                <w:color w:val="006100"/>
                <w:sz w:val="22"/>
              </w:rPr>
              <w:t>E: Proizvodnja elektrike iz obnovljivih virov energije</w:t>
            </w:r>
          </w:p>
        </w:tc>
        <w:tc>
          <w:tcPr>
            <w:tcW w:w="975" w:type="dxa"/>
            <w:tcBorders>
              <w:top w:val="single" w:sz="4" w:space="0" w:color="auto"/>
              <w:left w:val="nil"/>
              <w:bottom w:val="single" w:sz="4" w:space="0" w:color="auto"/>
              <w:right w:val="single" w:sz="4" w:space="0" w:color="auto"/>
            </w:tcBorders>
            <w:shd w:val="clear" w:color="auto" w:fill="C6EFCE"/>
            <w:noWrap/>
          </w:tcPr>
          <w:p w14:paraId="502F2BE6" w14:textId="4A74D198" w:rsidR="00175DD2" w:rsidRPr="00DD6A04" w:rsidRDefault="00175DD2" w:rsidP="00175DD2">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3CB3EF58" w14:textId="00439977" w:rsidR="00175DD2" w:rsidRPr="00DD6A04" w:rsidRDefault="00175DD2" w:rsidP="00175DD2">
            <w:pPr>
              <w:spacing w:before="0" w:after="0" w:line="240" w:lineRule="auto"/>
              <w:rPr>
                <w:rFonts w:eastAsia="Times New Roman"/>
                <w:noProof/>
                <w:color w:val="006100"/>
                <w:sz w:val="22"/>
              </w:rPr>
            </w:pPr>
            <w:r>
              <w:rPr>
                <w:noProof/>
                <w:color w:val="006100"/>
                <w:sz w:val="22"/>
              </w:rPr>
              <w:t>Dodatna zmogljivost novih naprav za proizvodnjo električne energije iz obnovljivih virov</w:t>
            </w:r>
            <w:r w:rsidR="00037751">
              <w:rPr>
                <w:noProof/>
                <w:color w:val="006100"/>
                <w:sz w:val="22"/>
              </w:rPr>
              <w:t xml:space="preserve"> </w:t>
            </w:r>
          </w:p>
        </w:tc>
        <w:tc>
          <w:tcPr>
            <w:tcW w:w="1701" w:type="dxa"/>
            <w:tcBorders>
              <w:top w:val="single" w:sz="4" w:space="0" w:color="auto"/>
              <w:left w:val="nil"/>
              <w:bottom w:val="single" w:sz="4" w:space="0" w:color="auto"/>
              <w:right w:val="single" w:sz="4" w:space="0" w:color="auto"/>
            </w:tcBorders>
            <w:shd w:val="clear" w:color="auto" w:fill="C6EFCE"/>
            <w:noWrap/>
          </w:tcPr>
          <w:p w14:paraId="5DF1E62C" w14:textId="652AB8C4"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1138" w:type="dxa"/>
            <w:tcBorders>
              <w:top w:val="single" w:sz="4" w:space="0" w:color="auto"/>
              <w:left w:val="nil"/>
              <w:bottom w:val="single" w:sz="4" w:space="0" w:color="auto"/>
              <w:right w:val="single" w:sz="4" w:space="0" w:color="auto"/>
            </w:tcBorders>
            <w:shd w:val="clear" w:color="auto" w:fill="C6EFCE"/>
            <w:noWrap/>
          </w:tcPr>
          <w:p w14:paraId="32FF1397" w14:textId="77777777" w:rsidR="00175DD2" w:rsidRPr="00DD6A04" w:rsidRDefault="00175DD2" w:rsidP="00175DD2">
            <w:pPr>
              <w:spacing w:before="0" w:after="0" w:line="240" w:lineRule="auto"/>
              <w:rPr>
                <w:rFonts w:eastAsia="Times New Roman"/>
                <w:noProof/>
                <w:color w:val="006100"/>
                <w:sz w:val="22"/>
              </w:rPr>
            </w:pPr>
            <w:r>
              <w:rPr>
                <w:noProof/>
                <w:color w:val="006100"/>
                <w:sz w:val="22"/>
              </w:rPr>
              <w:t>Število</w:t>
            </w:r>
          </w:p>
          <w:p w14:paraId="241812B5" w14:textId="7E9F6044" w:rsidR="00175DD2" w:rsidRPr="00DD6A04" w:rsidRDefault="00175DD2" w:rsidP="00175DD2">
            <w:pPr>
              <w:spacing w:before="0" w:after="0" w:line="240" w:lineRule="auto"/>
              <w:rPr>
                <w:rFonts w:eastAsia="Times New Roman"/>
                <w:noProof/>
                <w:color w:val="006100"/>
                <w:sz w:val="22"/>
              </w:rPr>
            </w:pPr>
            <w:r>
              <w:rPr>
                <w:noProof/>
                <w:color w:val="006100"/>
                <w:sz w:val="22"/>
              </w:rPr>
              <w:t>(MW)</w:t>
            </w:r>
          </w:p>
        </w:tc>
        <w:tc>
          <w:tcPr>
            <w:tcW w:w="1271" w:type="dxa"/>
            <w:tcBorders>
              <w:top w:val="single" w:sz="4" w:space="0" w:color="auto"/>
              <w:left w:val="nil"/>
              <w:bottom w:val="single" w:sz="4" w:space="0" w:color="auto"/>
              <w:right w:val="single" w:sz="4" w:space="0" w:color="auto"/>
            </w:tcBorders>
            <w:shd w:val="clear" w:color="auto" w:fill="C6EFCE"/>
            <w:noWrap/>
          </w:tcPr>
          <w:p w14:paraId="4A9272BC" w14:textId="433D1DCB" w:rsidR="00175DD2" w:rsidRPr="00DD6A04" w:rsidRDefault="00175DD2" w:rsidP="00175DD2">
            <w:pPr>
              <w:spacing w:before="0" w:after="0" w:line="240" w:lineRule="auto"/>
              <w:rPr>
                <w:rFonts w:eastAsia="Times New Roman"/>
                <w:noProof/>
                <w:color w:val="006100"/>
                <w:sz w:val="22"/>
              </w:rPr>
            </w:pPr>
            <w:r>
              <w:rPr>
                <w:noProof/>
                <w:color w:val="006100"/>
                <w:sz w:val="22"/>
              </w:rPr>
              <w:t>0</w:t>
            </w:r>
          </w:p>
        </w:tc>
        <w:tc>
          <w:tcPr>
            <w:tcW w:w="993" w:type="dxa"/>
            <w:tcBorders>
              <w:top w:val="single" w:sz="4" w:space="0" w:color="auto"/>
              <w:left w:val="nil"/>
              <w:bottom w:val="single" w:sz="4" w:space="0" w:color="auto"/>
              <w:right w:val="single" w:sz="4" w:space="0" w:color="auto"/>
            </w:tcBorders>
            <w:shd w:val="clear" w:color="auto" w:fill="C6EFCE"/>
            <w:noWrap/>
          </w:tcPr>
          <w:p w14:paraId="6F486CFD" w14:textId="486371CA" w:rsidR="00175DD2" w:rsidRPr="00DD6A04" w:rsidRDefault="00175DD2" w:rsidP="00175DD2">
            <w:pPr>
              <w:spacing w:before="0" w:after="0" w:line="240" w:lineRule="auto"/>
              <w:rPr>
                <w:rFonts w:eastAsia="Times New Roman"/>
                <w:noProof/>
                <w:color w:val="006100"/>
                <w:sz w:val="22"/>
              </w:rPr>
            </w:pPr>
            <w:r>
              <w:rPr>
                <w:noProof/>
                <w:color w:val="006100"/>
                <w:sz w:val="22"/>
              </w:rPr>
              <w:t>30</w:t>
            </w:r>
          </w:p>
        </w:tc>
        <w:tc>
          <w:tcPr>
            <w:tcW w:w="850" w:type="dxa"/>
            <w:tcBorders>
              <w:top w:val="single" w:sz="4" w:space="0" w:color="auto"/>
              <w:left w:val="nil"/>
              <w:bottom w:val="single" w:sz="4" w:space="0" w:color="auto"/>
              <w:right w:val="single" w:sz="4" w:space="0" w:color="auto"/>
            </w:tcBorders>
            <w:shd w:val="clear" w:color="auto" w:fill="C6EFCE"/>
            <w:noWrap/>
          </w:tcPr>
          <w:p w14:paraId="488A05D1" w14:textId="50581CE6" w:rsidR="00175DD2" w:rsidRPr="00DD6A04" w:rsidRDefault="00175DD2" w:rsidP="00175DD2">
            <w:pPr>
              <w:spacing w:before="0" w:after="0" w:line="240" w:lineRule="auto"/>
              <w:rPr>
                <w:rFonts w:eastAsia="Times New Roman"/>
                <w:noProof/>
                <w:color w:val="006100"/>
                <w:sz w:val="22"/>
              </w:rPr>
            </w:pPr>
            <w:r>
              <w:rPr>
                <w:noProof/>
                <w:color w:val="006100"/>
                <w:sz w:val="22"/>
              </w:rPr>
              <w:t>Q2</w:t>
            </w:r>
          </w:p>
        </w:tc>
        <w:tc>
          <w:tcPr>
            <w:tcW w:w="876" w:type="dxa"/>
            <w:tcBorders>
              <w:top w:val="single" w:sz="4" w:space="0" w:color="auto"/>
              <w:left w:val="nil"/>
              <w:bottom w:val="single" w:sz="4" w:space="0" w:color="auto"/>
              <w:right w:val="single" w:sz="4" w:space="0" w:color="auto"/>
            </w:tcBorders>
            <w:shd w:val="clear" w:color="auto" w:fill="C6EFCE"/>
            <w:noWrap/>
          </w:tcPr>
          <w:p w14:paraId="720E0FF2" w14:textId="5F5977D9" w:rsidR="00175DD2" w:rsidRPr="00DD6A04" w:rsidRDefault="00175DD2" w:rsidP="00175DD2">
            <w:pPr>
              <w:spacing w:before="0" w:after="0" w:line="240" w:lineRule="auto"/>
              <w:rPr>
                <w:rFonts w:eastAsia="Times New Roman"/>
                <w:noProof/>
                <w:color w:val="006100"/>
                <w:sz w:val="22"/>
              </w:rPr>
            </w:pPr>
            <w:r>
              <w:rPr>
                <w:noProof/>
                <w:color w:val="006100"/>
                <w:sz w:val="22"/>
              </w:rPr>
              <w:t>2026</w:t>
            </w:r>
          </w:p>
        </w:tc>
        <w:tc>
          <w:tcPr>
            <w:tcW w:w="3286" w:type="dxa"/>
            <w:tcBorders>
              <w:top w:val="single" w:sz="4" w:space="0" w:color="auto"/>
              <w:left w:val="nil"/>
              <w:bottom w:val="single" w:sz="4" w:space="0" w:color="auto"/>
              <w:right w:val="single" w:sz="4" w:space="0" w:color="auto"/>
            </w:tcBorders>
            <w:shd w:val="clear" w:color="auto" w:fill="C6EFCE"/>
            <w:noWrap/>
          </w:tcPr>
          <w:p w14:paraId="0657A6F0" w14:textId="7210B5E7" w:rsidR="00175DD2" w:rsidRPr="00DD6A04" w:rsidRDefault="248CAD6B" w:rsidP="150EC00E">
            <w:pPr>
              <w:spacing w:before="0" w:after="0" w:line="240" w:lineRule="auto"/>
              <w:rPr>
                <w:rFonts w:eastAsia="Times New Roman"/>
                <w:noProof/>
                <w:color w:val="006100"/>
                <w:sz w:val="22"/>
              </w:rPr>
            </w:pPr>
            <w:r>
              <w:rPr>
                <w:noProof/>
                <w:color w:val="006100"/>
                <w:sz w:val="22"/>
              </w:rPr>
              <w:t xml:space="preserve">30 MW delujoče zmogljivosti za proizvodnjo električne energije iz obnovljivih virov ali največja količina, ki je združljiva z razpisom iz mejnika 15. </w:t>
            </w:r>
          </w:p>
          <w:p w14:paraId="20869BC5" w14:textId="6BABF643" w:rsidR="00175DD2" w:rsidRPr="00DD6A04" w:rsidRDefault="00175DD2" w:rsidP="00175DD2">
            <w:pPr>
              <w:spacing w:before="0" w:after="0" w:line="240" w:lineRule="auto"/>
              <w:rPr>
                <w:rFonts w:eastAsia="Times New Roman"/>
                <w:noProof/>
                <w:color w:val="006100"/>
                <w:sz w:val="22"/>
              </w:rPr>
            </w:pPr>
            <w:r>
              <w:rPr>
                <w:noProof/>
                <w:color w:val="006100"/>
                <w:sz w:val="22"/>
              </w:rPr>
              <w:t>Skupni znesek financiranja bo najmanj 50 000 000 EUR.</w:t>
            </w:r>
          </w:p>
        </w:tc>
      </w:tr>
      <w:tr w:rsidR="006B18FC" w:rsidRPr="00DD6A04" w14:paraId="53B56731" w14:textId="77777777" w:rsidTr="00BE4788">
        <w:trPr>
          <w:trHeight w:val="309"/>
          <w:jc w:val="center"/>
        </w:trPr>
        <w:tc>
          <w:tcPr>
            <w:tcW w:w="1358" w:type="dxa"/>
            <w:tcBorders>
              <w:top w:val="single" w:sz="4" w:space="0" w:color="auto"/>
              <w:left w:val="single" w:sz="4" w:space="0" w:color="auto"/>
              <w:bottom w:val="single" w:sz="4" w:space="0" w:color="auto"/>
              <w:right w:val="single" w:sz="4" w:space="0" w:color="auto"/>
            </w:tcBorders>
            <w:shd w:val="clear" w:color="auto" w:fill="C6EFCE"/>
            <w:noWrap/>
          </w:tcPr>
          <w:p w14:paraId="400C259A" w14:textId="1B789F77" w:rsidR="00175DD2" w:rsidRPr="00DD6A04" w:rsidRDefault="00175DD2" w:rsidP="00175DD2">
            <w:pPr>
              <w:spacing w:before="0" w:after="0" w:line="240" w:lineRule="auto"/>
              <w:rPr>
                <w:rFonts w:eastAsia="Times New Roman"/>
                <w:noProof/>
                <w:color w:val="006100"/>
                <w:sz w:val="22"/>
              </w:rPr>
            </w:pPr>
            <w:r>
              <w:rPr>
                <w:noProof/>
                <w:color w:val="006100"/>
                <w:sz w:val="22"/>
              </w:rPr>
              <w:t>17</w:t>
            </w:r>
          </w:p>
        </w:tc>
        <w:tc>
          <w:tcPr>
            <w:tcW w:w="1435" w:type="dxa"/>
            <w:tcBorders>
              <w:top w:val="single" w:sz="4" w:space="0" w:color="auto"/>
              <w:left w:val="nil"/>
              <w:bottom w:val="single" w:sz="4" w:space="0" w:color="auto"/>
              <w:right w:val="single" w:sz="4" w:space="0" w:color="auto"/>
            </w:tcBorders>
            <w:shd w:val="clear" w:color="auto" w:fill="C6EFCE"/>
            <w:noWrap/>
          </w:tcPr>
          <w:p w14:paraId="2D0B4D07" w14:textId="7D8A45C9" w:rsidR="00175DD2" w:rsidRPr="00DD6A04" w:rsidRDefault="00175DD2" w:rsidP="00175DD2">
            <w:pPr>
              <w:spacing w:before="0" w:after="0" w:line="240" w:lineRule="auto"/>
              <w:rPr>
                <w:rFonts w:eastAsia="Times New Roman"/>
                <w:noProof/>
                <w:color w:val="006100"/>
                <w:sz w:val="22"/>
              </w:rPr>
            </w:pPr>
            <w:r>
              <w:rPr>
                <w:noProof/>
                <w:color w:val="006100"/>
                <w:sz w:val="22"/>
              </w:rPr>
              <w:t>F: Nadaljnja krepitev distribucijskega omrežja električne energije</w:t>
            </w:r>
          </w:p>
        </w:tc>
        <w:tc>
          <w:tcPr>
            <w:tcW w:w="975" w:type="dxa"/>
            <w:tcBorders>
              <w:top w:val="single" w:sz="4" w:space="0" w:color="auto"/>
              <w:left w:val="nil"/>
              <w:bottom w:val="single" w:sz="4" w:space="0" w:color="auto"/>
              <w:right w:val="single" w:sz="4" w:space="0" w:color="auto"/>
            </w:tcBorders>
            <w:shd w:val="clear" w:color="auto" w:fill="C6EFCE"/>
            <w:noWrap/>
          </w:tcPr>
          <w:p w14:paraId="2596D558" w14:textId="3CA41AA5" w:rsidR="00175DD2" w:rsidRPr="00DD6A04" w:rsidRDefault="00175DD2" w:rsidP="00175DD2">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2683559B" w14:textId="061F4F64" w:rsidR="00175DD2" w:rsidRPr="00DD6A04" w:rsidRDefault="248CAD6B" w:rsidP="150EC00E">
            <w:pPr>
              <w:spacing w:before="0" w:after="0" w:line="240" w:lineRule="auto"/>
              <w:rPr>
                <w:rFonts w:eastAsia="Times New Roman"/>
                <w:noProof/>
                <w:color w:val="006100"/>
                <w:sz w:val="22"/>
              </w:rPr>
            </w:pPr>
            <w:r>
              <w:rPr>
                <w:noProof/>
                <w:color w:val="006100"/>
                <w:sz w:val="22"/>
              </w:rPr>
              <w:t>Objava javnega razpisa za novo nizkonapetostno distribucijsko omrežje</w:t>
            </w:r>
          </w:p>
        </w:tc>
        <w:tc>
          <w:tcPr>
            <w:tcW w:w="1701" w:type="dxa"/>
            <w:tcBorders>
              <w:top w:val="single" w:sz="4" w:space="0" w:color="auto"/>
              <w:left w:val="nil"/>
              <w:bottom w:val="single" w:sz="4" w:space="0" w:color="auto"/>
              <w:right w:val="single" w:sz="4" w:space="0" w:color="auto"/>
            </w:tcBorders>
            <w:shd w:val="clear" w:color="auto" w:fill="C6EFCE"/>
            <w:noWrap/>
          </w:tcPr>
          <w:p w14:paraId="1777DD79" w14:textId="7A35552A" w:rsidR="00175DD2" w:rsidRPr="00DD6A04" w:rsidRDefault="248CAD6B" w:rsidP="150EC00E">
            <w:pPr>
              <w:spacing w:before="0" w:after="0" w:line="240" w:lineRule="auto"/>
              <w:rPr>
                <w:rFonts w:eastAsia="Times New Roman"/>
                <w:noProof/>
                <w:color w:val="006100"/>
                <w:sz w:val="22"/>
              </w:rPr>
            </w:pPr>
            <w:r>
              <w:rPr>
                <w:noProof/>
                <w:color w:val="006100"/>
                <w:sz w:val="22"/>
              </w:rPr>
              <w:t xml:space="preserve"> Objava javnega razpisa</w:t>
            </w:r>
          </w:p>
        </w:tc>
        <w:tc>
          <w:tcPr>
            <w:tcW w:w="1138" w:type="dxa"/>
            <w:tcBorders>
              <w:top w:val="single" w:sz="4" w:space="0" w:color="auto"/>
              <w:left w:val="nil"/>
              <w:bottom w:val="single" w:sz="4" w:space="0" w:color="auto"/>
              <w:right w:val="single" w:sz="4" w:space="0" w:color="auto"/>
            </w:tcBorders>
            <w:shd w:val="clear" w:color="auto" w:fill="C6EFCE"/>
            <w:noWrap/>
          </w:tcPr>
          <w:p w14:paraId="6C782D57" w14:textId="6E75E45B"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1271" w:type="dxa"/>
            <w:tcBorders>
              <w:top w:val="single" w:sz="4" w:space="0" w:color="auto"/>
              <w:left w:val="nil"/>
              <w:bottom w:val="single" w:sz="4" w:space="0" w:color="auto"/>
              <w:right w:val="single" w:sz="4" w:space="0" w:color="auto"/>
            </w:tcBorders>
            <w:shd w:val="clear" w:color="auto" w:fill="C6EFCE"/>
            <w:noWrap/>
          </w:tcPr>
          <w:p w14:paraId="59706042" w14:textId="3BC661E8"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nil"/>
              <w:bottom w:val="single" w:sz="4" w:space="0" w:color="auto"/>
              <w:right w:val="single" w:sz="4" w:space="0" w:color="auto"/>
            </w:tcBorders>
            <w:shd w:val="clear" w:color="auto" w:fill="C6EFCE"/>
            <w:noWrap/>
          </w:tcPr>
          <w:p w14:paraId="4729B558" w14:textId="44A6DC05"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261EC3FE" w14:textId="50538462" w:rsidR="00175DD2" w:rsidRPr="00DD6A04" w:rsidRDefault="00175DD2" w:rsidP="00175DD2">
            <w:pPr>
              <w:spacing w:before="0" w:after="0" w:line="240" w:lineRule="auto"/>
              <w:rPr>
                <w:rFonts w:eastAsia="Times New Roman"/>
                <w:noProof/>
                <w:color w:val="006100"/>
                <w:sz w:val="22"/>
              </w:rPr>
            </w:pPr>
            <w:r>
              <w:rPr>
                <w:noProof/>
                <w:color w:val="006100"/>
                <w:sz w:val="22"/>
              </w:rPr>
              <w:t>Q4</w:t>
            </w:r>
          </w:p>
        </w:tc>
        <w:tc>
          <w:tcPr>
            <w:tcW w:w="876" w:type="dxa"/>
            <w:tcBorders>
              <w:top w:val="single" w:sz="4" w:space="0" w:color="auto"/>
              <w:left w:val="nil"/>
              <w:bottom w:val="single" w:sz="4" w:space="0" w:color="auto"/>
              <w:right w:val="single" w:sz="4" w:space="0" w:color="auto"/>
            </w:tcBorders>
            <w:shd w:val="clear" w:color="auto" w:fill="C6EFCE"/>
            <w:noWrap/>
          </w:tcPr>
          <w:p w14:paraId="0551A4A5" w14:textId="2F0A71E7" w:rsidR="00175DD2" w:rsidRPr="00DD6A04" w:rsidRDefault="00175DD2" w:rsidP="00175DD2">
            <w:pPr>
              <w:spacing w:before="0" w:after="0" w:line="240" w:lineRule="auto"/>
              <w:rPr>
                <w:rFonts w:eastAsia="Times New Roman"/>
                <w:noProof/>
                <w:color w:val="006100"/>
                <w:sz w:val="22"/>
              </w:rPr>
            </w:pPr>
            <w:r>
              <w:rPr>
                <w:noProof/>
                <w:color w:val="006100"/>
                <w:sz w:val="22"/>
              </w:rPr>
              <w:t>2022</w:t>
            </w:r>
          </w:p>
        </w:tc>
        <w:tc>
          <w:tcPr>
            <w:tcW w:w="3286" w:type="dxa"/>
            <w:tcBorders>
              <w:top w:val="single" w:sz="4" w:space="0" w:color="auto"/>
              <w:left w:val="nil"/>
              <w:bottom w:val="single" w:sz="4" w:space="0" w:color="auto"/>
              <w:right w:val="single" w:sz="4" w:space="0" w:color="auto"/>
            </w:tcBorders>
            <w:shd w:val="clear" w:color="auto" w:fill="C6EFCE"/>
            <w:noWrap/>
          </w:tcPr>
          <w:p w14:paraId="2825F85A" w14:textId="6B11220B" w:rsidR="00175DD2" w:rsidRPr="00DD6A04" w:rsidRDefault="248CAD6B" w:rsidP="150EC00E">
            <w:pPr>
              <w:spacing w:before="0" w:after="0" w:line="240" w:lineRule="auto"/>
              <w:rPr>
                <w:rFonts w:eastAsia="Times New Roman"/>
                <w:noProof/>
                <w:color w:val="006100"/>
                <w:sz w:val="22"/>
              </w:rPr>
            </w:pPr>
            <w:r>
              <w:rPr>
                <w:noProof/>
                <w:color w:val="006100"/>
                <w:sz w:val="22"/>
              </w:rPr>
              <w:t>Objavi se javni razpis za izgradnjo novega nizkonapetostnega distribucijskega omrežja. Razpis bo odprt, dokler proračunska sredstva ne bodo izčrpana. Cilj projektov bo zagotoviti učinkovito vključevanje objektov za proizvodnjo in shranjevanje energije iz obnovljivih virov v distribucijsko omrežje električne energije, vključno s polnilnimi mesti za električna vozila. Poleg vseh obveznih nacionalnih in evropskih pravil, ki določajo zahteve za gradbene in okoljske intervencije, bodo merila za izbor/upravičenost zagotavljala skladnost s tehničnimi smernicami za uporabo načela, da se ne škoduje bistveno (2021/C58/01). Investicije bodo okrepile distribucijsko omrežje, povečale njegovo zmogljivost in prilagodljivost ter izboljšale vključevanje podatkovnih zbirk in nadzor v realnem času.</w:t>
            </w:r>
          </w:p>
        </w:tc>
      </w:tr>
      <w:tr w:rsidR="006B18FC" w:rsidRPr="00DD6A04" w14:paraId="0987A9DB" w14:textId="77777777" w:rsidTr="00BE4788">
        <w:trPr>
          <w:trHeight w:val="309"/>
          <w:jc w:val="center"/>
        </w:trPr>
        <w:tc>
          <w:tcPr>
            <w:tcW w:w="1358" w:type="dxa"/>
            <w:tcBorders>
              <w:top w:val="single" w:sz="4" w:space="0" w:color="auto"/>
              <w:left w:val="single" w:sz="4" w:space="0" w:color="auto"/>
              <w:bottom w:val="single" w:sz="4" w:space="0" w:color="auto"/>
              <w:right w:val="single" w:sz="4" w:space="0" w:color="auto"/>
            </w:tcBorders>
            <w:shd w:val="clear" w:color="auto" w:fill="C6EFCE"/>
            <w:noWrap/>
          </w:tcPr>
          <w:p w14:paraId="6B8288C5" w14:textId="79A0C46E" w:rsidR="00175DD2" w:rsidRPr="00DD6A04" w:rsidRDefault="00175DD2" w:rsidP="00175DD2">
            <w:pPr>
              <w:spacing w:before="0" w:after="0" w:line="240" w:lineRule="auto"/>
              <w:rPr>
                <w:rFonts w:eastAsia="Times New Roman"/>
                <w:noProof/>
                <w:color w:val="006100"/>
                <w:sz w:val="22"/>
              </w:rPr>
            </w:pPr>
            <w:r>
              <w:rPr>
                <w:noProof/>
                <w:color w:val="006100"/>
                <w:sz w:val="22"/>
              </w:rPr>
              <w:t>18</w:t>
            </w:r>
          </w:p>
        </w:tc>
        <w:tc>
          <w:tcPr>
            <w:tcW w:w="1435" w:type="dxa"/>
            <w:tcBorders>
              <w:top w:val="single" w:sz="4" w:space="0" w:color="auto"/>
              <w:left w:val="nil"/>
              <w:bottom w:val="single" w:sz="4" w:space="0" w:color="auto"/>
              <w:right w:val="single" w:sz="4" w:space="0" w:color="auto"/>
            </w:tcBorders>
            <w:shd w:val="clear" w:color="auto" w:fill="C6EFCE"/>
            <w:noWrap/>
          </w:tcPr>
          <w:p w14:paraId="09C5D233" w14:textId="279CB795" w:rsidR="00175DD2" w:rsidRPr="00DD6A04" w:rsidRDefault="00175DD2" w:rsidP="00175DD2">
            <w:pPr>
              <w:spacing w:before="0" w:after="0" w:line="240" w:lineRule="auto"/>
              <w:rPr>
                <w:rFonts w:eastAsia="Times New Roman"/>
                <w:noProof/>
                <w:color w:val="006100"/>
                <w:sz w:val="22"/>
              </w:rPr>
            </w:pPr>
            <w:r>
              <w:rPr>
                <w:noProof/>
                <w:color w:val="006100"/>
                <w:sz w:val="22"/>
              </w:rPr>
              <w:t>F: Nadaljnja krepitev distribucijskega omrežja električne energije</w:t>
            </w:r>
          </w:p>
        </w:tc>
        <w:tc>
          <w:tcPr>
            <w:tcW w:w="975" w:type="dxa"/>
            <w:tcBorders>
              <w:top w:val="single" w:sz="4" w:space="0" w:color="auto"/>
              <w:left w:val="nil"/>
              <w:bottom w:val="single" w:sz="4" w:space="0" w:color="auto"/>
              <w:right w:val="single" w:sz="4" w:space="0" w:color="auto"/>
            </w:tcBorders>
            <w:shd w:val="clear" w:color="auto" w:fill="C6EFCE"/>
            <w:noWrap/>
          </w:tcPr>
          <w:p w14:paraId="051D9FE9" w14:textId="423BA047" w:rsidR="00175DD2" w:rsidRPr="00DD6A04" w:rsidRDefault="00175DD2" w:rsidP="00175DD2">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5C8C55A8" w14:textId="605D17B8" w:rsidR="00175DD2" w:rsidRPr="00DD6A04" w:rsidRDefault="00175DD2" w:rsidP="00175DD2">
            <w:pPr>
              <w:spacing w:before="0" w:after="0" w:line="240" w:lineRule="auto"/>
              <w:rPr>
                <w:rFonts w:eastAsia="Times New Roman"/>
                <w:noProof/>
                <w:color w:val="006100"/>
                <w:sz w:val="22"/>
              </w:rPr>
            </w:pPr>
            <w:r>
              <w:rPr>
                <w:noProof/>
                <w:color w:val="006100"/>
                <w:sz w:val="22"/>
              </w:rPr>
              <w:t>Dolžina novega operativnega distribucijskega omrežja</w:t>
            </w:r>
            <w:r w:rsidR="00037751">
              <w:rPr>
                <w:noProof/>
                <w:color w:val="006100"/>
                <w:sz w:val="22"/>
              </w:rPr>
              <w:t xml:space="preserve"> </w:t>
            </w:r>
          </w:p>
        </w:tc>
        <w:tc>
          <w:tcPr>
            <w:tcW w:w="1701" w:type="dxa"/>
            <w:tcBorders>
              <w:top w:val="single" w:sz="4" w:space="0" w:color="auto"/>
              <w:left w:val="nil"/>
              <w:bottom w:val="single" w:sz="4" w:space="0" w:color="auto"/>
              <w:right w:val="single" w:sz="4" w:space="0" w:color="auto"/>
            </w:tcBorders>
            <w:shd w:val="clear" w:color="auto" w:fill="C6EFCE"/>
            <w:noWrap/>
          </w:tcPr>
          <w:p w14:paraId="0EBEE7B9" w14:textId="538B5446" w:rsidR="00175DD2" w:rsidRPr="00DD6A04" w:rsidRDefault="00175DD2" w:rsidP="00175DD2">
            <w:pPr>
              <w:spacing w:before="0" w:after="0" w:line="240" w:lineRule="auto"/>
              <w:rPr>
                <w:rFonts w:eastAsia="Times New Roman"/>
                <w:noProof/>
                <w:color w:val="006100"/>
                <w:sz w:val="22"/>
              </w:rPr>
            </w:pPr>
            <w:r>
              <w:rPr>
                <w:noProof/>
                <w:color w:val="006100"/>
                <w:sz w:val="22"/>
              </w:rPr>
              <w:t> </w:t>
            </w:r>
          </w:p>
        </w:tc>
        <w:tc>
          <w:tcPr>
            <w:tcW w:w="1138" w:type="dxa"/>
            <w:tcBorders>
              <w:top w:val="single" w:sz="4" w:space="0" w:color="auto"/>
              <w:left w:val="nil"/>
              <w:bottom w:val="single" w:sz="4" w:space="0" w:color="auto"/>
              <w:right w:val="single" w:sz="4" w:space="0" w:color="auto"/>
            </w:tcBorders>
            <w:shd w:val="clear" w:color="auto" w:fill="C6EFCE"/>
            <w:noWrap/>
          </w:tcPr>
          <w:p w14:paraId="232CF0ED" w14:textId="77777777" w:rsidR="00175DD2" w:rsidRPr="00DD6A04" w:rsidRDefault="00175DD2" w:rsidP="00175DD2">
            <w:pPr>
              <w:spacing w:before="0" w:after="0" w:line="240" w:lineRule="auto"/>
              <w:rPr>
                <w:rFonts w:eastAsia="Times New Roman"/>
                <w:noProof/>
                <w:color w:val="006100"/>
                <w:sz w:val="22"/>
              </w:rPr>
            </w:pPr>
            <w:r>
              <w:rPr>
                <w:noProof/>
                <w:color w:val="006100"/>
                <w:sz w:val="22"/>
              </w:rPr>
              <w:t>Število</w:t>
            </w:r>
          </w:p>
          <w:p w14:paraId="4CCC67F1" w14:textId="0E23725E" w:rsidR="00175DD2" w:rsidRPr="00DD6A04" w:rsidRDefault="00175DD2" w:rsidP="00175DD2">
            <w:pPr>
              <w:spacing w:before="0" w:after="0" w:line="240" w:lineRule="auto"/>
              <w:rPr>
                <w:rFonts w:eastAsia="Times New Roman"/>
                <w:noProof/>
                <w:color w:val="006100"/>
                <w:sz w:val="22"/>
              </w:rPr>
            </w:pPr>
            <w:r>
              <w:rPr>
                <w:noProof/>
                <w:color w:val="006100"/>
                <w:sz w:val="22"/>
              </w:rPr>
              <w:t>(km)</w:t>
            </w:r>
          </w:p>
        </w:tc>
        <w:tc>
          <w:tcPr>
            <w:tcW w:w="1271" w:type="dxa"/>
            <w:tcBorders>
              <w:top w:val="single" w:sz="4" w:space="0" w:color="auto"/>
              <w:left w:val="nil"/>
              <w:bottom w:val="single" w:sz="4" w:space="0" w:color="auto"/>
              <w:right w:val="single" w:sz="4" w:space="0" w:color="auto"/>
            </w:tcBorders>
            <w:shd w:val="clear" w:color="auto" w:fill="C6EFCE"/>
            <w:noWrap/>
          </w:tcPr>
          <w:p w14:paraId="58BC6A2E" w14:textId="00E73175" w:rsidR="00175DD2" w:rsidRPr="00DD6A04" w:rsidRDefault="00175DD2" w:rsidP="00175DD2">
            <w:pPr>
              <w:spacing w:before="0" w:after="0" w:line="240" w:lineRule="auto"/>
              <w:rPr>
                <w:rFonts w:eastAsia="Times New Roman"/>
                <w:noProof/>
                <w:color w:val="006100"/>
                <w:sz w:val="22"/>
              </w:rPr>
            </w:pPr>
            <w:r>
              <w:rPr>
                <w:noProof/>
                <w:color w:val="006100"/>
                <w:sz w:val="22"/>
              </w:rPr>
              <w:t>0</w:t>
            </w:r>
          </w:p>
        </w:tc>
        <w:tc>
          <w:tcPr>
            <w:tcW w:w="993" w:type="dxa"/>
            <w:tcBorders>
              <w:top w:val="single" w:sz="4" w:space="0" w:color="auto"/>
              <w:left w:val="nil"/>
              <w:bottom w:val="single" w:sz="4" w:space="0" w:color="auto"/>
              <w:right w:val="single" w:sz="4" w:space="0" w:color="auto"/>
            </w:tcBorders>
            <w:shd w:val="clear" w:color="auto" w:fill="C6EFCE"/>
            <w:noWrap/>
          </w:tcPr>
          <w:p w14:paraId="4F425A8D" w14:textId="0B53EE85" w:rsidR="00175DD2" w:rsidRPr="00DD6A04" w:rsidRDefault="00175DD2" w:rsidP="00175DD2">
            <w:pPr>
              <w:spacing w:before="0" w:after="0" w:line="240" w:lineRule="auto"/>
              <w:rPr>
                <w:rFonts w:eastAsia="Times New Roman"/>
                <w:noProof/>
                <w:color w:val="006100"/>
                <w:sz w:val="22"/>
              </w:rPr>
            </w:pPr>
            <w:r>
              <w:rPr>
                <w:noProof/>
                <w:color w:val="006100"/>
                <w:sz w:val="22"/>
              </w:rPr>
              <w:t>1300</w:t>
            </w:r>
          </w:p>
        </w:tc>
        <w:tc>
          <w:tcPr>
            <w:tcW w:w="850" w:type="dxa"/>
            <w:tcBorders>
              <w:top w:val="single" w:sz="4" w:space="0" w:color="auto"/>
              <w:left w:val="nil"/>
              <w:bottom w:val="single" w:sz="4" w:space="0" w:color="auto"/>
              <w:right w:val="single" w:sz="4" w:space="0" w:color="auto"/>
            </w:tcBorders>
            <w:shd w:val="clear" w:color="auto" w:fill="C6EFCE"/>
            <w:noWrap/>
          </w:tcPr>
          <w:p w14:paraId="3F98A605" w14:textId="688FF51D" w:rsidR="00175DD2" w:rsidRPr="00DD6A04" w:rsidRDefault="00175DD2" w:rsidP="00175DD2">
            <w:pPr>
              <w:spacing w:before="0" w:after="0" w:line="240" w:lineRule="auto"/>
              <w:rPr>
                <w:rFonts w:eastAsia="Times New Roman"/>
                <w:noProof/>
                <w:color w:val="006100"/>
                <w:sz w:val="22"/>
              </w:rPr>
            </w:pPr>
            <w:r>
              <w:rPr>
                <w:noProof/>
                <w:color w:val="006100"/>
                <w:sz w:val="22"/>
              </w:rPr>
              <w:t>Q2</w:t>
            </w:r>
          </w:p>
        </w:tc>
        <w:tc>
          <w:tcPr>
            <w:tcW w:w="876" w:type="dxa"/>
            <w:tcBorders>
              <w:top w:val="single" w:sz="4" w:space="0" w:color="auto"/>
              <w:left w:val="nil"/>
              <w:bottom w:val="single" w:sz="4" w:space="0" w:color="auto"/>
              <w:right w:val="single" w:sz="4" w:space="0" w:color="auto"/>
            </w:tcBorders>
            <w:shd w:val="clear" w:color="auto" w:fill="C6EFCE"/>
            <w:noWrap/>
          </w:tcPr>
          <w:p w14:paraId="5E25DCA4" w14:textId="75BB3D69" w:rsidR="00175DD2" w:rsidRPr="00DD6A04" w:rsidRDefault="00175DD2" w:rsidP="00175DD2">
            <w:pPr>
              <w:spacing w:before="0" w:after="0" w:line="240" w:lineRule="auto"/>
              <w:rPr>
                <w:rFonts w:eastAsia="Times New Roman"/>
                <w:noProof/>
                <w:color w:val="006100"/>
                <w:sz w:val="22"/>
              </w:rPr>
            </w:pPr>
            <w:r>
              <w:rPr>
                <w:noProof/>
                <w:color w:val="006100"/>
                <w:sz w:val="22"/>
              </w:rPr>
              <w:t>2026</w:t>
            </w:r>
          </w:p>
        </w:tc>
        <w:tc>
          <w:tcPr>
            <w:tcW w:w="3286" w:type="dxa"/>
            <w:tcBorders>
              <w:top w:val="single" w:sz="4" w:space="0" w:color="auto"/>
              <w:left w:val="nil"/>
              <w:bottom w:val="single" w:sz="4" w:space="0" w:color="auto"/>
              <w:right w:val="single" w:sz="4" w:space="0" w:color="auto"/>
            </w:tcBorders>
            <w:shd w:val="clear" w:color="auto" w:fill="C6EFCE"/>
            <w:noWrap/>
          </w:tcPr>
          <w:p w14:paraId="6D8E5CB6" w14:textId="20EE8EA3" w:rsidR="00175DD2" w:rsidRPr="00DD6A04" w:rsidRDefault="248CAD6B" w:rsidP="150EC00E">
            <w:pPr>
              <w:spacing w:before="0" w:after="0" w:line="240" w:lineRule="auto"/>
              <w:rPr>
                <w:rFonts w:eastAsia="Times New Roman"/>
                <w:noProof/>
                <w:color w:val="006100"/>
                <w:sz w:val="22"/>
              </w:rPr>
            </w:pPr>
            <w:r>
              <w:rPr>
                <w:noProof/>
                <w:color w:val="006100"/>
                <w:sz w:val="22"/>
              </w:rPr>
              <w:t>Vsaj 1 300 km novega delujočega nizkonapetostnega distribucijskega omrežja v skladu z javnim razpisom v okviru mejnika 17.</w:t>
            </w:r>
          </w:p>
        </w:tc>
      </w:tr>
    </w:tbl>
    <w:p w14:paraId="3C3B86D2" w14:textId="77777777" w:rsidR="00175DD2" w:rsidRPr="00DD6A04" w:rsidRDefault="00175DD2" w:rsidP="00175DD2">
      <w:pPr>
        <w:spacing w:line="240" w:lineRule="auto"/>
        <w:jc w:val="both"/>
        <w:rPr>
          <w:b/>
          <w:noProof/>
          <w:lang w:val="en-GB"/>
        </w:rPr>
      </w:pPr>
    </w:p>
    <w:p w14:paraId="46AE5CB6" w14:textId="77777777" w:rsidR="00175DD2" w:rsidRPr="00DD6A04" w:rsidRDefault="00175DD2" w:rsidP="003C6015">
      <w:pPr>
        <w:spacing w:line="240" w:lineRule="auto"/>
        <w:ind w:left="850"/>
        <w:jc w:val="both"/>
        <w:rPr>
          <w:b/>
          <w:noProof/>
          <w:lang w:val="en-GB"/>
        </w:rPr>
      </w:pPr>
    </w:p>
    <w:p w14:paraId="593839FC" w14:textId="77777777" w:rsidR="003C6015" w:rsidRPr="00DD6A04" w:rsidRDefault="003C6015" w:rsidP="003C6015">
      <w:pPr>
        <w:spacing w:line="240" w:lineRule="auto"/>
        <w:jc w:val="both"/>
        <w:rPr>
          <w:noProof/>
          <w:lang w:val="en-GB"/>
        </w:rPr>
        <w:sectPr w:rsidR="003C6015" w:rsidRPr="00DD6A04" w:rsidSect="00073927">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5D15518F" w14:textId="77777777" w:rsidR="003C6015" w:rsidRPr="00DD6A04" w:rsidRDefault="003C6015" w:rsidP="003C6015">
      <w:pPr>
        <w:keepNext/>
        <w:tabs>
          <w:tab w:val="left" w:pos="850"/>
        </w:tabs>
        <w:spacing w:before="360" w:line="240" w:lineRule="auto"/>
        <w:ind w:left="850" w:hanging="850"/>
        <w:jc w:val="both"/>
        <w:outlineLvl w:val="0"/>
        <w:rPr>
          <w:b/>
          <w:smallCaps/>
          <w:noProof/>
        </w:rPr>
      </w:pPr>
      <w:r>
        <w:rPr>
          <w:b/>
          <w:smallCaps/>
          <w:noProof/>
        </w:rPr>
        <w:t>B: KOMPONENTA 2: TRAJNOSTNA PRENOVA STAVB</w:t>
      </w:r>
    </w:p>
    <w:p w14:paraId="15E6D310" w14:textId="77777777" w:rsidR="003C6015" w:rsidRPr="00DD6A04" w:rsidRDefault="003C6015" w:rsidP="003C6015">
      <w:pPr>
        <w:spacing w:line="240" w:lineRule="auto"/>
        <w:jc w:val="both"/>
        <w:rPr>
          <w:noProof/>
        </w:rPr>
      </w:pPr>
      <w:r>
        <w:rPr>
          <w:noProof/>
        </w:rPr>
        <w:t>Slovenija v svojem nacionalnem energetskem in podnebnem načrtu ocenjuje, da bo v obdobju 2021–2030 potrebnih približno 9 500 000 000 EUR investicij za prenovo stavb, da se do leta 2030 poraba končne energije v stavbah zmanjša za 20 %, emisije toplogrednih plinov iz stavb pa za vsaj 70 % v primerjavi z letom 2005.</w:t>
      </w:r>
    </w:p>
    <w:p w14:paraId="533BC6CE" w14:textId="77777777" w:rsidR="003C6015" w:rsidRPr="00DD6A04" w:rsidRDefault="003C6015" w:rsidP="003C6015">
      <w:pPr>
        <w:spacing w:line="240" w:lineRule="auto"/>
        <w:jc w:val="both"/>
        <w:rPr>
          <w:noProof/>
        </w:rPr>
      </w:pPr>
      <w:r>
        <w:rPr>
          <w:noProof/>
        </w:rPr>
        <w:t xml:space="preserve">Cilj te komponente slovenskega načrta za okrevanje in odpornost je spodbujati temeljito prenovo stavb s poudarkom na nacionalnem stavbnem fondu, da se doseže vsaj 30-odstotno zmanjšanje porabe energije v primerjavi s predhodnimi emisijami. </w:t>
      </w:r>
    </w:p>
    <w:p w14:paraId="3746BD4E" w14:textId="77777777" w:rsidR="003C6015" w:rsidRPr="00DD6A04" w:rsidRDefault="003C6015" w:rsidP="003C6015">
      <w:pPr>
        <w:spacing w:line="240" w:lineRule="auto"/>
        <w:jc w:val="both"/>
        <w:rPr>
          <w:noProof/>
        </w:rPr>
      </w:pPr>
      <w:r>
        <w:rPr>
          <w:noProof/>
        </w:rPr>
        <w:t>Te investicije in reforme bodo prispevale k specifičnim priporočilom za Slovenijo v zadnjih dveh letih, in sicer naj „ekonomsko politiko v zvezi z naložbami osredotoči na [...] nizkoogljični in energijski prehod“ (specifično priporočilo št. 3 iz leta 2019) ter „[u]smeri naložbe na zeleni [...] prehod, zlasti na čisto in učinkovito proizvodnjo in rabo energije, okoljsko infrastrukturo“ (specifično priporočilo št. 3 iz leta 2020).</w:t>
      </w:r>
    </w:p>
    <w:p w14:paraId="2FD92577" w14:textId="6C1BB59C"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387F0EB0" w14:textId="77777777" w:rsidR="003C6015" w:rsidRPr="00DD6A04" w:rsidRDefault="003C6015" w:rsidP="003C6015">
      <w:pPr>
        <w:spacing w:line="240" w:lineRule="auto"/>
        <w:jc w:val="both"/>
        <w:rPr>
          <w:i/>
          <w:noProof/>
          <w:color w:val="4F81BD"/>
        </w:rPr>
      </w:pPr>
      <w:r>
        <w:rPr>
          <w:b/>
          <w:noProof/>
          <w:u w:val="single"/>
        </w:rPr>
        <w:t xml:space="preserve">B.1 </w:t>
      </w:r>
      <w:r>
        <w:rPr>
          <w:b/>
          <w:noProof/>
          <w:u w:val="single"/>
        </w:rPr>
        <w:tab/>
        <w:t>Opis reform in naložb za nepovratno finančno podporo</w:t>
      </w:r>
    </w:p>
    <w:p w14:paraId="7D634236" w14:textId="77777777" w:rsidR="003C6015" w:rsidRPr="00DD6A04" w:rsidRDefault="003C6015" w:rsidP="003C6015">
      <w:pPr>
        <w:spacing w:line="240" w:lineRule="auto"/>
        <w:jc w:val="both"/>
        <w:rPr>
          <w:noProof/>
          <w:u w:val="single"/>
        </w:rPr>
      </w:pPr>
      <w:r>
        <w:rPr>
          <w:noProof/>
          <w:u w:val="single"/>
        </w:rPr>
        <w:t>Reforma A. Reforma načrtovanja in financiranja energetske prenove stavb javnega sektorja</w:t>
      </w:r>
    </w:p>
    <w:p w14:paraId="63F00E5F" w14:textId="77777777" w:rsidR="003C6015" w:rsidRPr="00DD6A04" w:rsidRDefault="003C6015" w:rsidP="003C6015">
      <w:pPr>
        <w:spacing w:line="240" w:lineRule="auto"/>
        <w:jc w:val="both"/>
        <w:rPr>
          <w:noProof/>
        </w:rPr>
      </w:pPr>
      <w:r>
        <w:rPr>
          <w:noProof/>
        </w:rPr>
        <w:t xml:space="preserve">V okviru reforme bodo opredeljeni stroškovno učinkoviti pristopov prenov, politike in ukrepe za spodbujanje temeljite prenove stavb, vključno z ukrepi za usmerjanje investicijskih odločitev posameznikov, gradbene industrije in finančnih institucij ter oceno pričakovanih prihrankov energije in širših koristi, kot je določeno v novi dolgoročni strategiji prenove. </w:t>
      </w:r>
    </w:p>
    <w:p w14:paraId="0B643CFD" w14:textId="77777777" w:rsidR="003C6015" w:rsidRPr="00DD6A04" w:rsidRDefault="003C6015" w:rsidP="003C6015">
      <w:pPr>
        <w:spacing w:line="240" w:lineRule="auto"/>
        <w:jc w:val="both"/>
        <w:rPr>
          <w:noProof/>
        </w:rPr>
      </w:pPr>
      <w:r>
        <w:rPr>
          <w:noProof/>
        </w:rPr>
        <w:t>Z reformo bo zlasti uvedena zakonska prepoved načrtovanja in vgradnje kotlov na kurilno olje, mazut in premog za ogrevanje novih stavb. Ta del reforme bo izveden z začetkom veljavnosti zakona do 30. junija 2023.</w:t>
      </w:r>
    </w:p>
    <w:p w14:paraId="59B824D8" w14:textId="16F49BC2" w:rsidR="003C6015" w:rsidRPr="00DD6A04" w:rsidRDefault="676A6C94" w:rsidP="618CB0B1">
      <w:pPr>
        <w:spacing w:line="240" w:lineRule="auto"/>
        <w:jc w:val="both"/>
        <w:rPr>
          <w:noProof/>
        </w:rPr>
      </w:pPr>
      <w:r>
        <w:rPr>
          <w:noProof/>
        </w:rPr>
        <w:t>Reforma vključuje tudi odobritev in objavo akcijskega načrta za energetsko prenovo javnih stavb, ki bo pripravljen do 31. decembra 2025 in bo vseboval vsaj analizo stavbnega fonda, analizo potreb v javnem sektorju in upoštevanje zagotavljanja kontinuitete storitev tekom prenove stavb ter konkretne korake pri prenovi stavb, vključno z opredelitvijo možnih virov financiranja.</w:t>
      </w:r>
    </w:p>
    <w:p w14:paraId="366FA544" w14:textId="77777777" w:rsidR="003C6015" w:rsidRPr="00DD6A04" w:rsidRDefault="003C6015" w:rsidP="003C6015">
      <w:pPr>
        <w:spacing w:line="240" w:lineRule="auto"/>
        <w:jc w:val="both"/>
        <w:rPr>
          <w:noProof/>
          <w:u w:val="single"/>
        </w:rPr>
      </w:pPr>
      <w:r>
        <w:rPr>
          <w:noProof/>
          <w:u w:val="single"/>
        </w:rPr>
        <w:t xml:space="preserve">Investicija B. </w:t>
      </w:r>
      <w:bookmarkStart w:id="7" w:name="_Hlk143100628"/>
      <w:r>
        <w:rPr>
          <w:noProof/>
          <w:u w:val="single"/>
        </w:rPr>
        <w:t>Trajnostna prenova stavb</w:t>
      </w:r>
      <w:bookmarkEnd w:id="7"/>
    </w:p>
    <w:p w14:paraId="7423F65F" w14:textId="398D2583" w:rsidR="003C6015" w:rsidRPr="00DD6A04" w:rsidRDefault="003C6015" w:rsidP="003C6015">
      <w:pPr>
        <w:spacing w:line="240" w:lineRule="auto"/>
        <w:jc w:val="both"/>
        <w:rPr>
          <w:noProof/>
        </w:rPr>
      </w:pPr>
      <w:r>
        <w:rPr>
          <w:noProof/>
        </w:rPr>
        <w:t xml:space="preserve">Cilj investicije je osredotočen na energetsko prenovo javnih stavb in zajema tudi energetsko prenovo stanovanjskih stavb v javni lasti. </w:t>
      </w:r>
    </w:p>
    <w:p w14:paraId="22AF7E18" w14:textId="4CA7C0E0" w:rsidR="003C6015" w:rsidRPr="00DD6A04" w:rsidRDefault="003C6015" w:rsidP="003C6015">
      <w:pPr>
        <w:spacing w:line="240" w:lineRule="auto"/>
        <w:jc w:val="both"/>
        <w:rPr>
          <w:noProof/>
        </w:rPr>
      </w:pPr>
      <w:r>
        <w:rPr>
          <w:noProof/>
        </w:rPr>
        <w:t xml:space="preserve">Za vse investicije bodo zagotovljeni vsaj 30-odstotni skupni prihranki energije v primerjavi s predhodnimi emisijami, izjema so investicije v izvedbo posameznih nadgradenj tehničnih stavbnih sistemov, kot so npr. klimatski in prezračevalni sistemi. </w:t>
      </w:r>
    </w:p>
    <w:p w14:paraId="418521A1" w14:textId="77777777" w:rsidR="003C6015" w:rsidRPr="00DD6A04" w:rsidRDefault="003C6015" w:rsidP="003C6015">
      <w:pPr>
        <w:spacing w:line="240" w:lineRule="auto"/>
        <w:jc w:val="both"/>
        <w:rPr>
          <w:noProof/>
        </w:rPr>
      </w:pPr>
      <w:r>
        <w:rPr>
          <w:noProof/>
        </w:rPr>
        <w:t>Investicije bodo vključevale toplotno izolacijo stavb, energetsko učinkovito opremo (okna, zasteklitev, vrata), sisteme ogrevanja in prezračevanja, energetsko učinkovito razsvetljavo in nadzorne sisteme. Pri delih se bodo zagotovili visoki zdravstveni in okoljski standardi, in sicer z obravnavanjem vidikov, kot so drugim preprečevanje nesreč in zaščita pred nevarnostmi, povezanimi s podnebjem, odstranjevanje škodljivih snovi in zaščita pred njimi ter požarna in potresna varnost. Prenova javnih stavb naj bi vključevala izboljšanje njihove dostopnosti za invalide.</w:t>
      </w:r>
    </w:p>
    <w:p w14:paraId="2B67FF32" w14:textId="77777777" w:rsidR="003C6015" w:rsidRPr="00DD6A04" w:rsidRDefault="003C6015" w:rsidP="003C6015">
      <w:pPr>
        <w:spacing w:line="240" w:lineRule="auto"/>
        <w:jc w:val="both"/>
        <w:rPr>
          <w:noProof/>
        </w:rPr>
      </w:pPr>
      <w:r>
        <w:rPr>
          <w:noProof/>
        </w:rPr>
        <w:t>Ker je Slovenija ena od najbolj potresno ogroženih evropskih držav, bo energetska prenova izvedena vzporedno s potresno sanacijo, da se zagotovi stroškovno učinkovit pristop in dolgotrajen učinek investicije. Pri delih se bo spoštovala estetska in arhitekturna kakovost stavb, in sicer z upoštevanjem morebitnih zahtev glede kulturne zaščite pri prenovi stavb, ki so del kulturne dediščine.</w:t>
      </w:r>
    </w:p>
    <w:p w14:paraId="4FB5F59C" w14:textId="77777777" w:rsidR="003C6015" w:rsidRPr="00DD6A04" w:rsidRDefault="003C6015" w:rsidP="003C6015">
      <w:pPr>
        <w:spacing w:line="240" w:lineRule="auto"/>
        <w:jc w:val="both"/>
        <w:rPr>
          <w:noProof/>
        </w:rPr>
      </w:pPr>
      <w:r>
        <w:rPr>
          <w:noProof/>
        </w:rPr>
        <w:t>Upravičene bodo naslednje kategorije stavb:</w:t>
      </w:r>
    </w:p>
    <w:p w14:paraId="129C305A" w14:textId="77777777" w:rsidR="003C6015" w:rsidRPr="00DD6A04" w:rsidRDefault="003C6015" w:rsidP="00BD7FBD">
      <w:pPr>
        <w:numPr>
          <w:ilvl w:val="0"/>
          <w:numId w:val="30"/>
        </w:numPr>
        <w:spacing w:before="0" w:after="200" w:line="240" w:lineRule="auto"/>
        <w:ind w:left="360"/>
        <w:jc w:val="both"/>
        <w:rPr>
          <w:noProof/>
        </w:rPr>
      </w:pPr>
      <w:r>
        <w:rPr>
          <w:noProof/>
        </w:rPr>
        <w:t>stavbe izjemnega upravnega pomena zaradi epidemije COVID-19,</w:t>
      </w:r>
    </w:p>
    <w:p w14:paraId="0CF79589" w14:textId="77777777" w:rsidR="003C6015" w:rsidRPr="00DD6A04" w:rsidRDefault="003C6015" w:rsidP="00BD7FBD">
      <w:pPr>
        <w:numPr>
          <w:ilvl w:val="0"/>
          <w:numId w:val="30"/>
        </w:numPr>
        <w:spacing w:before="0" w:after="200" w:line="240" w:lineRule="auto"/>
        <w:ind w:left="360"/>
        <w:jc w:val="both"/>
        <w:rPr>
          <w:noProof/>
        </w:rPr>
      </w:pPr>
      <w:r>
        <w:rPr>
          <w:noProof/>
        </w:rPr>
        <w:t>stavbe velikega družbenega pomena zaradi epidemije COVID-19,</w:t>
      </w:r>
    </w:p>
    <w:p w14:paraId="11305C06" w14:textId="77777777" w:rsidR="003C6015" w:rsidRPr="00DD6A04" w:rsidRDefault="003C6015" w:rsidP="00BD7FBD">
      <w:pPr>
        <w:numPr>
          <w:ilvl w:val="0"/>
          <w:numId w:val="30"/>
        </w:numPr>
        <w:spacing w:before="0" w:after="200" w:line="240" w:lineRule="auto"/>
        <w:ind w:left="360"/>
        <w:jc w:val="both"/>
        <w:rPr>
          <w:noProof/>
        </w:rPr>
      </w:pPr>
      <w:r>
        <w:rPr>
          <w:noProof/>
        </w:rPr>
        <w:t>stavbe, ki zahtevajo posamezne nadgradnje tehničnih stavbnih sistemov,</w:t>
      </w:r>
    </w:p>
    <w:p w14:paraId="07470EF3" w14:textId="77777777" w:rsidR="003C6015" w:rsidRPr="00DD6A04" w:rsidRDefault="003C6015" w:rsidP="00BD7FBD">
      <w:pPr>
        <w:numPr>
          <w:ilvl w:val="0"/>
          <w:numId w:val="30"/>
        </w:numPr>
        <w:spacing w:before="0" w:after="200" w:line="240" w:lineRule="auto"/>
        <w:ind w:left="360"/>
        <w:jc w:val="both"/>
        <w:rPr>
          <w:noProof/>
        </w:rPr>
      </w:pPr>
      <w:r>
        <w:rPr>
          <w:noProof/>
        </w:rPr>
        <w:t>večstanovanjske stavbe v javni lasti.</w:t>
      </w:r>
    </w:p>
    <w:p w14:paraId="4C153FAB" w14:textId="23BF180E" w:rsidR="003C6015" w:rsidRPr="00DD6A04" w:rsidRDefault="003C6015" w:rsidP="003C6015">
      <w:pPr>
        <w:spacing w:line="240" w:lineRule="auto"/>
        <w:jc w:val="both"/>
        <w:rPr>
          <w:noProof/>
          <w:lang w:val="en-GB"/>
        </w:rPr>
      </w:pPr>
    </w:p>
    <w:p w14:paraId="66385038" w14:textId="032BBBB5" w:rsidR="003C6015" w:rsidRPr="00DD6A04" w:rsidRDefault="00CC2496" w:rsidP="003C6015">
      <w:pPr>
        <w:spacing w:line="240" w:lineRule="auto"/>
        <w:jc w:val="both"/>
        <w:rPr>
          <w:noProof/>
        </w:rPr>
      </w:pPr>
      <w:r>
        <w:rPr>
          <w:noProof/>
        </w:rPr>
        <w:t>Prenove bodo dokončane do 30. junija 2026.</w:t>
      </w:r>
    </w:p>
    <w:p w14:paraId="5C08159B" w14:textId="77777777" w:rsidR="00C44897" w:rsidRPr="00DD6A04" w:rsidRDefault="00C44897" w:rsidP="003C6015">
      <w:pPr>
        <w:spacing w:line="240" w:lineRule="auto"/>
        <w:jc w:val="both"/>
        <w:rPr>
          <w:noProof/>
          <w:lang w:val="en-GB"/>
        </w:rPr>
      </w:pPr>
    </w:p>
    <w:p w14:paraId="196A7107" w14:textId="77777777" w:rsidR="003C6015" w:rsidRPr="00DD6A04" w:rsidRDefault="003C6015" w:rsidP="003C6015">
      <w:pPr>
        <w:spacing w:line="240" w:lineRule="auto"/>
        <w:ind w:left="850"/>
        <w:jc w:val="both"/>
        <w:rPr>
          <w:noProof/>
          <w:lang w:val="en-GB"/>
        </w:rPr>
      </w:pPr>
    </w:p>
    <w:p w14:paraId="237ED69D" w14:textId="77777777" w:rsidR="003C6015" w:rsidRPr="00DD6A04" w:rsidRDefault="003C6015" w:rsidP="003C6015">
      <w:pPr>
        <w:spacing w:line="240" w:lineRule="auto"/>
        <w:ind w:left="850"/>
        <w:jc w:val="both"/>
        <w:rPr>
          <w:noProof/>
          <w:lang w:val="en-GB"/>
        </w:rPr>
        <w:sectPr w:rsidR="003C6015" w:rsidRPr="00DD6A04" w:rsidSect="00073927">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26"/>
        </w:sectPr>
      </w:pPr>
    </w:p>
    <w:p w14:paraId="04B028CF" w14:textId="213669CC" w:rsidR="003C6015" w:rsidRPr="00DD6A04" w:rsidRDefault="003C6015" w:rsidP="003C6015">
      <w:pPr>
        <w:spacing w:line="240" w:lineRule="auto"/>
        <w:ind w:left="850"/>
        <w:jc w:val="both"/>
        <w:rPr>
          <w:b/>
          <w:noProof/>
          <w:u w:val="single"/>
        </w:rPr>
      </w:pPr>
      <w:r>
        <w:rPr>
          <w:b/>
          <w:noProof/>
          <w:u w:val="single"/>
        </w:rPr>
        <w:t xml:space="preserve">B.2 </w:t>
      </w:r>
      <w:r>
        <w:rPr>
          <w:noProof/>
          <w:u w:val="single"/>
        </w:rPr>
        <w:tab/>
      </w:r>
      <w:r>
        <w:rPr>
          <w:b/>
          <w:noProof/>
          <w:u w:val="single"/>
        </w:rPr>
        <w:t>Mejniki, cilji, kazalniki in časovni razpored za spremljanje in izvajanje nepovratne finančne podpore</w:t>
      </w:r>
    </w:p>
    <w:tbl>
      <w:tblPr>
        <w:tblW w:w="15624" w:type="dxa"/>
        <w:jc w:val="center"/>
        <w:tblLayout w:type="fixed"/>
        <w:tblLook w:val="04A0" w:firstRow="1" w:lastRow="0" w:firstColumn="1" w:lastColumn="0" w:noHBand="0" w:noVBand="1"/>
      </w:tblPr>
      <w:tblGrid>
        <w:gridCol w:w="1385"/>
        <w:gridCol w:w="1471"/>
        <w:gridCol w:w="1073"/>
        <w:gridCol w:w="1701"/>
        <w:gridCol w:w="1674"/>
        <w:gridCol w:w="1161"/>
        <w:gridCol w:w="1276"/>
        <w:gridCol w:w="992"/>
        <w:gridCol w:w="851"/>
        <w:gridCol w:w="850"/>
        <w:gridCol w:w="3190"/>
      </w:tblGrid>
      <w:tr w:rsidR="00935847" w:rsidRPr="00DD6A04" w14:paraId="186B4D7F" w14:textId="77777777" w:rsidTr="00BE4788">
        <w:trPr>
          <w:trHeight w:val="740"/>
          <w:tblHeader/>
          <w:jc w:val="center"/>
        </w:trPr>
        <w:tc>
          <w:tcPr>
            <w:tcW w:w="13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58EC38" w14:textId="77777777" w:rsidR="00935847" w:rsidRPr="00DD6A04" w:rsidRDefault="00935847">
            <w:pPr>
              <w:spacing w:before="0" w:after="0" w:line="240" w:lineRule="auto"/>
              <w:jc w:val="center"/>
              <w:rPr>
                <w:rFonts w:eastAsia="Times New Roman"/>
                <w:b/>
                <w:noProof/>
              </w:rPr>
            </w:pPr>
            <w:r>
              <w:rPr>
                <w:b/>
                <w:noProof/>
              </w:rPr>
              <w:t>Zaporedna številka</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6AFDDA" w14:textId="77777777" w:rsidR="00935847" w:rsidRPr="00DD6A04" w:rsidRDefault="00935847">
            <w:pPr>
              <w:spacing w:before="0" w:after="0" w:line="240" w:lineRule="auto"/>
              <w:jc w:val="center"/>
              <w:rPr>
                <w:rFonts w:eastAsia="Times New Roman"/>
                <w:b/>
                <w:noProof/>
              </w:rPr>
            </w:pPr>
            <w:r>
              <w:rPr>
                <w:b/>
                <w:noProof/>
              </w:rPr>
              <w:t>Povezani ukrep (reforma ali naložba)</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998869" w14:textId="77777777" w:rsidR="00935847" w:rsidRPr="00DD6A04" w:rsidRDefault="00935847">
            <w:pPr>
              <w:spacing w:before="0" w:after="0" w:line="240" w:lineRule="auto"/>
              <w:jc w:val="center"/>
              <w:rPr>
                <w:rFonts w:eastAsia="Times New Roman"/>
                <w:b/>
                <w:noProof/>
              </w:rPr>
            </w:pPr>
            <w:r>
              <w:rPr>
                <w:b/>
                <w:noProof/>
              </w:rPr>
              <w:t>Mejnik/cilj</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2212F36C" w14:textId="77777777" w:rsidR="00935847" w:rsidRPr="00DD6A04" w:rsidRDefault="00935847">
            <w:pPr>
              <w:spacing w:before="0" w:after="0" w:line="240" w:lineRule="auto"/>
              <w:jc w:val="center"/>
              <w:rPr>
                <w:rFonts w:eastAsia="Times New Roman"/>
                <w:b/>
                <w:noProof/>
              </w:rPr>
            </w:pPr>
            <w:r>
              <w:rPr>
                <w:b/>
                <w:noProof/>
              </w:rPr>
              <w:t>Ime</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113074" w14:textId="77777777" w:rsidR="00935847" w:rsidRPr="00DD6A04" w:rsidRDefault="00935847">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429" w:type="dxa"/>
            <w:gridSpan w:val="3"/>
            <w:tcBorders>
              <w:top w:val="single" w:sz="4" w:space="0" w:color="auto"/>
              <w:left w:val="nil"/>
              <w:bottom w:val="single" w:sz="4" w:space="0" w:color="auto"/>
              <w:right w:val="single" w:sz="4" w:space="0" w:color="auto"/>
            </w:tcBorders>
            <w:shd w:val="clear" w:color="auto" w:fill="BDD7EE"/>
            <w:vAlign w:val="center"/>
            <w:hideMark/>
          </w:tcPr>
          <w:p w14:paraId="4A7CB126" w14:textId="77777777" w:rsidR="00935847" w:rsidRPr="00DD6A04" w:rsidRDefault="00935847">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2CA4E4EF" w14:textId="77777777" w:rsidR="00935847" w:rsidRPr="00DD6A04" w:rsidRDefault="00935847">
            <w:pPr>
              <w:spacing w:before="0" w:after="0" w:line="240" w:lineRule="auto"/>
              <w:jc w:val="center"/>
              <w:rPr>
                <w:rFonts w:eastAsia="Times New Roman"/>
                <w:b/>
                <w:noProof/>
              </w:rPr>
            </w:pPr>
            <w:r>
              <w:rPr>
                <w:b/>
                <w:noProof/>
              </w:rPr>
              <w:t xml:space="preserve">Okvirni časovni razpored za dokončanje </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EF6E67" w14:textId="77777777" w:rsidR="00935847" w:rsidRPr="00DD6A04" w:rsidRDefault="00935847">
            <w:pPr>
              <w:spacing w:before="0" w:after="0" w:line="240" w:lineRule="auto"/>
              <w:jc w:val="center"/>
              <w:rPr>
                <w:rFonts w:eastAsia="Times New Roman"/>
                <w:b/>
                <w:noProof/>
              </w:rPr>
            </w:pPr>
            <w:r>
              <w:rPr>
                <w:b/>
                <w:noProof/>
              </w:rPr>
              <w:t>Opis vsakega mejnika in cilja</w:t>
            </w:r>
          </w:p>
        </w:tc>
      </w:tr>
      <w:tr w:rsidR="00935847" w:rsidRPr="00DD6A04" w14:paraId="2D2CC584" w14:textId="77777777" w:rsidTr="00BE4788">
        <w:trPr>
          <w:trHeight w:val="751"/>
          <w:tblHeader/>
          <w:jc w:val="center"/>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6788C013" w14:textId="77777777" w:rsidR="00935847" w:rsidRPr="00DD6A04" w:rsidRDefault="00935847">
            <w:pPr>
              <w:spacing w:before="0" w:after="0" w:line="240" w:lineRule="auto"/>
              <w:rPr>
                <w:rFonts w:eastAsia="Times New Roman"/>
                <w:b/>
                <w:noProof/>
                <w:sz w:val="22"/>
                <w:lang w:val="en-GB" w:eastAsia="en-GB"/>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043D88ED" w14:textId="77777777" w:rsidR="00935847" w:rsidRPr="00DD6A04" w:rsidRDefault="00935847">
            <w:pPr>
              <w:spacing w:before="0" w:after="0" w:line="240" w:lineRule="auto"/>
              <w:rPr>
                <w:rFonts w:eastAsia="Times New Roman"/>
                <w:b/>
                <w:noProof/>
                <w:sz w:val="22"/>
                <w:lang w:val="en-GB" w:eastAsia="en-GB"/>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47BA8E6A" w14:textId="77777777" w:rsidR="00935847" w:rsidRPr="00DD6A04" w:rsidRDefault="00935847">
            <w:pPr>
              <w:spacing w:before="0" w:after="0" w:line="240" w:lineRule="auto"/>
              <w:rPr>
                <w:rFonts w:eastAsia="Times New Roman"/>
                <w:b/>
                <w:noProof/>
                <w:sz w:val="22"/>
                <w:lang w:val="en-GB"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F659B0" w14:textId="77777777" w:rsidR="00935847" w:rsidRPr="00DD6A04" w:rsidRDefault="00935847">
            <w:pPr>
              <w:spacing w:before="0" w:after="0" w:line="240" w:lineRule="auto"/>
              <w:rPr>
                <w:rFonts w:eastAsia="Times New Roman"/>
                <w:b/>
                <w:noProof/>
                <w:sz w:val="22"/>
                <w:lang w:val="en-GB" w:eastAsia="en-GB"/>
              </w:rPr>
            </w:pPr>
          </w:p>
        </w:tc>
        <w:tc>
          <w:tcPr>
            <w:tcW w:w="1674" w:type="dxa"/>
            <w:vMerge/>
            <w:tcBorders>
              <w:left w:val="single" w:sz="4" w:space="0" w:color="auto"/>
            </w:tcBorders>
            <w:vAlign w:val="center"/>
            <w:hideMark/>
          </w:tcPr>
          <w:p w14:paraId="37DBA555" w14:textId="77777777" w:rsidR="00935847" w:rsidRPr="00DD6A04" w:rsidRDefault="00935847">
            <w:pPr>
              <w:spacing w:before="0" w:after="0" w:line="240" w:lineRule="auto"/>
              <w:rPr>
                <w:rFonts w:eastAsia="Times New Roman"/>
                <w:b/>
                <w:noProof/>
                <w:sz w:val="22"/>
                <w:lang w:val="en-GB" w:eastAsia="en-GB"/>
              </w:rPr>
            </w:pPr>
          </w:p>
        </w:tc>
        <w:tc>
          <w:tcPr>
            <w:tcW w:w="116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62730B" w14:textId="77777777" w:rsidR="00935847" w:rsidRPr="00DD6A04" w:rsidRDefault="00935847">
            <w:pPr>
              <w:spacing w:before="0" w:after="0" w:line="240" w:lineRule="auto"/>
              <w:jc w:val="center"/>
              <w:rPr>
                <w:rFonts w:eastAsia="Times New Roman"/>
                <w:b/>
                <w:noProof/>
                <w:sz w:val="22"/>
              </w:rPr>
            </w:pPr>
            <w:r>
              <w:rPr>
                <w:b/>
                <w:noProof/>
                <w:sz w:val="22"/>
              </w:rPr>
              <w:t>Enota merjenja</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BE41335" w14:textId="77777777" w:rsidR="00935847" w:rsidRPr="00DD6A04" w:rsidRDefault="00935847">
            <w:pPr>
              <w:spacing w:before="0" w:after="0" w:line="240" w:lineRule="auto"/>
              <w:jc w:val="center"/>
              <w:rPr>
                <w:rFonts w:eastAsia="Times New Roman"/>
                <w:b/>
                <w:noProof/>
                <w:sz w:val="22"/>
              </w:rPr>
            </w:pPr>
            <w:r>
              <w:rPr>
                <w:b/>
                <w:noProof/>
                <w:sz w:val="22"/>
              </w:rPr>
              <w:t xml:space="preserve">Izhodiščna raven </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7C1CA85" w14:textId="77777777" w:rsidR="00935847" w:rsidRPr="00DD6A04" w:rsidRDefault="00935847">
            <w:pPr>
              <w:spacing w:before="0" w:after="0" w:line="240" w:lineRule="auto"/>
              <w:jc w:val="center"/>
              <w:rPr>
                <w:rFonts w:eastAsia="Times New Roman"/>
                <w:b/>
                <w:noProof/>
                <w:sz w:val="22"/>
              </w:rPr>
            </w:pPr>
            <w:r>
              <w:rPr>
                <w:b/>
                <w:noProof/>
                <w:sz w:val="22"/>
              </w:rPr>
              <w:t xml:space="preserve">Ciljna raven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083389E" w14:textId="77777777" w:rsidR="00935847" w:rsidRPr="00DD6A04" w:rsidRDefault="00935847">
            <w:pPr>
              <w:spacing w:before="0" w:after="0" w:line="240" w:lineRule="auto"/>
              <w:jc w:val="center"/>
              <w:rPr>
                <w:rFonts w:eastAsia="Times New Roman"/>
                <w:b/>
                <w:noProof/>
                <w:sz w:val="22"/>
              </w:rPr>
            </w:pPr>
            <w:r>
              <w:rPr>
                <w:b/>
                <w:noProof/>
                <w:sz w:val="22"/>
              </w:rPr>
              <w:t>Četrtletje</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51FD93F" w14:textId="77777777" w:rsidR="00935847" w:rsidRPr="00DD6A04" w:rsidRDefault="00935847">
            <w:pPr>
              <w:spacing w:before="0" w:after="0" w:line="240" w:lineRule="auto"/>
              <w:jc w:val="center"/>
              <w:rPr>
                <w:rFonts w:eastAsia="Times New Roman"/>
                <w:b/>
                <w:noProof/>
                <w:sz w:val="22"/>
              </w:rPr>
            </w:pPr>
            <w:r>
              <w:rPr>
                <w:b/>
                <w:noProof/>
                <w:sz w:val="22"/>
              </w:rPr>
              <w:t>Leto</w:t>
            </w:r>
          </w:p>
        </w:tc>
        <w:tc>
          <w:tcPr>
            <w:tcW w:w="3190" w:type="dxa"/>
            <w:vMerge/>
            <w:tcBorders>
              <w:bottom w:val="single" w:sz="4" w:space="0" w:color="auto"/>
              <w:right w:val="single" w:sz="4" w:space="0" w:color="auto"/>
            </w:tcBorders>
            <w:vAlign w:val="center"/>
            <w:hideMark/>
          </w:tcPr>
          <w:p w14:paraId="31DE032E" w14:textId="77777777" w:rsidR="00935847" w:rsidRPr="00DD6A04" w:rsidRDefault="00935847">
            <w:pPr>
              <w:spacing w:before="0" w:after="0" w:line="240" w:lineRule="auto"/>
              <w:rPr>
                <w:rFonts w:eastAsia="Times New Roman"/>
                <w:b/>
                <w:noProof/>
                <w:sz w:val="22"/>
                <w:lang w:val="en-GB" w:eastAsia="en-GB"/>
              </w:rPr>
            </w:pPr>
          </w:p>
        </w:tc>
      </w:tr>
      <w:tr w:rsidR="00935847" w:rsidRPr="00DD6A04" w14:paraId="30ED5001"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29A22F92" w14:textId="649410C1" w:rsidR="00935847" w:rsidRPr="00DD6A04" w:rsidRDefault="00867C2B">
            <w:pPr>
              <w:spacing w:before="0" w:after="0" w:line="240" w:lineRule="auto"/>
              <w:rPr>
                <w:rFonts w:eastAsia="Times New Roman"/>
                <w:noProof/>
                <w:color w:val="006100"/>
                <w:sz w:val="22"/>
              </w:rPr>
            </w:pPr>
            <w:r>
              <w:rPr>
                <w:noProof/>
                <w:color w:val="006100"/>
                <w:sz w:val="22"/>
              </w:rPr>
              <w:t>19</w:t>
            </w:r>
          </w:p>
        </w:tc>
        <w:tc>
          <w:tcPr>
            <w:tcW w:w="1471" w:type="dxa"/>
            <w:tcBorders>
              <w:top w:val="single" w:sz="4" w:space="0" w:color="auto"/>
              <w:left w:val="nil"/>
              <w:bottom w:val="single" w:sz="4" w:space="0" w:color="auto"/>
              <w:right w:val="single" w:sz="4" w:space="0" w:color="auto"/>
            </w:tcBorders>
            <w:shd w:val="clear" w:color="auto" w:fill="C6EFCE"/>
            <w:noWrap/>
          </w:tcPr>
          <w:p w14:paraId="4E07CCFA" w14:textId="1F53A22B" w:rsidR="00935847" w:rsidRPr="00DD6A04" w:rsidRDefault="00867C2B">
            <w:pPr>
              <w:spacing w:before="0" w:after="0" w:line="240" w:lineRule="auto"/>
              <w:rPr>
                <w:rFonts w:eastAsia="Times New Roman"/>
                <w:noProof/>
                <w:color w:val="006100"/>
                <w:sz w:val="22"/>
              </w:rPr>
            </w:pPr>
            <w:r>
              <w:rPr>
                <w:noProof/>
                <w:color w:val="006100"/>
                <w:sz w:val="22"/>
              </w:rPr>
              <w:t>A: Reforma načrtovanja in financiranja energetske prenove stavb javnega sektorja</w:t>
            </w:r>
          </w:p>
        </w:tc>
        <w:tc>
          <w:tcPr>
            <w:tcW w:w="1073" w:type="dxa"/>
            <w:tcBorders>
              <w:top w:val="single" w:sz="4" w:space="0" w:color="auto"/>
              <w:left w:val="nil"/>
              <w:bottom w:val="single" w:sz="4" w:space="0" w:color="auto"/>
              <w:right w:val="single" w:sz="4" w:space="0" w:color="auto"/>
            </w:tcBorders>
            <w:shd w:val="clear" w:color="auto" w:fill="C6EFCE"/>
            <w:noWrap/>
          </w:tcPr>
          <w:p w14:paraId="1C4F83F7" w14:textId="66810E3B" w:rsidR="00935847" w:rsidRPr="00DD6A04" w:rsidRDefault="00867C2B">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318658D9" w14:textId="000BD9A2" w:rsidR="00935847" w:rsidRPr="00DD6A04" w:rsidRDefault="00867C2B">
            <w:pPr>
              <w:spacing w:before="0" w:after="0" w:line="240" w:lineRule="auto"/>
              <w:rPr>
                <w:rFonts w:eastAsia="Times New Roman"/>
                <w:noProof/>
                <w:color w:val="006100"/>
                <w:sz w:val="22"/>
              </w:rPr>
            </w:pPr>
            <w:r>
              <w:rPr>
                <w:noProof/>
                <w:color w:val="006100"/>
                <w:sz w:val="22"/>
              </w:rPr>
              <w:t>Začetek veljavnosti prepovedi uporabe fosilnih goriv za ogrevanje novih stavb</w:t>
            </w:r>
          </w:p>
        </w:tc>
        <w:tc>
          <w:tcPr>
            <w:tcW w:w="1674" w:type="dxa"/>
            <w:tcBorders>
              <w:top w:val="single" w:sz="4" w:space="0" w:color="auto"/>
              <w:left w:val="nil"/>
              <w:bottom w:val="single" w:sz="4" w:space="0" w:color="auto"/>
              <w:right w:val="single" w:sz="4" w:space="0" w:color="auto"/>
            </w:tcBorders>
            <w:shd w:val="clear" w:color="auto" w:fill="C6EFCE"/>
            <w:noWrap/>
          </w:tcPr>
          <w:p w14:paraId="0A0B4691" w14:textId="61A8DA6A" w:rsidR="00935847" w:rsidRPr="00DD6A04" w:rsidRDefault="00867C2B">
            <w:pPr>
              <w:spacing w:before="0" w:after="0" w:line="240" w:lineRule="auto"/>
              <w:rPr>
                <w:rFonts w:eastAsia="Times New Roman"/>
                <w:noProof/>
                <w:color w:val="006100"/>
                <w:sz w:val="22"/>
              </w:rPr>
            </w:pPr>
            <w:r>
              <w:rPr>
                <w:noProof/>
                <w:color w:val="006100"/>
                <w:sz w:val="22"/>
              </w:rPr>
              <w:t xml:space="preserve">Zakonodajna določba o začetku veljavnosti zadevnega zakona </w:t>
            </w:r>
          </w:p>
        </w:tc>
        <w:tc>
          <w:tcPr>
            <w:tcW w:w="1161" w:type="dxa"/>
            <w:tcBorders>
              <w:top w:val="single" w:sz="4" w:space="0" w:color="auto"/>
              <w:left w:val="nil"/>
              <w:bottom w:val="single" w:sz="4" w:space="0" w:color="auto"/>
              <w:right w:val="single" w:sz="4" w:space="0" w:color="auto"/>
            </w:tcBorders>
            <w:shd w:val="clear" w:color="auto" w:fill="C6EFCE"/>
            <w:noWrap/>
          </w:tcPr>
          <w:p w14:paraId="6D9ED1F5" w14:textId="77777777" w:rsidR="00935847" w:rsidRPr="00DD6A04" w:rsidRDefault="0093584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00E9A76F" w14:textId="77777777" w:rsidR="00935847" w:rsidRPr="00DD6A04" w:rsidRDefault="00935847">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1EC8F184" w14:textId="77777777" w:rsidR="00935847" w:rsidRPr="00DD6A04" w:rsidRDefault="0093584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1DE62488" w14:textId="7087A4E3" w:rsidR="00935847" w:rsidRPr="00DD6A04" w:rsidRDefault="00867C2B">
            <w:pPr>
              <w:spacing w:before="0" w:after="0" w:line="240" w:lineRule="auto"/>
              <w:rPr>
                <w:rFonts w:eastAsia="Times New Roman"/>
                <w:noProof/>
                <w:color w:val="006100"/>
                <w:sz w:val="22"/>
              </w:rPr>
            </w:pPr>
            <w:r>
              <w:rPr>
                <w:noProof/>
                <w:color w:val="006100"/>
                <w:sz w:val="22"/>
              </w:rPr>
              <w:t>Q2</w:t>
            </w:r>
          </w:p>
        </w:tc>
        <w:tc>
          <w:tcPr>
            <w:tcW w:w="850" w:type="dxa"/>
            <w:tcBorders>
              <w:top w:val="single" w:sz="4" w:space="0" w:color="auto"/>
              <w:left w:val="nil"/>
              <w:bottom w:val="single" w:sz="4" w:space="0" w:color="auto"/>
              <w:right w:val="single" w:sz="4" w:space="0" w:color="auto"/>
            </w:tcBorders>
            <w:shd w:val="clear" w:color="auto" w:fill="C6EFCE"/>
            <w:noWrap/>
          </w:tcPr>
          <w:p w14:paraId="211430A4" w14:textId="1ECD7E72" w:rsidR="00935847" w:rsidRPr="00DD6A04" w:rsidRDefault="00867C2B">
            <w:pPr>
              <w:spacing w:before="0" w:after="0" w:line="240" w:lineRule="auto"/>
              <w:rPr>
                <w:rFonts w:eastAsia="Times New Roman"/>
                <w:noProof/>
                <w:color w:val="006100"/>
                <w:sz w:val="22"/>
              </w:rPr>
            </w:pPr>
            <w:r>
              <w:rPr>
                <w:noProof/>
                <w:color w:val="006100"/>
                <w:sz w:val="22"/>
              </w:rPr>
              <w:t>2023</w:t>
            </w:r>
          </w:p>
        </w:tc>
        <w:tc>
          <w:tcPr>
            <w:tcW w:w="3190" w:type="dxa"/>
            <w:tcBorders>
              <w:top w:val="single" w:sz="4" w:space="0" w:color="auto"/>
              <w:left w:val="nil"/>
              <w:bottom w:val="single" w:sz="4" w:space="0" w:color="auto"/>
              <w:right w:val="single" w:sz="4" w:space="0" w:color="auto"/>
            </w:tcBorders>
            <w:shd w:val="clear" w:color="auto" w:fill="C6EFCE"/>
            <w:noWrap/>
          </w:tcPr>
          <w:p w14:paraId="1E9ABA64" w14:textId="4C789722" w:rsidR="00935847" w:rsidRPr="00DD6A04" w:rsidRDefault="00867C2B">
            <w:pPr>
              <w:spacing w:before="0" w:after="0" w:line="240" w:lineRule="auto"/>
              <w:rPr>
                <w:rFonts w:eastAsia="Times New Roman"/>
                <w:noProof/>
                <w:color w:val="006100"/>
                <w:sz w:val="22"/>
                <w:highlight w:val="yellow"/>
              </w:rPr>
            </w:pPr>
            <w:r>
              <w:rPr>
                <w:noProof/>
                <w:color w:val="006100"/>
                <w:sz w:val="22"/>
              </w:rPr>
              <w:t xml:space="preserve">Z zakonom bo uvedena prepoved načrtovanja in vgradnje kotlov na kurilno olje, mazut in premog za ogrevanje stavb, kot je predvideno v Dolgoročni strategiji energetske prenove stavb do leta 2050. </w:t>
            </w:r>
          </w:p>
        </w:tc>
      </w:tr>
      <w:tr w:rsidR="00935847" w:rsidRPr="00DD6A04" w14:paraId="05092F39"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7EAF4802" w14:textId="494AC446" w:rsidR="00935847" w:rsidRPr="00DD6A04" w:rsidRDefault="00867C2B">
            <w:pPr>
              <w:spacing w:before="0" w:after="0" w:line="240" w:lineRule="auto"/>
              <w:rPr>
                <w:rFonts w:eastAsia="Times New Roman"/>
                <w:noProof/>
                <w:color w:val="006100"/>
                <w:sz w:val="22"/>
              </w:rPr>
            </w:pPr>
            <w:r>
              <w:rPr>
                <w:noProof/>
                <w:color w:val="006100"/>
                <w:sz w:val="22"/>
              </w:rPr>
              <w:t>20</w:t>
            </w:r>
          </w:p>
        </w:tc>
        <w:tc>
          <w:tcPr>
            <w:tcW w:w="1471" w:type="dxa"/>
            <w:tcBorders>
              <w:top w:val="single" w:sz="4" w:space="0" w:color="auto"/>
              <w:left w:val="nil"/>
              <w:bottom w:val="single" w:sz="4" w:space="0" w:color="auto"/>
              <w:right w:val="single" w:sz="4" w:space="0" w:color="auto"/>
            </w:tcBorders>
            <w:shd w:val="clear" w:color="auto" w:fill="C6EFCE"/>
            <w:noWrap/>
          </w:tcPr>
          <w:p w14:paraId="256A79A7" w14:textId="64E09C5B" w:rsidR="00935847" w:rsidRPr="00DD6A04" w:rsidRDefault="51196CEF" w:rsidP="170A6336">
            <w:pPr>
              <w:spacing w:before="0" w:after="0" w:line="240" w:lineRule="auto"/>
              <w:rPr>
                <w:rFonts w:eastAsia="Times New Roman"/>
                <w:noProof/>
                <w:color w:val="006100"/>
                <w:sz w:val="22"/>
              </w:rPr>
            </w:pPr>
            <w:r>
              <w:rPr>
                <w:noProof/>
                <w:color w:val="006100"/>
                <w:sz w:val="22"/>
              </w:rPr>
              <w:t>A: Reforma načrtovanja in financiranja energetske prenove stavb javnega sektorja</w:t>
            </w:r>
          </w:p>
        </w:tc>
        <w:tc>
          <w:tcPr>
            <w:tcW w:w="1073" w:type="dxa"/>
            <w:tcBorders>
              <w:top w:val="single" w:sz="4" w:space="0" w:color="auto"/>
              <w:left w:val="nil"/>
              <w:bottom w:val="single" w:sz="4" w:space="0" w:color="auto"/>
              <w:right w:val="single" w:sz="4" w:space="0" w:color="auto"/>
            </w:tcBorders>
            <w:shd w:val="clear" w:color="auto" w:fill="C6EFCE"/>
            <w:noWrap/>
          </w:tcPr>
          <w:p w14:paraId="00C9B824" w14:textId="50D06DCA" w:rsidR="00935847" w:rsidRPr="00DD6A04" w:rsidRDefault="00867C2B">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55A9E098" w14:textId="70772B06" w:rsidR="00935847" w:rsidRPr="00DD6A04" w:rsidRDefault="00867C2B">
            <w:pPr>
              <w:spacing w:before="0" w:after="0" w:line="240" w:lineRule="auto"/>
              <w:rPr>
                <w:rFonts w:eastAsia="Times New Roman"/>
                <w:noProof/>
                <w:color w:val="006100"/>
                <w:sz w:val="22"/>
              </w:rPr>
            </w:pPr>
            <w:r>
              <w:rPr>
                <w:noProof/>
                <w:color w:val="006100"/>
                <w:sz w:val="22"/>
              </w:rPr>
              <w:t xml:space="preserve">Akcijski načrt za prenovo javnih stavb </w:t>
            </w:r>
          </w:p>
        </w:tc>
        <w:tc>
          <w:tcPr>
            <w:tcW w:w="1674" w:type="dxa"/>
            <w:tcBorders>
              <w:top w:val="single" w:sz="4" w:space="0" w:color="auto"/>
              <w:left w:val="nil"/>
              <w:bottom w:val="single" w:sz="4" w:space="0" w:color="auto"/>
              <w:right w:val="single" w:sz="4" w:space="0" w:color="auto"/>
            </w:tcBorders>
            <w:shd w:val="clear" w:color="auto" w:fill="C6EFCE"/>
            <w:noWrap/>
          </w:tcPr>
          <w:p w14:paraId="711A04CD" w14:textId="58B65F26" w:rsidR="00935847" w:rsidRPr="00DD6A04" w:rsidRDefault="00867C2B">
            <w:pPr>
              <w:spacing w:before="0" w:after="0" w:line="240" w:lineRule="auto"/>
              <w:rPr>
                <w:rFonts w:eastAsia="Times New Roman"/>
                <w:noProof/>
                <w:color w:val="006100"/>
                <w:sz w:val="22"/>
              </w:rPr>
            </w:pPr>
            <w:r>
              <w:rPr>
                <w:noProof/>
                <w:color w:val="006100"/>
                <w:sz w:val="22"/>
              </w:rPr>
              <w:t xml:space="preserve">Sprejet akcijski načrt za prenovo javnih stavb, ki ga potrdi in objavi Ministrstvo za okolje, podnebje in energijo </w:t>
            </w:r>
          </w:p>
        </w:tc>
        <w:tc>
          <w:tcPr>
            <w:tcW w:w="1161" w:type="dxa"/>
            <w:tcBorders>
              <w:top w:val="single" w:sz="4" w:space="0" w:color="auto"/>
              <w:left w:val="nil"/>
              <w:bottom w:val="single" w:sz="4" w:space="0" w:color="auto"/>
              <w:right w:val="single" w:sz="4" w:space="0" w:color="auto"/>
            </w:tcBorders>
            <w:shd w:val="clear" w:color="auto" w:fill="C6EFCE"/>
            <w:noWrap/>
          </w:tcPr>
          <w:p w14:paraId="0E37331F" w14:textId="7F9BBF93"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76B0EF78" w14:textId="1511564D" w:rsidR="00935847" w:rsidRPr="00DD6A04" w:rsidRDefault="00867C2B">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7CDFCC2C" w14:textId="55289107" w:rsidR="00935847" w:rsidRPr="00DD6A04" w:rsidRDefault="00867C2B">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30A89E4F" w14:textId="10509735" w:rsidR="00935847" w:rsidRPr="00DD6A04" w:rsidRDefault="00867C2B">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4FCE0CF2" w14:textId="676D18C2" w:rsidR="00935847" w:rsidRPr="00DD6A04" w:rsidRDefault="00867C2B">
            <w:pPr>
              <w:spacing w:before="0" w:after="0" w:line="240" w:lineRule="auto"/>
              <w:rPr>
                <w:rFonts w:eastAsia="Times New Roman"/>
                <w:noProof/>
                <w:color w:val="006100"/>
                <w:sz w:val="22"/>
              </w:rPr>
            </w:pPr>
            <w:r>
              <w:rPr>
                <w:noProof/>
                <w:color w:val="006100"/>
                <w:sz w:val="22"/>
              </w:rPr>
              <w:t>2025</w:t>
            </w:r>
          </w:p>
        </w:tc>
        <w:tc>
          <w:tcPr>
            <w:tcW w:w="3190" w:type="dxa"/>
            <w:tcBorders>
              <w:top w:val="single" w:sz="4" w:space="0" w:color="auto"/>
              <w:left w:val="nil"/>
              <w:bottom w:val="single" w:sz="4" w:space="0" w:color="auto"/>
              <w:right w:val="single" w:sz="4" w:space="0" w:color="auto"/>
            </w:tcBorders>
            <w:shd w:val="clear" w:color="auto" w:fill="C6EFCE"/>
            <w:noWrap/>
          </w:tcPr>
          <w:p w14:paraId="7A0CB73D" w14:textId="0EE28F6F" w:rsidR="00867C2B" w:rsidRPr="00DD6A04" w:rsidRDefault="00867C2B" w:rsidP="00867C2B">
            <w:pPr>
              <w:spacing w:after="0" w:line="240" w:lineRule="auto"/>
              <w:rPr>
                <w:rFonts w:eastAsia="Times New Roman"/>
                <w:noProof/>
                <w:color w:val="006100"/>
                <w:sz w:val="22"/>
              </w:rPr>
            </w:pPr>
            <w:r>
              <w:rPr>
                <w:noProof/>
                <w:color w:val="006100"/>
                <w:sz w:val="22"/>
              </w:rPr>
              <w:t>Akcijski načrt, ki ga potrdi in objavi Ministrstvo za okolje, podnebje in energijo, vsebuje vsaj:</w:t>
            </w:r>
          </w:p>
          <w:p w14:paraId="54DEA6DB" w14:textId="77777777" w:rsidR="00867C2B" w:rsidRPr="00DD6A04" w:rsidRDefault="00867C2B" w:rsidP="00867C2B">
            <w:pPr>
              <w:pStyle w:val="ListParagraph"/>
              <w:numPr>
                <w:ilvl w:val="0"/>
                <w:numId w:val="1"/>
              </w:numPr>
              <w:spacing w:after="0" w:line="240" w:lineRule="auto"/>
              <w:rPr>
                <w:rFonts w:eastAsia="Times New Roman"/>
                <w:noProof/>
                <w:color w:val="006100"/>
              </w:rPr>
            </w:pPr>
            <w:r>
              <w:rPr>
                <w:rFonts w:ascii="Times New Roman" w:hAnsi="Times New Roman"/>
                <w:noProof/>
                <w:color w:val="006100"/>
              </w:rPr>
              <w:t>analizo stavbnega fonda;</w:t>
            </w:r>
          </w:p>
          <w:p w14:paraId="7CB3F799" w14:textId="022D8318" w:rsidR="00867C2B" w:rsidRPr="00DD6A04" w:rsidRDefault="00867C2B" w:rsidP="00867C2B">
            <w:pPr>
              <w:pStyle w:val="ListParagraph"/>
              <w:numPr>
                <w:ilvl w:val="0"/>
                <w:numId w:val="2"/>
              </w:numPr>
              <w:spacing w:after="0" w:line="240" w:lineRule="auto"/>
              <w:rPr>
                <w:rFonts w:eastAsia="Times New Roman"/>
                <w:noProof/>
                <w:color w:val="006100"/>
              </w:rPr>
            </w:pPr>
            <w:r>
              <w:rPr>
                <w:rFonts w:ascii="Times New Roman" w:hAnsi="Times New Roman"/>
                <w:noProof/>
                <w:color w:val="006100"/>
              </w:rPr>
              <w:t>analizo potreb v javnem sektorju in upoštevanje zagotavljanja kontinuitete storitev tekom prenove stavb ter</w:t>
            </w:r>
          </w:p>
          <w:p w14:paraId="1F2E92D5" w14:textId="77777777" w:rsidR="00867C2B" w:rsidRPr="00DD6A04" w:rsidRDefault="00867C2B" w:rsidP="00867C2B">
            <w:pPr>
              <w:pStyle w:val="ListParagraph"/>
              <w:numPr>
                <w:ilvl w:val="0"/>
                <w:numId w:val="3"/>
              </w:numPr>
              <w:spacing w:after="0" w:line="240" w:lineRule="auto"/>
              <w:rPr>
                <w:rFonts w:eastAsia="Times New Roman"/>
                <w:noProof/>
                <w:color w:val="006100"/>
              </w:rPr>
            </w:pPr>
            <w:r>
              <w:rPr>
                <w:rFonts w:ascii="Times New Roman" w:hAnsi="Times New Roman"/>
                <w:noProof/>
                <w:color w:val="006100"/>
              </w:rPr>
              <w:t>konkretne korake pri prenovi stavb, vključno z opredelitvijo možnih virov financiranja.</w:t>
            </w:r>
          </w:p>
          <w:p w14:paraId="2ED38E5C" w14:textId="77777777" w:rsidR="00935847" w:rsidRPr="00DD6A04" w:rsidRDefault="00935847">
            <w:pPr>
              <w:spacing w:before="0" w:after="0" w:line="240" w:lineRule="auto"/>
              <w:rPr>
                <w:rFonts w:eastAsia="Times New Roman"/>
                <w:noProof/>
                <w:color w:val="006100"/>
                <w:sz w:val="22"/>
                <w:highlight w:val="yellow"/>
                <w:lang w:val="en-GB" w:eastAsia="en-GB"/>
              </w:rPr>
            </w:pPr>
          </w:p>
        </w:tc>
      </w:tr>
      <w:tr w:rsidR="00935847" w:rsidRPr="00DD6A04" w14:paraId="4A3D7CA5"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78F419CC" w14:textId="7156EE3C" w:rsidR="00935847" w:rsidRPr="00DD6A04" w:rsidRDefault="00867C2B">
            <w:pPr>
              <w:spacing w:before="0" w:after="0" w:line="240" w:lineRule="auto"/>
              <w:rPr>
                <w:rFonts w:eastAsia="Times New Roman"/>
                <w:noProof/>
                <w:color w:val="006100"/>
                <w:sz w:val="22"/>
              </w:rPr>
            </w:pPr>
            <w:r>
              <w:rPr>
                <w:noProof/>
                <w:color w:val="006100"/>
                <w:sz w:val="22"/>
              </w:rPr>
              <w:t>21</w:t>
            </w:r>
          </w:p>
        </w:tc>
        <w:tc>
          <w:tcPr>
            <w:tcW w:w="1471" w:type="dxa"/>
            <w:tcBorders>
              <w:top w:val="single" w:sz="4" w:space="0" w:color="auto"/>
              <w:left w:val="nil"/>
              <w:bottom w:val="single" w:sz="4" w:space="0" w:color="auto"/>
              <w:right w:val="single" w:sz="4" w:space="0" w:color="auto"/>
            </w:tcBorders>
            <w:shd w:val="clear" w:color="auto" w:fill="C6EFCE"/>
            <w:noWrap/>
          </w:tcPr>
          <w:p w14:paraId="478E8D03" w14:textId="2EFE6C6F" w:rsidR="00935847" w:rsidRPr="00DD6A04" w:rsidRDefault="00867C2B">
            <w:pPr>
              <w:spacing w:before="0" w:after="0" w:line="240" w:lineRule="auto"/>
              <w:rPr>
                <w:rFonts w:eastAsia="Times New Roman"/>
                <w:noProof/>
                <w:color w:val="006100"/>
                <w:sz w:val="22"/>
              </w:rPr>
            </w:pPr>
            <w:r>
              <w:rPr>
                <w:noProof/>
                <w:color w:val="006100"/>
                <w:sz w:val="22"/>
              </w:rPr>
              <w:t>B: Trajnostna prenova stavb</w:t>
            </w:r>
          </w:p>
        </w:tc>
        <w:tc>
          <w:tcPr>
            <w:tcW w:w="1073" w:type="dxa"/>
            <w:tcBorders>
              <w:top w:val="single" w:sz="4" w:space="0" w:color="auto"/>
              <w:left w:val="nil"/>
              <w:bottom w:val="single" w:sz="4" w:space="0" w:color="auto"/>
              <w:right w:val="single" w:sz="4" w:space="0" w:color="auto"/>
            </w:tcBorders>
            <w:shd w:val="clear" w:color="auto" w:fill="C6EFCE"/>
            <w:noWrap/>
          </w:tcPr>
          <w:p w14:paraId="42C48721" w14:textId="7192A2E2" w:rsidR="00935847" w:rsidRPr="00DD6A04" w:rsidRDefault="00867C2B">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0880CB11" w14:textId="522B7C8F" w:rsidR="00935847" w:rsidRPr="00DD6A04" w:rsidRDefault="00867C2B">
            <w:pPr>
              <w:spacing w:before="0" w:after="0" w:line="240" w:lineRule="auto"/>
              <w:rPr>
                <w:rFonts w:eastAsia="Times New Roman"/>
                <w:noProof/>
                <w:color w:val="006100"/>
                <w:sz w:val="22"/>
              </w:rPr>
            </w:pPr>
            <w:r>
              <w:rPr>
                <w:noProof/>
                <w:color w:val="006100"/>
                <w:sz w:val="22"/>
              </w:rPr>
              <w:t>Objava javnega razpisa za izvedbo posameznih nadgradenj tehničnih stavbnih sistemov</w:t>
            </w:r>
          </w:p>
        </w:tc>
        <w:tc>
          <w:tcPr>
            <w:tcW w:w="1674" w:type="dxa"/>
            <w:tcBorders>
              <w:top w:val="single" w:sz="4" w:space="0" w:color="auto"/>
              <w:left w:val="nil"/>
              <w:bottom w:val="single" w:sz="4" w:space="0" w:color="auto"/>
              <w:right w:val="single" w:sz="4" w:space="0" w:color="auto"/>
            </w:tcBorders>
            <w:shd w:val="clear" w:color="auto" w:fill="C6EFCE"/>
            <w:noWrap/>
          </w:tcPr>
          <w:p w14:paraId="4FFB08FE" w14:textId="695660E6" w:rsidR="00935847" w:rsidRPr="00DD6A04" w:rsidRDefault="00867C2B">
            <w:pPr>
              <w:spacing w:before="0" w:after="0" w:line="240" w:lineRule="auto"/>
              <w:rPr>
                <w:rFonts w:eastAsia="Times New Roman"/>
                <w:noProof/>
                <w:color w:val="006100"/>
                <w:sz w:val="22"/>
              </w:rPr>
            </w:pPr>
            <w:r>
              <w:rPr>
                <w:noProof/>
                <w:color w:val="006100"/>
                <w:sz w:val="22"/>
              </w:rPr>
              <w:t>Objava javnega razpisa</w:t>
            </w:r>
          </w:p>
        </w:tc>
        <w:tc>
          <w:tcPr>
            <w:tcW w:w="1161" w:type="dxa"/>
            <w:tcBorders>
              <w:top w:val="single" w:sz="4" w:space="0" w:color="auto"/>
              <w:left w:val="nil"/>
              <w:bottom w:val="single" w:sz="4" w:space="0" w:color="auto"/>
              <w:right w:val="single" w:sz="4" w:space="0" w:color="auto"/>
            </w:tcBorders>
            <w:shd w:val="clear" w:color="auto" w:fill="C6EFCE"/>
            <w:noWrap/>
          </w:tcPr>
          <w:p w14:paraId="6C94CC7E" w14:textId="47E66A93"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2375DDE9" w14:textId="6D9375F9" w:rsidR="00935847" w:rsidRPr="00DD6A04" w:rsidRDefault="00867C2B">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7BCEE8EA" w14:textId="4D21B2DD" w:rsidR="00935847" w:rsidRPr="00DD6A04" w:rsidRDefault="00867C2B">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4BCA5ED4" w14:textId="20D7A739" w:rsidR="00935847" w:rsidRPr="00DD6A04" w:rsidRDefault="00867C2B">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2DA4D4BE" w14:textId="0C36EE82" w:rsidR="00935847" w:rsidRPr="00DD6A04" w:rsidRDefault="00867C2B">
            <w:pPr>
              <w:spacing w:before="0" w:after="0" w:line="240" w:lineRule="auto"/>
              <w:rPr>
                <w:rFonts w:eastAsia="Times New Roman"/>
                <w:noProof/>
                <w:color w:val="006100"/>
                <w:sz w:val="22"/>
              </w:rPr>
            </w:pPr>
            <w:r>
              <w:rPr>
                <w:noProof/>
                <w:color w:val="006100"/>
                <w:sz w:val="22"/>
              </w:rPr>
              <w:t>2022</w:t>
            </w:r>
          </w:p>
        </w:tc>
        <w:tc>
          <w:tcPr>
            <w:tcW w:w="3190" w:type="dxa"/>
            <w:tcBorders>
              <w:top w:val="single" w:sz="4" w:space="0" w:color="auto"/>
              <w:left w:val="nil"/>
              <w:bottom w:val="single" w:sz="4" w:space="0" w:color="auto"/>
              <w:right w:val="single" w:sz="4" w:space="0" w:color="auto"/>
            </w:tcBorders>
            <w:shd w:val="clear" w:color="auto" w:fill="C6EFCE"/>
            <w:noWrap/>
          </w:tcPr>
          <w:p w14:paraId="27823BD1" w14:textId="31D0476C" w:rsidR="00935847" w:rsidRPr="00DD6A04" w:rsidRDefault="00867C2B">
            <w:pPr>
              <w:spacing w:before="0" w:after="0" w:line="240" w:lineRule="auto"/>
              <w:rPr>
                <w:rFonts w:eastAsia="Times New Roman"/>
                <w:noProof/>
                <w:color w:val="006100"/>
                <w:sz w:val="22"/>
                <w:highlight w:val="yellow"/>
              </w:rPr>
            </w:pPr>
            <w:r>
              <w:rPr>
                <w:noProof/>
                <w:color w:val="006100"/>
                <w:sz w:val="22"/>
              </w:rPr>
              <w:t xml:space="preserve">Objavljen je javni razpis za izvedbo posameznih nadgradenj tehničnih stavbnih sistemov, kot so klimatski in prezračevalni sistemi. Razpis bo odprt, dokler proračunska sredstva ne bodo izčrpana. Merila za izbor/upravičenost bodo zagotavljala skladnost s tehničnimi smernicami za uporabo načela, da se ne škoduje bistveno (2021/C58/01). </w:t>
            </w:r>
          </w:p>
        </w:tc>
      </w:tr>
      <w:tr w:rsidR="00935847" w:rsidRPr="00DD6A04" w14:paraId="69521438"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1361636E" w14:textId="71B1B403" w:rsidR="00935847" w:rsidRPr="00DD6A04" w:rsidRDefault="00867C2B">
            <w:pPr>
              <w:spacing w:before="0" w:after="0" w:line="240" w:lineRule="auto"/>
              <w:rPr>
                <w:rFonts w:eastAsia="Times New Roman"/>
                <w:noProof/>
                <w:color w:val="006100"/>
                <w:sz w:val="22"/>
              </w:rPr>
            </w:pPr>
            <w:r>
              <w:rPr>
                <w:noProof/>
                <w:color w:val="006100"/>
                <w:sz w:val="22"/>
              </w:rPr>
              <w:t>22</w:t>
            </w:r>
          </w:p>
        </w:tc>
        <w:tc>
          <w:tcPr>
            <w:tcW w:w="1471" w:type="dxa"/>
            <w:tcBorders>
              <w:top w:val="single" w:sz="4" w:space="0" w:color="auto"/>
              <w:left w:val="nil"/>
              <w:bottom w:val="single" w:sz="4" w:space="0" w:color="auto"/>
              <w:right w:val="single" w:sz="4" w:space="0" w:color="auto"/>
            </w:tcBorders>
            <w:shd w:val="clear" w:color="auto" w:fill="C6EFCE"/>
            <w:noWrap/>
          </w:tcPr>
          <w:p w14:paraId="1A301FB2" w14:textId="240DE4E3" w:rsidR="00935847" w:rsidRPr="00DD6A04" w:rsidRDefault="00867C2B">
            <w:pPr>
              <w:spacing w:before="0" w:after="0" w:line="240" w:lineRule="auto"/>
              <w:rPr>
                <w:rFonts w:eastAsia="Times New Roman"/>
                <w:noProof/>
                <w:color w:val="006100"/>
                <w:sz w:val="22"/>
              </w:rPr>
            </w:pPr>
            <w:r>
              <w:rPr>
                <w:noProof/>
                <w:color w:val="006100"/>
                <w:sz w:val="22"/>
              </w:rPr>
              <w:t>B: Trajnostna prenova stavb</w:t>
            </w:r>
          </w:p>
        </w:tc>
        <w:tc>
          <w:tcPr>
            <w:tcW w:w="1073" w:type="dxa"/>
            <w:tcBorders>
              <w:top w:val="single" w:sz="4" w:space="0" w:color="auto"/>
              <w:left w:val="nil"/>
              <w:bottom w:val="single" w:sz="4" w:space="0" w:color="auto"/>
              <w:right w:val="single" w:sz="4" w:space="0" w:color="auto"/>
            </w:tcBorders>
            <w:shd w:val="clear" w:color="auto" w:fill="C6EFCE"/>
            <w:noWrap/>
          </w:tcPr>
          <w:p w14:paraId="433CB400" w14:textId="2CF65258" w:rsidR="00935847" w:rsidRPr="00DD6A04" w:rsidRDefault="00867C2B">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0AD230A8" w14:textId="1EFB8208" w:rsidR="00935847" w:rsidRPr="00DD6A04" w:rsidRDefault="45A0EE55" w:rsidP="150EC00E">
            <w:pPr>
              <w:spacing w:before="0" w:after="0" w:line="240" w:lineRule="auto"/>
              <w:rPr>
                <w:rFonts w:eastAsia="Times New Roman"/>
                <w:noProof/>
                <w:color w:val="006100"/>
                <w:sz w:val="22"/>
              </w:rPr>
            </w:pPr>
            <w:r>
              <w:rPr>
                <w:noProof/>
                <w:color w:val="006100"/>
                <w:sz w:val="22"/>
              </w:rPr>
              <w:t>Objava javnega povabila za energetsko in trajnostno prenovo stavb velikega upravnega in družbenega pomena, ki so v javni lasti</w:t>
            </w:r>
          </w:p>
        </w:tc>
        <w:tc>
          <w:tcPr>
            <w:tcW w:w="1674" w:type="dxa"/>
            <w:tcBorders>
              <w:top w:val="single" w:sz="4" w:space="0" w:color="auto"/>
              <w:left w:val="nil"/>
              <w:bottom w:val="single" w:sz="4" w:space="0" w:color="auto"/>
              <w:right w:val="single" w:sz="4" w:space="0" w:color="auto"/>
            </w:tcBorders>
            <w:shd w:val="clear" w:color="auto" w:fill="C6EFCE"/>
            <w:noWrap/>
          </w:tcPr>
          <w:p w14:paraId="3CA1498A" w14:textId="31B83630" w:rsidR="00935847" w:rsidRPr="00DD6A04" w:rsidRDefault="45A0EE55" w:rsidP="150EC00E">
            <w:pPr>
              <w:spacing w:before="0" w:after="0" w:line="240" w:lineRule="auto"/>
              <w:rPr>
                <w:rFonts w:eastAsia="Times New Roman"/>
                <w:noProof/>
                <w:color w:val="006100"/>
                <w:sz w:val="22"/>
              </w:rPr>
            </w:pPr>
            <w:r>
              <w:rPr>
                <w:noProof/>
                <w:color w:val="006100"/>
                <w:sz w:val="22"/>
              </w:rPr>
              <w:t>Objava javnega povabila</w:t>
            </w:r>
          </w:p>
        </w:tc>
        <w:tc>
          <w:tcPr>
            <w:tcW w:w="1161" w:type="dxa"/>
            <w:tcBorders>
              <w:top w:val="single" w:sz="4" w:space="0" w:color="auto"/>
              <w:left w:val="nil"/>
              <w:bottom w:val="single" w:sz="4" w:space="0" w:color="auto"/>
              <w:right w:val="single" w:sz="4" w:space="0" w:color="auto"/>
            </w:tcBorders>
            <w:shd w:val="clear" w:color="auto" w:fill="C6EFCE"/>
            <w:noWrap/>
          </w:tcPr>
          <w:p w14:paraId="128F08EE" w14:textId="3F8C1502"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1456451E" w14:textId="7C0EB17F" w:rsidR="00935847" w:rsidRPr="00DD6A04" w:rsidRDefault="00867C2B">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4CA63B48" w14:textId="5ABC4D78" w:rsidR="00935847" w:rsidRPr="00DD6A04" w:rsidRDefault="00867C2B">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203D1984" w14:textId="04F4EA03" w:rsidR="00935847" w:rsidRPr="00DD6A04" w:rsidRDefault="00867C2B">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6308A70E" w14:textId="42C21A67" w:rsidR="00935847" w:rsidRPr="00DD6A04" w:rsidRDefault="00867C2B">
            <w:pPr>
              <w:spacing w:before="0" w:after="0" w:line="240" w:lineRule="auto"/>
              <w:rPr>
                <w:rFonts w:eastAsia="Times New Roman"/>
                <w:noProof/>
                <w:color w:val="006100"/>
                <w:sz w:val="22"/>
              </w:rPr>
            </w:pPr>
            <w:r>
              <w:rPr>
                <w:noProof/>
                <w:color w:val="006100"/>
                <w:sz w:val="22"/>
              </w:rPr>
              <w:t>2022</w:t>
            </w:r>
          </w:p>
        </w:tc>
        <w:tc>
          <w:tcPr>
            <w:tcW w:w="3190" w:type="dxa"/>
            <w:tcBorders>
              <w:top w:val="single" w:sz="4" w:space="0" w:color="auto"/>
              <w:left w:val="nil"/>
              <w:bottom w:val="single" w:sz="4" w:space="0" w:color="auto"/>
              <w:right w:val="single" w:sz="4" w:space="0" w:color="auto"/>
            </w:tcBorders>
            <w:shd w:val="clear" w:color="auto" w:fill="C6EFCE"/>
            <w:noWrap/>
          </w:tcPr>
          <w:p w14:paraId="5DFDB693" w14:textId="24A5BC1F" w:rsidR="00935847" w:rsidRPr="00DD6A04" w:rsidRDefault="18F91FB9" w:rsidP="150EC00E">
            <w:pPr>
              <w:spacing w:before="0" w:after="0" w:line="240" w:lineRule="auto"/>
              <w:rPr>
                <w:rFonts w:eastAsia="Times New Roman"/>
                <w:noProof/>
                <w:color w:val="006100"/>
                <w:sz w:val="22"/>
                <w:highlight w:val="yellow"/>
              </w:rPr>
            </w:pPr>
            <w:r>
              <w:rPr>
                <w:noProof/>
                <w:color w:val="006100"/>
                <w:sz w:val="22"/>
              </w:rPr>
              <w:t xml:space="preserve">Objavljeno je javno povabilo za energetsko in trajnostno prenovo stavb velikega upravnega in družbenega pomena, ki so v javni lasti. Javno povabilo je odprto, dokler niso izčrpana proračunska sredstva. Merila za upravičenost bodo zagotavljala (a) skladnost s tehničnimi smernicami za uporabo načela, da se ne škoduje bistveno (2021/C58/01) in (b) vsaj 30-odstotno zmanjšanje neposrednih in posrednih emisij toplogrednih plinov v primerjavi s predhodnimi emisijami. </w:t>
            </w:r>
          </w:p>
        </w:tc>
      </w:tr>
      <w:tr w:rsidR="00935847" w:rsidRPr="00DD6A04" w14:paraId="7F71B649"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10B95812" w14:textId="476C4663" w:rsidR="00935847" w:rsidRPr="00DD6A04" w:rsidRDefault="00867C2B">
            <w:pPr>
              <w:spacing w:before="0" w:after="0" w:line="240" w:lineRule="auto"/>
              <w:rPr>
                <w:rFonts w:eastAsia="Times New Roman"/>
                <w:noProof/>
                <w:color w:val="006100"/>
                <w:sz w:val="22"/>
              </w:rPr>
            </w:pPr>
            <w:r>
              <w:rPr>
                <w:noProof/>
                <w:color w:val="006100"/>
                <w:sz w:val="22"/>
              </w:rPr>
              <w:t>23</w:t>
            </w:r>
          </w:p>
        </w:tc>
        <w:tc>
          <w:tcPr>
            <w:tcW w:w="1471" w:type="dxa"/>
            <w:tcBorders>
              <w:top w:val="single" w:sz="4" w:space="0" w:color="auto"/>
              <w:left w:val="nil"/>
              <w:bottom w:val="single" w:sz="4" w:space="0" w:color="auto"/>
              <w:right w:val="single" w:sz="4" w:space="0" w:color="auto"/>
            </w:tcBorders>
            <w:shd w:val="clear" w:color="auto" w:fill="C6EFCE"/>
            <w:noWrap/>
          </w:tcPr>
          <w:p w14:paraId="31745938" w14:textId="1FD5181D" w:rsidR="00935847" w:rsidRPr="00DD6A04" w:rsidRDefault="00867C2B">
            <w:pPr>
              <w:spacing w:before="0" w:after="0" w:line="240" w:lineRule="auto"/>
              <w:rPr>
                <w:rFonts w:eastAsia="Times New Roman"/>
                <w:noProof/>
                <w:color w:val="006100"/>
                <w:sz w:val="22"/>
              </w:rPr>
            </w:pPr>
            <w:r>
              <w:rPr>
                <w:noProof/>
                <w:color w:val="006100"/>
                <w:sz w:val="22"/>
              </w:rPr>
              <w:t>B: Trajnostna prenova stavb</w:t>
            </w:r>
          </w:p>
        </w:tc>
        <w:tc>
          <w:tcPr>
            <w:tcW w:w="1073" w:type="dxa"/>
            <w:tcBorders>
              <w:top w:val="single" w:sz="4" w:space="0" w:color="auto"/>
              <w:left w:val="nil"/>
              <w:bottom w:val="single" w:sz="4" w:space="0" w:color="auto"/>
              <w:right w:val="single" w:sz="4" w:space="0" w:color="auto"/>
            </w:tcBorders>
            <w:shd w:val="clear" w:color="auto" w:fill="C6EFCE"/>
            <w:noWrap/>
          </w:tcPr>
          <w:p w14:paraId="578F9967" w14:textId="4D0AC356" w:rsidR="00935847" w:rsidRPr="00DD6A04" w:rsidRDefault="00867C2B">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3AFCD903" w14:textId="30979886" w:rsidR="00935847" w:rsidRPr="00DD6A04" w:rsidRDefault="00867C2B">
            <w:pPr>
              <w:spacing w:before="0" w:after="0" w:line="240" w:lineRule="auto"/>
              <w:rPr>
                <w:rFonts w:eastAsia="Times New Roman"/>
                <w:noProof/>
                <w:color w:val="006100"/>
                <w:sz w:val="22"/>
              </w:rPr>
            </w:pPr>
            <w:r>
              <w:rPr>
                <w:noProof/>
                <w:color w:val="006100"/>
                <w:sz w:val="22"/>
              </w:rPr>
              <w:t xml:space="preserve">Objava javnega razpisa za energetsko in trajnostno prenovo stanovanjskih stavb v javni lasti </w:t>
            </w:r>
          </w:p>
        </w:tc>
        <w:tc>
          <w:tcPr>
            <w:tcW w:w="1674" w:type="dxa"/>
            <w:tcBorders>
              <w:top w:val="single" w:sz="4" w:space="0" w:color="auto"/>
              <w:left w:val="nil"/>
              <w:bottom w:val="single" w:sz="4" w:space="0" w:color="auto"/>
              <w:right w:val="single" w:sz="4" w:space="0" w:color="auto"/>
            </w:tcBorders>
            <w:shd w:val="clear" w:color="auto" w:fill="C6EFCE"/>
            <w:noWrap/>
          </w:tcPr>
          <w:p w14:paraId="111E24B4" w14:textId="42C31416" w:rsidR="00935847" w:rsidRPr="00DD6A04" w:rsidRDefault="00867C2B">
            <w:pPr>
              <w:spacing w:before="0" w:after="0" w:line="240" w:lineRule="auto"/>
              <w:rPr>
                <w:rFonts w:eastAsia="Times New Roman"/>
                <w:noProof/>
                <w:color w:val="006100"/>
                <w:sz w:val="22"/>
              </w:rPr>
            </w:pPr>
            <w:r>
              <w:rPr>
                <w:noProof/>
                <w:color w:val="006100"/>
                <w:sz w:val="22"/>
              </w:rPr>
              <w:t xml:space="preserve">Objava javnega razpisa </w:t>
            </w:r>
          </w:p>
        </w:tc>
        <w:tc>
          <w:tcPr>
            <w:tcW w:w="1161" w:type="dxa"/>
            <w:tcBorders>
              <w:top w:val="single" w:sz="4" w:space="0" w:color="auto"/>
              <w:left w:val="nil"/>
              <w:bottom w:val="single" w:sz="4" w:space="0" w:color="auto"/>
              <w:right w:val="single" w:sz="4" w:space="0" w:color="auto"/>
            </w:tcBorders>
            <w:shd w:val="clear" w:color="auto" w:fill="C6EFCE"/>
            <w:noWrap/>
          </w:tcPr>
          <w:p w14:paraId="4C72D459" w14:textId="554F95D5"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6C4934B1" w14:textId="6933F7D3" w:rsidR="00935847" w:rsidRPr="00DD6A04" w:rsidRDefault="00867C2B">
            <w:pPr>
              <w:spacing w:before="0" w:after="0" w:line="240"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4F776CC0" w14:textId="09B745A1" w:rsidR="00935847" w:rsidRPr="00DD6A04" w:rsidRDefault="00867C2B">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3393E4BB" w14:textId="56F6DB26" w:rsidR="00935847" w:rsidRPr="00DD6A04" w:rsidRDefault="00867C2B">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4BBAB1C0" w14:textId="57421A58" w:rsidR="00935847" w:rsidRPr="00DD6A04" w:rsidRDefault="00867C2B">
            <w:pPr>
              <w:spacing w:before="0" w:after="0" w:line="240" w:lineRule="auto"/>
              <w:rPr>
                <w:rFonts w:eastAsia="Times New Roman"/>
                <w:noProof/>
                <w:color w:val="006100"/>
                <w:sz w:val="22"/>
              </w:rPr>
            </w:pPr>
            <w:r>
              <w:rPr>
                <w:noProof/>
                <w:color w:val="006100"/>
                <w:sz w:val="22"/>
              </w:rPr>
              <w:t>2022</w:t>
            </w:r>
          </w:p>
        </w:tc>
        <w:tc>
          <w:tcPr>
            <w:tcW w:w="3190" w:type="dxa"/>
            <w:tcBorders>
              <w:top w:val="single" w:sz="4" w:space="0" w:color="auto"/>
              <w:left w:val="nil"/>
              <w:bottom w:val="single" w:sz="4" w:space="0" w:color="auto"/>
              <w:right w:val="single" w:sz="4" w:space="0" w:color="auto"/>
            </w:tcBorders>
            <w:shd w:val="clear" w:color="auto" w:fill="C6EFCE"/>
            <w:noWrap/>
          </w:tcPr>
          <w:p w14:paraId="1DF97E22" w14:textId="50E66DCD" w:rsidR="00867C2B" w:rsidRPr="00DD6A04" w:rsidRDefault="00867C2B" w:rsidP="00867C2B">
            <w:pPr>
              <w:spacing w:after="0" w:line="240" w:lineRule="auto"/>
              <w:rPr>
                <w:rFonts w:eastAsia="Times New Roman"/>
                <w:noProof/>
                <w:color w:val="006100"/>
                <w:sz w:val="22"/>
              </w:rPr>
            </w:pPr>
            <w:r>
              <w:rPr>
                <w:noProof/>
                <w:color w:val="006100"/>
                <w:sz w:val="22"/>
              </w:rPr>
              <w:t>Objavljen je javni razpis za energetsko in trajnostno prenovo stanovanjskih stavb v javni lasti. Razpis bo odprt, dokler proračunska sredstva ne bodo izčrpana.</w:t>
            </w:r>
          </w:p>
          <w:p w14:paraId="0768A1DE" w14:textId="77777777" w:rsidR="00867C2B" w:rsidRPr="00DD6A04" w:rsidRDefault="00867C2B" w:rsidP="00867C2B">
            <w:pPr>
              <w:spacing w:after="0" w:line="240" w:lineRule="auto"/>
              <w:rPr>
                <w:rFonts w:eastAsia="Times New Roman"/>
                <w:noProof/>
                <w:color w:val="006100"/>
                <w:sz w:val="22"/>
              </w:rPr>
            </w:pPr>
            <w:r>
              <w:rPr>
                <w:noProof/>
                <w:color w:val="006100"/>
                <w:sz w:val="22"/>
              </w:rPr>
              <w:t>Merila za izbor/upravičenost bodo zagotavljala (a) skladnost s tehničnimi smernicami za uporabo načela, da se ne škoduje bistveno (2021/C58/01), ter</w:t>
            </w:r>
          </w:p>
          <w:p w14:paraId="5441E818" w14:textId="54166803" w:rsidR="00935847" w:rsidRPr="00DD6A04" w:rsidRDefault="00867C2B">
            <w:pPr>
              <w:spacing w:before="0" w:after="0" w:line="240" w:lineRule="auto"/>
              <w:rPr>
                <w:rFonts w:eastAsia="Times New Roman"/>
                <w:noProof/>
                <w:color w:val="006100"/>
                <w:sz w:val="22"/>
                <w:highlight w:val="yellow"/>
              </w:rPr>
            </w:pPr>
            <w:r>
              <w:rPr>
                <w:noProof/>
                <w:color w:val="006100"/>
                <w:sz w:val="22"/>
              </w:rPr>
              <w:t xml:space="preserve">(b) vsaj 30-odstotno zmanjšanje neposrednih in posrednih emisij toplogrednih plinov v primerjavi s predhodnimi emisijami. </w:t>
            </w:r>
          </w:p>
        </w:tc>
      </w:tr>
      <w:tr w:rsidR="00935847" w:rsidRPr="00DD6A04" w14:paraId="5DA28E46"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1EF6DA17" w14:textId="7AA114ED" w:rsidR="00935847" w:rsidRPr="00DD6A04" w:rsidRDefault="00867C2B">
            <w:pPr>
              <w:spacing w:before="0" w:after="0" w:line="240" w:lineRule="auto"/>
              <w:rPr>
                <w:rFonts w:eastAsia="Times New Roman"/>
                <w:noProof/>
                <w:color w:val="006100"/>
                <w:sz w:val="22"/>
              </w:rPr>
            </w:pPr>
            <w:r>
              <w:rPr>
                <w:noProof/>
                <w:color w:val="006100"/>
                <w:sz w:val="22"/>
              </w:rPr>
              <w:t>24</w:t>
            </w:r>
          </w:p>
        </w:tc>
        <w:tc>
          <w:tcPr>
            <w:tcW w:w="1471" w:type="dxa"/>
            <w:tcBorders>
              <w:top w:val="single" w:sz="4" w:space="0" w:color="auto"/>
              <w:left w:val="nil"/>
              <w:bottom w:val="single" w:sz="4" w:space="0" w:color="auto"/>
              <w:right w:val="single" w:sz="4" w:space="0" w:color="auto"/>
            </w:tcBorders>
            <w:shd w:val="clear" w:color="auto" w:fill="C6EFCE"/>
            <w:noWrap/>
          </w:tcPr>
          <w:p w14:paraId="7F1964F1" w14:textId="10ACC023" w:rsidR="00935847" w:rsidRPr="00DD6A04" w:rsidRDefault="00867C2B">
            <w:pPr>
              <w:spacing w:before="0" w:after="0" w:line="240" w:lineRule="auto"/>
              <w:rPr>
                <w:rFonts w:eastAsia="Times New Roman"/>
                <w:noProof/>
                <w:color w:val="006100"/>
                <w:sz w:val="22"/>
              </w:rPr>
            </w:pPr>
            <w:r>
              <w:rPr>
                <w:noProof/>
                <w:color w:val="006100"/>
                <w:sz w:val="22"/>
              </w:rPr>
              <w:t>B: Trajnostna prenova stavb</w:t>
            </w:r>
          </w:p>
        </w:tc>
        <w:tc>
          <w:tcPr>
            <w:tcW w:w="1073" w:type="dxa"/>
            <w:tcBorders>
              <w:top w:val="single" w:sz="4" w:space="0" w:color="auto"/>
              <w:left w:val="nil"/>
              <w:bottom w:val="single" w:sz="4" w:space="0" w:color="auto"/>
              <w:right w:val="single" w:sz="4" w:space="0" w:color="auto"/>
            </w:tcBorders>
            <w:shd w:val="clear" w:color="auto" w:fill="C6EFCE"/>
            <w:noWrap/>
          </w:tcPr>
          <w:p w14:paraId="0C42616C" w14:textId="4E53B1E4" w:rsidR="00935847" w:rsidRPr="00DD6A04" w:rsidRDefault="00867C2B">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69A0270D" w14:textId="7BDC53FD" w:rsidR="00935847" w:rsidRPr="00DD6A04" w:rsidRDefault="00867C2B">
            <w:pPr>
              <w:spacing w:before="0" w:after="0" w:line="240" w:lineRule="auto"/>
              <w:rPr>
                <w:rFonts w:eastAsia="Times New Roman"/>
                <w:noProof/>
                <w:color w:val="006100"/>
                <w:sz w:val="22"/>
              </w:rPr>
            </w:pPr>
            <w:r>
              <w:rPr>
                <w:noProof/>
                <w:color w:val="006100"/>
                <w:sz w:val="22"/>
              </w:rPr>
              <w:t xml:space="preserve">Dokončane energetske in trajnostne prenove stavb velikega upravnega in družbenega pomena </w:t>
            </w:r>
          </w:p>
        </w:tc>
        <w:tc>
          <w:tcPr>
            <w:tcW w:w="1674" w:type="dxa"/>
            <w:tcBorders>
              <w:top w:val="single" w:sz="4" w:space="0" w:color="auto"/>
              <w:left w:val="nil"/>
              <w:bottom w:val="single" w:sz="4" w:space="0" w:color="auto"/>
              <w:right w:val="single" w:sz="4" w:space="0" w:color="auto"/>
            </w:tcBorders>
            <w:shd w:val="clear" w:color="auto" w:fill="C6EFCE"/>
            <w:noWrap/>
          </w:tcPr>
          <w:p w14:paraId="40070E1E" w14:textId="4E8EFAC9"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161" w:type="dxa"/>
            <w:tcBorders>
              <w:top w:val="single" w:sz="4" w:space="0" w:color="auto"/>
              <w:left w:val="nil"/>
              <w:bottom w:val="single" w:sz="4" w:space="0" w:color="auto"/>
              <w:right w:val="single" w:sz="4" w:space="0" w:color="auto"/>
            </w:tcBorders>
            <w:shd w:val="clear" w:color="auto" w:fill="C6EFCE"/>
            <w:noWrap/>
          </w:tcPr>
          <w:p w14:paraId="5E37BDD2" w14:textId="77777777" w:rsidR="00867C2B" w:rsidRPr="00DD6A04" w:rsidRDefault="00867C2B" w:rsidP="000C4FF8">
            <w:pPr>
              <w:spacing w:before="0" w:after="0" w:line="240" w:lineRule="auto"/>
              <w:rPr>
                <w:rFonts w:eastAsia="Times New Roman"/>
                <w:noProof/>
                <w:color w:val="006100"/>
                <w:sz w:val="22"/>
              </w:rPr>
            </w:pPr>
            <w:r>
              <w:rPr>
                <w:noProof/>
                <w:color w:val="006100"/>
                <w:sz w:val="22"/>
              </w:rPr>
              <w:t>Število</w:t>
            </w:r>
          </w:p>
          <w:p w14:paraId="69B55A0E" w14:textId="1B7A0219" w:rsidR="00935847" w:rsidRPr="00DD6A04" w:rsidRDefault="00867C2B">
            <w:pPr>
              <w:spacing w:before="0" w:after="0" w:line="240" w:lineRule="auto"/>
              <w:rPr>
                <w:rFonts w:eastAsia="Times New Roman"/>
                <w:noProof/>
                <w:color w:val="006100"/>
                <w:sz w:val="22"/>
              </w:rPr>
            </w:pPr>
            <w:r>
              <w:rPr>
                <w:noProof/>
                <w:color w:val="006100"/>
                <w:sz w:val="22"/>
              </w:rPr>
              <w:t>(m²)</w:t>
            </w:r>
          </w:p>
        </w:tc>
        <w:tc>
          <w:tcPr>
            <w:tcW w:w="1276" w:type="dxa"/>
            <w:tcBorders>
              <w:top w:val="single" w:sz="4" w:space="0" w:color="auto"/>
              <w:left w:val="nil"/>
              <w:bottom w:val="single" w:sz="4" w:space="0" w:color="auto"/>
              <w:right w:val="single" w:sz="4" w:space="0" w:color="auto"/>
            </w:tcBorders>
            <w:shd w:val="clear" w:color="auto" w:fill="C6EFCE"/>
            <w:noWrap/>
          </w:tcPr>
          <w:p w14:paraId="6D4CBE06" w14:textId="32AF46A2" w:rsidR="00935847" w:rsidRPr="00DD6A04" w:rsidRDefault="00867C2B">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nil"/>
              <w:bottom w:val="single" w:sz="4" w:space="0" w:color="auto"/>
              <w:right w:val="single" w:sz="4" w:space="0" w:color="auto"/>
            </w:tcBorders>
            <w:shd w:val="clear" w:color="auto" w:fill="C6EFCE"/>
            <w:noWrap/>
          </w:tcPr>
          <w:p w14:paraId="3422DE72" w14:textId="330F3B33" w:rsidR="00935847" w:rsidRPr="00DD6A04" w:rsidRDefault="51196CEF" w:rsidP="170A6336">
            <w:pPr>
              <w:spacing w:before="0" w:after="0" w:line="240" w:lineRule="auto"/>
              <w:rPr>
                <w:rFonts w:eastAsia="Times New Roman"/>
                <w:noProof/>
                <w:color w:val="006100"/>
                <w:sz w:val="22"/>
              </w:rPr>
            </w:pPr>
            <w:r>
              <w:rPr>
                <w:noProof/>
                <w:color w:val="006100"/>
                <w:sz w:val="22"/>
              </w:rPr>
              <w:t>19196</w:t>
            </w:r>
          </w:p>
        </w:tc>
        <w:tc>
          <w:tcPr>
            <w:tcW w:w="851" w:type="dxa"/>
            <w:tcBorders>
              <w:top w:val="single" w:sz="4" w:space="0" w:color="auto"/>
              <w:left w:val="nil"/>
              <w:bottom w:val="single" w:sz="4" w:space="0" w:color="auto"/>
              <w:right w:val="single" w:sz="4" w:space="0" w:color="auto"/>
            </w:tcBorders>
            <w:shd w:val="clear" w:color="auto" w:fill="C6EFCE"/>
            <w:noWrap/>
          </w:tcPr>
          <w:p w14:paraId="38BC9567" w14:textId="48DE0773" w:rsidR="00935847" w:rsidRPr="00DD6A04" w:rsidRDefault="00867C2B">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35BC7007" w14:textId="08D0B3E0" w:rsidR="00935847" w:rsidRPr="00DD6A04" w:rsidRDefault="00867C2B">
            <w:pPr>
              <w:spacing w:before="0" w:after="0" w:line="240" w:lineRule="auto"/>
              <w:rPr>
                <w:rFonts w:eastAsia="Times New Roman"/>
                <w:noProof/>
                <w:color w:val="006100"/>
                <w:sz w:val="22"/>
              </w:rPr>
            </w:pPr>
            <w:r>
              <w:rPr>
                <w:noProof/>
                <w:color w:val="006100"/>
                <w:sz w:val="22"/>
              </w:rPr>
              <w:t>2024</w:t>
            </w:r>
          </w:p>
        </w:tc>
        <w:tc>
          <w:tcPr>
            <w:tcW w:w="3190" w:type="dxa"/>
            <w:tcBorders>
              <w:top w:val="single" w:sz="4" w:space="0" w:color="auto"/>
              <w:left w:val="nil"/>
              <w:bottom w:val="single" w:sz="4" w:space="0" w:color="auto"/>
              <w:right w:val="single" w:sz="4" w:space="0" w:color="auto"/>
            </w:tcBorders>
            <w:shd w:val="clear" w:color="auto" w:fill="C6EFCE"/>
            <w:noWrap/>
          </w:tcPr>
          <w:p w14:paraId="19228DB1" w14:textId="6A5ED251" w:rsidR="00935847" w:rsidRPr="00DD6A04" w:rsidRDefault="45A0EE55" w:rsidP="150EC00E">
            <w:pPr>
              <w:spacing w:before="0" w:after="0" w:line="240" w:lineRule="auto"/>
              <w:rPr>
                <w:rFonts w:eastAsia="Times New Roman"/>
                <w:noProof/>
                <w:color w:val="006100"/>
                <w:sz w:val="22"/>
                <w:highlight w:val="yellow"/>
              </w:rPr>
            </w:pPr>
            <w:r>
              <w:rPr>
                <w:noProof/>
                <w:color w:val="006100"/>
                <w:sz w:val="22"/>
              </w:rPr>
              <w:t>Dokončana energetska in trajnostna prenova javnih stavb velikega upravnega in družbenega pomena v skladu z merili javnega povabila iz mejnika 22.</w:t>
            </w:r>
          </w:p>
        </w:tc>
      </w:tr>
      <w:tr w:rsidR="00935847" w:rsidRPr="00DD6A04" w14:paraId="60F3FB65"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602853AA" w14:textId="68C99CD4" w:rsidR="00935847" w:rsidRPr="00DD6A04" w:rsidRDefault="00867C2B">
            <w:pPr>
              <w:spacing w:before="0" w:after="0" w:line="240" w:lineRule="auto"/>
              <w:rPr>
                <w:rFonts w:eastAsia="Times New Roman"/>
                <w:noProof/>
                <w:color w:val="006100"/>
                <w:sz w:val="22"/>
              </w:rPr>
            </w:pPr>
            <w:r>
              <w:rPr>
                <w:noProof/>
                <w:color w:val="006100"/>
                <w:sz w:val="22"/>
              </w:rPr>
              <w:t>25</w:t>
            </w:r>
          </w:p>
        </w:tc>
        <w:tc>
          <w:tcPr>
            <w:tcW w:w="1471" w:type="dxa"/>
            <w:tcBorders>
              <w:top w:val="single" w:sz="4" w:space="0" w:color="auto"/>
              <w:left w:val="nil"/>
              <w:bottom w:val="single" w:sz="4" w:space="0" w:color="auto"/>
              <w:right w:val="single" w:sz="4" w:space="0" w:color="auto"/>
            </w:tcBorders>
            <w:shd w:val="clear" w:color="auto" w:fill="C6EFCE"/>
            <w:noWrap/>
          </w:tcPr>
          <w:p w14:paraId="061E7A87" w14:textId="199252CD" w:rsidR="00935847" w:rsidRPr="00DD6A04" w:rsidRDefault="00867C2B">
            <w:pPr>
              <w:spacing w:before="0" w:after="0" w:line="240" w:lineRule="auto"/>
              <w:rPr>
                <w:rFonts w:eastAsia="Times New Roman"/>
                <w:noProof/>
                <w:color w:val="006100"/>
                <w:sz w:val="22"/>
              </w:rPr>
            </w:pPr>
            <w:r>
              <w:rPr>
                <w:noProof/>
                <w:color w:val="006100"/>
                <w:sz w:val="22"/>
              </w:rPr>
              <w:t>B: Trajnostna prenova stavb</w:t>
            </w:r>
          </w:p>
        </w:tc>
        <w:tc>
          <w:tcPr>
            <w:tcW w:w="1073" w:type="dxa"/>
            <w:tcBorders>
              <w:top w:val="single" w:sz="4" w:space="0" w:color="auto"/>
              <w:left w:val="nil"/>
              <w:bottom w:val="single" w:sz="4" w:space="0" w:color="auto"/>
              <w:right w:val="single" w:sz="4" w:space="0" w:color="auto"/>
            </w:tcBorders>
            <w:shd w:val="clear" w:color="auto" w:fill="C6EFCE"/>
            <w:noWrap/>
          </w:tcPr>
          <w:p w14:paraId="5A4F3162" w14:textId="1D7F3786" w:rsidR="00935847" w:rsidRPr="00DD6A04" w:rsidRDefault="00867C2B">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2B265A1D" w14:textId="3481DA3C" w:rsidR="00935847" w:rsidRPr="00DD6A04" w:rsidRDefault="00867C2B">
            <w:pPr>
              <w:spacing w:before="0" w:after="0" w:line="240" w:lineRule="auto"/>
              <w:rPr>
                <w:rFonts w:eastAsia="Times New Roman"/>
                <w:noProof/>
                <w:color w:val="006100"/>
                <w:sz w:val="22"/>
              </w:rPr>
            </w:pPr>
            <w:r>
              <w:rPr>
                <w:noProof/>
                <w:color w:val="006100"/>
                <w:sz w:val="22"/>
              </w:rPr>
              <w:t>Dokončane energetske in trajnostne prenove stavb velikega upravnega in družbenega pomena</w:t>
            </w:r>
          </w:p>
        </w:tc>
        <w:tc>
          <w:tcPr>
            <w:tcW w:w="1674" w:type="dxa"/>
            <w:tcBorders>
              <w:top w:val="single" w:sz="4" w:space="0" w:color="auto"/>
              <w:left w:val="nil"/>
              <w:bottom w:val="single" w:sz="4" w:space="0" w:color="auto"/>
              <w:right w:val="single" w:sz="4" w:space="0" w:color="auto"/>
            </w:tcBorders>
            <w:shd w:val="clear" w:color="auto" w:fill="C6EFCE"/>
            <w:noWrap/>
          </w:tcPr>
          <w:p w14:paraId="795BD862" w14:textId="749DFF5E"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161" w:type="dxa"/>
            <w:tcBorders>
              <w:top w:val="single" w:sz="4" w:space="0" w:color="auto"/>
              <w:left w:val="nil"/>
              <w:bottom w:val="single" w:sz="4" w:space="0" w:color="auto"/>
              <w:right w:val="single" w:sz="4" w:space="0" w:color="auto"/>
            </w:tcBorders>
            <w:shd w:val="clear" w:color="auto" w:fill="C6EFCE"/>
            <w:noWrap/>
          </w:tcPr>
          <w:p w14:paraId="6C5AB59A" w14:textId="77777777" w:rsidR="00867C2B" w:rsidRPr="00DD6A04" w:rsidRDefault="00867C2B" w:rsidP="000C4FF8">
            <w:pPr>
              <w:spacing w:before="0" w:after="0" w:line="240" w:lineRule="auto"/>
              <w:rPr>
                <w:noProof/>
                <w:color w:val="006100"/>
                <w:sz w:val="22"/>
              </w:rPr>
            </w:pPr>
            <w:r>
              <w:rPr>
                <w:noProof/>
                <w:color w:val="006100"/>
                <w:sz w:val="22"/>
              </w:rPr>
              <w:t>Število</w:t>
            </w:r>
          </w:p>
          <w:p w14:paraId="53891D3D" w14:textId="6EF5C9E8" w:rsidR="00935847" w:rsidRPr="00DD6A04" w:rsidRDefault="00867C2B" w:rsidP="000C4FF8">
            <w:pPr>
              <w:spacing w:before="0" w:after="0" w:line="240" w:lineRule="auto"/>
              <w:rPr>
                <w:noProof/>
                <w:color w:val="006100"/>
                <w:sz w:val="22"/>
              </w:rPr>
            </w:pPr>
            <w:r>
              <w:rPr>
                <w:noProof/>
                <w:color w:val="006100"/>
                <w:sz w:val="22"/>
              </w:rPr>
              <w:t>(m²)</w:t>
            </w:r>
          </w:p>
        </w:tc>
        <w:tc>
          <w:tcPr>
            <w:tcW w:w="1276" w:type="dxa"/>
            <w:tcBorders>
              <w:top w:val="single" w:sz="4" w:space="0" w:color="auto"/>
              <w:left w:val="nil"/>
              <w:bottom w:val="single" w:sz="4" w:space="0" w:color="auto"/>
              <w:right w:val="single" w:sz="4" w:space="0" w:color="auto"/>
            </w:tcBorders>
            <w:shd w:val="clear" w:color="auto" w:fill="C6EFCE"/>
            <w:noWrap/>
          </w:tcPr>
          <w:p w14:paraId="4E338DE4" w14:textId="52B74F82" w:rsidR="00935847" w:rsidRPr="00DD6A04" w:rsidRDefault="00867C2B">
            <w:pPr>
              <w:spacing w:before="0" w:after="0" w:line="240" w:lineRule="auto"/>
              <w:rPr>
                <w:rFonts w:eastAsia="Times New Roman"/>
                <w:noProof/>
                <w:color w:val="006100"/>
                <w:sz w:val="22"/>
              </w:rPr>
            </w:pPr>
            <w:r>
              <w:rPr>
                <w:noProof/>
                <w:color w:val="006100"/>
                <w:sz w:val="22"/>
              </w:rPr>
              <w:t>19196</w:t>
            </w:r>
          </w:p>
        </w:tc>
        <w:tc>
          <w:tcPr>
            <w:tcW w:w="992" w:type="dxa"/>
            <w:tcBorders>
              <w:top w:val="single" w:sz="4" w:space="0" w:color="auto"/>
              <w:left w:val="nil"/>
              <w:bottom w:val="single" w:sz="4" w:space="0" w:color="auto"/>
              <w:right w:val="single" w:sz="4" w:space="0" w:color="auto"/>
            </w:tcBorders>
            <w:shd w:val="clear" w:color="auto" w:fill="C6EFCE"/>
            <w:noWrap/>
          </w:tcPr>
          <w:p w14:paraId="2AD750C7" w14:textId="5D71FF26" w:rsidR="00935847" w:rsidRPr="00DD6A04" w:rsidRDefault="51196CEF" w:rsidP="170A6336">
            <w:pPr>
              <w:spacing w:before="0" w:after="0" w:line="240" w:lineRule="auto"/>
              <w:rPr>
                <w:rFonts w:eastAsia="Times New Roman"/>
                <w:noProof/>
                <w:color w:val="006100"/>
                <w:sz w:val="22"/>
              </w:rPr>
            </w:pPr>
            <w:r>
              <w:rPr>
                <w:noProof/>
                <w:color w:val="006100"/>
                <w:sz w:val="22"/>
              </w:rPr>
              <w:t>58913</w:t>
            </w:r>
          </w:p>
        </w:tc>
        <w:tc>
          <w:tcPr>
            <w:tcW w:w="851" w:type="dxa"/>
            <w:tcBorders>
              <w:top w:val="single" w:sz="4" w:space="0" w:color="auto"/>
              <w:left w:val="nil"/>
              <w:bottom w:val="single" w:sz="4" w:space="0" w:color="auto"/>
              <w:right w:val="single" w:sz="4" w:space="0" w:color="auto"/>
            </w:tcBorders>
            <w:shd w:val="clear" w:color="auto" w:fill="C6EFCE"/>
            <w:noWrap/>
          </w:tcPr>
          <w:p w14:paraId="214299D1" w14:textId="32F67CA9" w:rsidR="00935847" w:rsidRPr="00DD6A04" w:rsidRDefault="00867C2B">
            <w:pPr>
              <w:spacing w:before="0" w:after="0" w:line="240" w:lineRule="auto"/>
              <w:rPr>
                <w:rFonts w:eastAsia="Times New Roman"/>
                <w:noProof/>
                <w:color w:val="006100"/>
                <w:sz w:val="22"/>
              </w:rPr>
            </w:pPr>
            <w:r>
              <w:rPr>
                <w:noProof/>
                <w:color w:val="006100"/>
                <w:sz w:val="22"/>
              </w:rPr>
              <w:t>Q2</w:t>
            </w:r>
          </w:p>
        </w:tc>
        <w:tc>
          <w:tcPr>
            <w:tcW w:w="850" w:type="dxa"/>
            <w:tcBorders>
              <w:top w:val="single" w:sz="4" w:space="0" w:color="auto"/>
              <w:left w:val="nil"/>
              <w:bottom w:val="single" w:sz="4" w:space="0" w:color="auto"/>
              <w:right w:val="single" w:sz="4" w:space="0" w:color="auto"/>
            </w:tcBorders>
            <w:shd w:val="clear" w:color="auto" w:fill="C6EFCE"/>
            <w:noWrap/>
          </w:tcPr>
          <w:p w14:paraId="1313B142" w14:textId="35191BCA" w:rsidR="00935847" w:rsidRPr="00DD6A04" w:rsidRDefault="00867C2B">
            <w:pPr>
              <w:spacing w:before="0" w:after="0" w:line="240" w:lineRule="auto"/>
              <w:rPr>
                <w:rFonts w:eastAsia="Times New Roman"/>
                <w:noProof/>
                <w:color w:val="006100"/>
                <w:sz w:val="22"/>
              </w:rPr>
            </w:pPr>
            <w:r>
              <w:rPr>
                <w:noProof/>
                <w:color w:val="006100"/>
                <w:sz w:val="22"/>
              </w:rPr>
              <w:t>2026</w:t>
            </w:r>
          </w:p>
        </w:tc>
        <w:tc>
          <w:tcPr>
            <w:tcW w:w="3190" w:type="dxa"/>
            <w:tcBorders>
              <w:top w:val="single" w:sz="4" w:space="0" w:color="auto"/>
              <w:left w:val="nil"/>
              <w:bottom w:val="single" w:sz="4" w:space="0" w:color="auto"/>
              <w:right w:val="single" w:sz="4" w:space="0" w:color="auto"/>
            </w:tcBorders>
            <w:shd w:val="clear" w:color="auto" w:fill="C6EFCE"/>
            <w:noWrap/>
          </w:tcPr>
          <w:p w14:paraId="7583EBA4" w14:textId="7956353C" w:rsidR="00935847" w:rsidRPr="00DD6A04" w:rsidRDefault="45A0EE55" w:rsidP="150EC00E">
            <w:pPr>
              <w:spacing w:before="0" w:after="0" w:line="240" w:lineRule="auto"/>
              <w:rPr>
                <w:rFonts w:eastAsia="Times New Roman"/>
                <w:noProof/>
                <w:color w:val="006100"/>
                <w:sz w:val="22"/>
                <w:highlight w:val="yellow"/>
              </w:rPr>
            </w:pPr>
            <w:r>
              <w:rPr>
                <w:noProof/>
                <w:color w:val="006100"/>
                <w:sz w:val="22"/>
              </w:rPr>
              <w:t>Dokončana energetska in trajnostna prenova javnih stavb velikega upravnega in družbenega pomena v skladu z merili javnega povabila iz mejnika 22.</w:t>
            </w:r>
          </w:p>
        </w:tc>
      </w:tr>
      <w:tr w:rsidR="00935847" w:rsidRPr="00DD6A04" w14:paraId="759BB97E"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43DA0092" w14:textId="3B8F39F4" w:rsidR="00935847" w:rsidRPr="00DD6A04" w:rsidRDefault="00867C2B">
            <w:pPr>
              <w:spacing w:before="0" w:after="0" w:line="240" w:lineRule="auto"/>
              <w:rPr>
                <w:rFonts w:eastAsia="Times New Roman"/>
                <w:noProof/>
                <w:color w:val="006100"/>
                <w:sz w:val="22"/>
              </w:rPr>
            </w:pPr>
            <w:r>
              <w:rPr>
                <w:noProof/>
                <w:color w:val="006100"/>
                <w:sz w:val="22"/>
              </w:rPr>
              <w:t>26</w:t>
            </w:r>
          </w:p>
        </w:tc>
        <w:tc>
          <w:tcPr>
            <w:tcW w:w="1471" w:type="dxa"/>
            <w:tcBorders>
              <w:top w:val="single" w:sz="4" w:space="0" w:color="auto"/>
              <w:left w:val="nil"/>
              <w:bottom w:val="single" w:sz="4" w:space="0" w:color="auto"/>
              <w:right w:val="single" w:sz="4" w:space="0" w:color="auto"/>
            </w:tcBorders>
            <w:shd w:val="clear" w:color="auto" w:fill="C6EFCE"/>
            <w:noWrap/>
          </w:tcPr>
          <w:p w14:paraId="1D54BF73" w14:textId="00AF1A17" w:rsidR="00935847" w:rsidRPr="00DD6A04" w:rsidRDefault="00867C2B">
            <w:pPr>
              <w:spacing w:before="0" w:after="0" w:line="240" w:lineRule="auto"/>
              <w:rPr>
                <w:rFonts w:eastAsia="Times New Roman"/>
                <w:noProof/>
                <w:color w:val="006100"/>
                <w:sz w:val="22"/>
              </w:rPr>
            </w:pPr>
            <w:r>
              <w:rPr>
                <w:noProof/>
                <w:color w:val="006100"/>
                <w:sz w:val="22"/>
              </w:rPr>
              <w:t>B: Trajnostna prenova stavb</w:t>
            </w:r>
          </w:p>
        </w:tc>
        <w:tc>
          <w:tcPr>
            <w:tcW w:w="1073" w:type="dxa"/>
            <w:tcBorders>
              <w:top w:val="single" w:sz="4" w:space="0" w:color="auto"/>
              <w:left w:val="nil"/>
              <w:bottom w:val="single" w:sz="4" w:space="0" w:color="auto"/>
              <w:right w:val="single" w:sz="4" w:space="0" w:color="auto"/>
            </w:tcBorders>
            <w:shd w:val="clear" w:color="auto" w:fill="C6EFCE"/>
            <w:noWrap/>
          </w:tcPr>
          <w:p w14:paraId="57417385" w14:textId="58888CAA" w:rsidR="00935847" w:rsidRPr="00DD6A04" w:rsidRDefault="00867C2B">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04F99FDE" w14:textId="09894B53" w:rsidR="00935847" w:rsidRPr="00DD6A04" w:rsidRDefault="00867C2B">
            <w:pPr>
              <w:spacing w:before="0" w:after="0" w:line="240" w:lineRule="auto"/>
              <w:rPr>
                <w:rFonts w:eastAsia="Times New Roman"/>
                <w:noProof/>
                <w:color w:val="006100"/>
                <w:sz w:val="22"/>
              </w:rPr>
            </w:pPr>
            <w:r>
              <w:rPr>
                <w:noProof/>
                <w:color w:val="006100"/>
                <w:sz w:val="22"/>
              </w:rPr>
              <w:t xml:space="preserve">Dokončana energetska in trajnostna prenova stavb s posameznimi nadgradnjami tehničnih stavbnih sistemov </w:t>
            </w:r>
          </w:p>
        </w:tc>
        <w:tc>
          <w:tcPr>
            <w:tcW w:w="1674" w:type="dxa"/>
            <w:tcBorders>
              <w:top w:val="single" w:sz="4" w:space="0" w:color="auto"/>
              <w:left w:val="nil"/>
              <w:bottom w:val="single" w:sz="4" w:space="0" w:color="auto"/>
              <w:right w:val="single" w:sz="4" w:space="0" w:color="auto"/>
            </w:tcBorders>
            <w:shd w:val="clear" w:color="auto" w:fill="C6EFCE"/>
            <w:noWrap/>
          </w:tcPr>
          <w:p w14:paraId="7776C65C" w14:textId="731B6DDD"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161" w:type="dxa"/>
            <w:tcBorders>
              <w:top w:val="single" w:sz="4" w:space="0" w:color="auto"/>
              <w:left w:val="nil"/>
              <w:bottom w:val="single" w:sz="4" w:space="0" w:color="auto"/>
              <w:right w:val="single" w:sz="4" w:space="0" w:color="auto"/>
            </w:tcBorders>
            <w:shd w:val="clear" w:color="auto" w:fill="C6EFCE"/>
            <w:noWrap/>
          </w:tcPr>
          <w:p w14:paraId="7E52B8C2" w14:textId="77777777" w:rsidR="00867C2B" w:rsidRPr="00DD6A04" w:rsidRDefault="00867C2B" w:rsidP="000C4FF8">
            <w:pPr>
              <w:spacing w:before="0" w:after="0" w:line="240" w:lineRule="auto"/>
              <w:rPr>
                <w:noProof/>
                <w:color w:val="006100"/>
                <w:sz w:val="22"/>
              </w:rPr>
            </w:pPr>
            <w:r>
              <w:rPr>
                <w:noProof/>
                <w:color w:val="006100"/>
                <w:sz w:val="22"/>
              </w:rPr>
              <w:t>Število</w:t>
            </w:r>
          </w:p>
          <w:p w14:paraId="22A4B8E6" w14:textId="4686E5E2" w:rsidR="00935847" w:rsidRPr="00DD6A04" w:rsidRDefault="00867C2B" w:rsidP="000C4FF8">
            <w:pPr>
              <w:spacing w:before="0" w:after="0" w:line="240" w:lineRule="auto"/>
              <w:rPr>
                <w:noProof/>
                <w:color w:val="006100"/>
                <w:sz w:val="22"/>
              </w:rPr>
            </w:pPr>
            <w:r>
              <w:rPr>
                <w:noProof/>
                <w:color w:val="006100"/>
                <w:sz w:val="22"/>
              </w:rPr>
              <w:t>(m²)</w:t>
            </w:r>
          </w:p>
        </w:tc>
        <w:tc>
          <w:tcPr>
            <w:tcW w:w="1276" w:type="dxa"/>
            <w:tcBorders>
              <w:top w:val="single" w:sz="4" w:space="0" w:color="auto"/>
              <w:left w:val="nil"/>
              <w:bottom w:val="single" w:sz="4" w:space="0" w:color="auto"/>
              <w:right w:val="single" w:sz="4" w:space="0" w:color="auto"/>
            </w:tcBorders>
            <w:shd w:val="clear" w:color="auto" w:fill="C6EFCE"/>
            <w:noWrap/>
          </w:tcPr>
          <w:p w14:paraId="2456249A" w14:textId="402DEF3C" w:rsidR="00935847" w:rsidRPr="00DD6A04" w:rsidRDefault="00867C2B">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nil"/>
              <w:bottom w:val="single" w:sz="4" w:space="0" w:color="auto"/>
              <w:right w:val="single" w:sz="4" w:space="0" w:color="auto"/>
            </w:tcBorders>
            <w:shd w:val="clear" w:color="auto" w:fill="C6EFCE"/>
            <w:noWrap/>
          </w:tcPr>
          <w:p w14:paraId="17C6E1A5" w14:textId="7B45363B" w:rsidR="00935847" w:rsidRPr="00DD6A04" w:rsidRDefault="51196CEF" w:rsidP="170A6336">
            <w:pPr>
              <w:spacing w:before="0" w:after="0" w:line="240" w:lineRule="auto"/>
              <w:rPr>
                <w:rFonts w:eastAsia="Times New Roman"/>
                <w:noProof/>
                <w:color w:val="006100"/>
                <w:sz w:val="22"/>
              </w:rPr>
            </w:pPr>
            <w:r>
              <w:rPr>
                <w:noProof/>
                <w:color w:val="006100"/>
                <w:sz w:val="22"/>
              </w:rPr>
              <w:t>29392</w:t>
            </w:r>
          </w:p>
        </w:tc>
        <w:tc>
          <w:tcPr>
            <w:tcW w:w="851" w:type="dxa"/>
            <w:tcBorders>
              <w:top w:val="single" w:sz="4" w:space="0" w:color="auto"/>
              <w:left w:val="nil"/>
              <w:bottom w:val="single" w:sz="4" w:space="0" w:color="auto"/>
              <w:right w:val="single" w:sz="4" w:space="0" w:color="auto"/>
            </w:tcBorders>
            <w:shd w:val="clear" w:color="auto" w:fill="C6EFCE"/>
            <w:noWrap/>
          </w:tcPr>
          <w:p w14:paraId="43CB252C" w14:textId="7B3B65B6" w:rsidR="00935847" w:rsidRPr="00DD6A04" w:rsidRDefault="00867C2B">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635DE598" w14:textId="30BA0302" w:rsidR="00935847" w:rsidRPr="00DD6A04" w:rsidRDefault="00867C2B">
            <w:pPr>
              <w:spacing w:before="0" w:after="0" w:line="240" w:lineRule="auto"/>
              <w:rPr>
                <w:rFonts w:eastAsia="Times New Roman"/>
                <w:noProof/>
                <w:color w:val="006100"/>
                <w:sz w:val="22"/>
              </w:rPr>
            </w:pPr>
            <w:r>
              <w:rPr>
                <w:noProof/>
                <w:color w:val="006100"/>
                <w:sz w:val="22"/>
              </w:rPr>
              <w:t>2025</w:t>
            </w:r>
          </w:p>
        </w:tc>
        <w:tc>
          <w:tcPr>
            <w:tcW w:w="3190" w:type="dxa"/>
            <w:tcBorders>
              <w:top w:val="single" w:sz="4" w:space="0" w:color="auto"/>
              <w:left w:val="nil"/>
              <w:bottom w:val="single" w:sz="4" w:space="0" w:color="auto"/>
              <w:right w:val="single" w:sz="4" w:space="0" w:color="auto"/>
            </w:tcBorders>
            <w:shd w:val="clear" w:color="auto" w:fill="C6EFCE"/>
            <w:noWrap/>
          </w:tcPr>
          <w:p w14:paraId="243DE58B" w14:textId="293E63F4" w:rsidR="00935847" w:rsidRPr="00DD6A04" w:rsidRDefault="45A0EE55" w:rsidP="150EC00E">
            <w:pPr>
              <w:spacing w:before="0" w:after="0" w:line="240" w:lineRule="auto"/>
              <w:rPr>
                <w:rFonts w:eastAsia="Times New Roman"/>
                <w:noProof/>
                <w:color w:val="006100"/>
                <w:sz w:val="22"/>
                <w:highlight w:val="yellow"/>
              </w:rPr>
            </w:pPr>
            <w:r>
              <w:rPr>
                <w:noProof/>
                <w:color w:val="006100"/>
                <w:sz w:val="22"/>
              </w:rPr>
              <w:t>Dokončana energetska in trajnostna prenova stavb s posameznimi nadgradnjami tehničnih stavbnih sistemov v skladu z razpisnimi merili iz mejnika 21.</w:t>
            </w:r>
          </w:p>
        </w:tc>
      </w:tr>
      <w:tr w:rsidR="00935847" w:rsidRPr="00DD6A04" w14:paraId="75038525" w14:textId="77777777" w:rsidTr="00BE4788">
        <w:trPr>
          <w:trHeight w:val="309"/>
          <w:jc w:val="center"/>
        </w:trPr>
        <w:tc>
          <w:tcPr>
            <w:tcW w:w="1385" w:type="dxa"/>
            <w:tcBorders>
              <w:top w:val="single" w:sz="4" w:space="0" w:color="auto"/>
              <w:left w:val="single" w:sz="4" w:space="0" w:color="auto"/>
              <w:bottom w:val="single" w:sz="4" w:space="0" w:color="auto"/>
              <w:right w:val="single" w:sz="4" w:space="0" w:color="auto"/>
            </w:tcBorders>
            <w:shd w:val="clear" w:color="auto" w:fill="C6EFCE"/>
            <w:noWrap/>
          </w:tcPr>
          <w:p w14:paraId="0AF45CB4" w14:textId="3688AD12" w:rsidR="00935847" w:rsidRPr="00DD6A04" w:rsidRDefault="00867C2B">
            <w:pPr>
              <w:spacing w:before="0" w:after="0" w:line="240" w:lineRule="auto"/>
              <w:rPr>
                <w:rFonts w:eastAsia="Times New Roman"/>
                <w:noProof/>
                <w:color w:val="006100"/>
                <w:sz w:val="22"/>
              </w:rPr>
            </w:pPr>
            <w:r>
              <w:rPr>
                <w:noProof/>
                <w:color w:val="006100"/>
                <w:sz w:val="22"/>
              </w:rPr>
              <w:t>27</w:t>
            </w:r>
          </w:p>
        </w:tc>
        <w:tc>
          <w:tcPr>
            <w:tcW w:w="1471" w:type="dxa"/>
            <w:tcBorders>
              <w:top w:val="single" w:sz="4" w:space="0" w:color="auto"/>
              <w:left w:val="nil"/>
              <w:bottom w:val="single" w:sz="4" w:space="0" w:color="auto"/>
              <w:right w:val="single" w:sz="4" w:space="0" w:color="auto"/>
            </w:tcBorders>
            <w:shd w:val="clear" w:color="auto" w:fill="C6EFCE"/>
            <w:noWrap/>
          </w:tcPr>
          <w:p w14:paraId="5B95120C" w14:textId="346469E0" w:rsidR="00935847" w:rsidRPr="00DD6A04" w:rsidRDefault="00867C2B">
            <w:pPr>
              <w:spacing w:before="0" w:after="0" w:line="240" w:lineRule="auto"/>
              <w:rPr>
                <w:rFonts w:eastAsia="Times New Roman"/>
                <w:noProof/>
                <w:color w:val="006100"/>
                <w:sz w:val="22"/>
              </w:rPr>
            </w:pPr>
            <w:r>
              <w:rPr>
                <w:noProof/>
                <w:color w:val="006100"/>
                <w:sz w:val="22"/>
              </w:rPr>
              <w:t>B: Trajnostna prenova stavb</w:t>
            </w:r>
          </w:p>
        </w:tc>
        <w:tc>
          <w:tcPr>
            <w:tcW w:w="1073" w:type="dxa"/>
            <w:tcBorders>
              <w:top w:val="single" w:sz="4" w:space="0" w:color="auto"/>
              <w:left w:val="nil"/>
              <w:bottom w:val="single" w:sz="4" w:space="0" w:color="auto"/>
              <w:right w:val="single" w:sz="4" w:space="0" w:color="auto"/>
            </w:tcBorders>
            <w:shd w:val="clear" w:color="auto" w:fill="C6EFCE"/>
            <w:noWrap/>
          </w:tcPr>
          <w:p w14:paraId="00E23A18" w14:textId="0B3E8427" w:rsidR="00935847" w:rsidRPr="00DD6A04" w:rsidRDefault="00867C2B">
            <w:pPr>
              <w:spacing w:before="0" w:after="0" w:line="240"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01DB5522" w14:textId="78609478" w:rsidR="00935847" w:rsidRPr="00DD6A04" w:rsidRDefault="00867C2B">
            <w:pPr>
              <w:spacing w:before="0" w:after="0" w:line="240" w:lineRule="auto"/>
              <w:rPr>
                <w:rFonts w:eastAsia="Times New Roman"/>
                <w:noProof/>
                <w:color w:val="006100"/>
                <w:sz w:val="22"/>
              </w:rPr>
            </w:pPr>
            <w:r>
              <w:rPr>
                <w:noProof/>
                <w:color w:val="006100"/>
                <w:sz w:val="22"/>
              </w:rPr>
              <w:t>Dokončana energetska in trajnostna prenova stanovanjskih stavb v javni lasti</w:t>
            </w:r>
          </w:p>
        </w:tc>
        <w:tc>
          <w:tcPr>
            <w:tcW w:w="1674" w:type="dxa"/>
            <w:tcBorders>
              <w:top w:val="single" w:sz="4" w:space="0" w:color="auto"/>
              <w:left w:val="nil"/>
              <w:bottom w:val="single" w:sz="4" w:space="0" w:color="auto"/>
              <w:right w:val="single" w:sz="4" w:space="0" w:color="auto"/>
            </w:tcBorders>
            <w:shd w:val="clear" w:color="auto" w:fill="C6EFCE"/>
            <w:noWrap/>
          </w:tcPr>
          <w:p w14:paraId="565DA57C" w14:textId="2C2CCAAA" w:rsidR="00935847" w:rsidRPr="00DD6A04" w:rsidRDefault="00867C2B">
            <w:pPr>
              <w:spacing w:before="0" w:after="0" w:line="240" w:lineRule="auto"/>
              <w:rPr>
                <w:rFonts w:eastAsia="Times New Roman"/>
                <w:noProof/>
                <w:color w:val="006100"/>
                <w:sz w:val="22"/>
              </w:rPr>
            </w:pPr>
            <w:r>
              <w:rPr>
                <w:noProof/>
                <w:color w:val="006100"/>
                <w:sz w:val="22"/>
              </w:rPr>
              <w:t> </w:t>
            </w:r>
          </w:p>
        </w:tc>
        <w:tc>
          <w:tcPr>
            <w:tcW w:w="1161" w:type="dxa"/>
            <w:tcBorders>
              <w:top w:val="single" w:sz="4" w:space="0" w:color="auto"/>
              <w:left w:val="nil"/>
              <w:bottom w:val="single" w:sz="4" w:space="0" w:color="auto"/>
              <w:right w:val="single" w:sz="4" w:space="0" w:color="auto"/>
            </w:tcBorders>
            <w:shd w:val="clear" w:color="auto" w:fill="C6EFCE"/>
            <w:noWrap/>
          </w:tcPr>
          <w:p w14:paraId="4D679407" w14:textId="77777777" w:rsidR="00867C2B" w:rsidRPr="00DD6A04" w:rsidRDefault="00867C2B" w:rsidP="000C4FF8">
            <w:pPr>
              <w:spacing w:before="0" w:after="0" w:line="240" w:lineRule="auto"/>
              <w:rPr>
                <w:noProof/>
                <w:color w:val="006100"/>
                <w:sz w:val="22"/>
              </w:rPr>
            </w:pPr>
            <w:r>
              <w:rPr>
                <w:noProof/>
                <w:color w:val="006100"/>
                <w:sz w:val="22"/>
              </w:rPr>
              <w:t>Število</w:t>
            </w:r>
          </w:p>
          <w:p w14:paraId="61A26ADC" w14:textId="19A6BA32" w:rsidR="00935847" w:rsidRPr="00DD6A04" w:rsidRDefault="00867C2B">
            <w:pPr>
              <w:spacing w:before="0" w:after="0" w:line="240" w:lineRule="auto"/>
              <w:rPr>
                <w:rFonts w:eastAsia="Times New Roman"/>
                <w:noProof/>
                <w:color w:val="006100"/>
                <w:sz w:val="22"/>
              </w:rPr>
            </w:pPr>
            <w:r>
              <w:rPr>
                <w:noProof/>
                <w:color w:val="006100"/>
                <w:sz w:val="22"/>
              </w:rPr>
              <w:t>(m²)</w:t>
            </w:r>
          </w:p>
        </w:tc>
        <w:tc>
          <w:tcPr>
            <w:tcW w:w="1276" w:type="dxa"/>
            <w:tcBorders>
              <w:top w:val="single" w:sz="4" w:space="0" w:color="auto"/>
              <w:left w:val="nil"/>
              <w:bottom w:val="single" w:sz="4" w:space="0" w:color="auto"/>
              <w:right w:val="single" w:sz="4" w:space="0" w:color="auto"/>
            </w:tcBorders>
            <w:shd w:val="clear" w:color="auto" w:fill="C6EFCE"/>
            <w:noWrap/>
          </w:tcPr>
          <w:p w14:paraId="2EEA5F3A" w14:textId="2C41C7FD" w:rsidR="00935847" w:rsidRPr="00DD6A04" w:rsidRDefault="00867C2B">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nil"/>
              <w:bottom w:val="single" w:sz="4" w:space="0" w:color="auto"/>
              <w:right w:val="single" w:sz="4" w:space="0" w:color="auto"/>
            </w:tcBorders>
            <w:shd w:val="clear" w:color="auto" w:fill="C6EFCE"/>
            <w:noWrap/>
          </w:tcPr>
          <w:p w14:paraId="7053FDB9" w14:textId="598D5E7B" w:rsidR="00935847" w:rsidRPr="00DD6A04" w:rsidRDefault="51196CEF" w:rsidP="170A6336">
            <w:pPr>
              <w:spacing w:before="0" w:after="0" w:line="240" w:lineRule="auto"/>
              <w:rPr>
                <w:rFonts w:eastAsia="Times New Roman"/>
                <w:noProof/>
                <w:color w:val="006100"/>
                <w:sz w:val="22"/>
              </w:rPr>
            </w:pPr>
            <w:r>
              <w:rPr>
                <w:noProof/>
                <w:color w:val="006100"/>
                <w:sz w:val="22"/>
              </w:rPr>
              <w:t>8165</w:t>
            </w:r>
          </w:p>
        </w:tc>
        <w:tc>
          <w:tcPr>
            <w:tcW w:w="851" w:type="dxa"/>
            <w:tcBorders>
              <w:top w:val="single" w:sz="4" w:space="0" w:color="auto"/>
              <w:left w:val="nil"/>
              <w:bottom w:val="single" w:sz="4" w:space="0" w:color="auto"/>
              <w:right w:val="single" w:sz="4" w:space="0" w:color="auto"/>
            </w:tcBorders>
            <w:shd w:val="clear" w:color="auto" w:fill="C6EFCE"/>
            <w:noWrap/>
          </w:tcPr>
          <w:p w14:paraId="61399140" w14:textId="64E2DAC4" w:rsidR="00935847" w:rsidRPr="00DD6A04" w:rsidRDefault="00867C2B">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78862594" w14:textId="6DEF81BE" w:rsidR="00935847" w:rsidRPr="00DD6A04" w:rsidRDefault="00867C2B">
            <w:pPr>
              <w:spacing w:before="0" w:after="0" w:line="240" w:lineRule="auto"/>
              <w:rPr>
                <w:rFonts w:eastAsia="Times New Roman"/>
                <w:noProof/>
                <w:color w:val="006100"/>
                <w:sz w:val="22"/>
              </w:rPr>
            </w:pPr>
            <w:r>
              <w:rPr>
                <w:noProof/>
                <w:color w:val="006100"/>
                <w:sz w:val="22"/>
              </w:rPr>
              <w:t>2025</w:t>
            </w:r>
          </w:p>
        </w:tc>
        <w:tc>
          <w:tcPr>
            <w:tcW w:w="3190" w:type="dxa"/>
            <w:tcBorders>
              <w:top w:val="single" w:sz="4" w:space="0" w:color="auto"/>
              <w:left w:val="nil"/>
              <w:bottom w:val="single" w:sz="4" w:space="0" w:color="auto"/>
              <w:right w:val="single" w:sz="4" w:space="0" w:color="auto"/>
            </w:tcBorders>
            <w:shd w:val="clear" w:color="auto" w:fill="C6EFCE"/>
            <w:noWrap/>
          </w:tcPr>
          <w:p w14:paraId="4D5C9D18" w14:textId="1F6E8288" w:rsidR="00935847" w:rsidRPr="00DD6A04" w:rsidRDefault="45A0EE55" w:rsidP="150EC00E">
            <w:pPr>
              <w:spacing w:before="0" w:after="0" w:line="240" w:lineRule="auto"/>
              <w:rPr>
                <w:rFonts w:eastAsia="Times New Roman"/>
                <w:noProof/>
                <w:color w:val="006100"/>
                <w:sz w:val="22"/>
                <w:highlight w:val="yellow"/>
              </w:rPr>
            </w:pPr>
            <w:r>
              <w:rPr>
                <w:noProof/>
                <w:color w:val="006100"/>
                <w:sz w:val="22"/>
              </w:rPr>
              <w:t>Dokončana energetska in trajnostna prenova stanovanjskih stavb v javni lasti v skladu z razpisnimi merili iz mejnika 23.</w:t>
            </w:r>
          </w:p>
        </w:tc>
      </w:tr>
    </w:tbl>
    <w:p w14:paraId="5DC7D81E" w14:textId="56BAEAD0" w:rsidR="00935847" w:rsidRPr="00DD6A04" w:rsidRDefault="00935847" w:rsidP="003C6015">
      <w:pPr>
        <w:spacing w:line="240" w:lineRule="auto"/>
        <w:ind w:left="850"/>
        <w:jc w:val="both"/>
        <w:rPr>
          <w:b/>
          <w:noProof/>
          <w:u w:val="single"/>
          <w:lang w:val="en-GB"/>
        </w:rPr>
      </w:pPr>
    </w:p>
    <w:p w14:paraId="5BCF0753" w14:textId="77777777" w:rsidR="00935847" w:rsidRPr="00DD6A04" w:rsidRDefault="00935847" w:rsidP="003C6015">
      <w:pPr>
        <w:spacing w:line="240" w:lineRule="auto"/>
        <w:ind w:left="850"/>
        <w:jc w:val="both"/>
        <w:rPr>
          <w:b/>
          <w:noProof/>
          <w:u w:val="single"/>
          <w:lang w:val="en-GB"/>
        </w:rPr>
      </w:pPr>
    </w:p>
    <w:p w14:paraId="0EB55B6F" w14:textId="088FDF40" w:rsidR="000F045C" w:rsidRPr="00DD6A04" w:rsidRDefault="003C6015" w:rsidP="003C6015">
      <w:pPr>
        <w:spacing w:before="0" w:after="200" w:line="276" w:lineRule="auto"/>
        <w:rPr>
          <w:noProof/>
        </w:rPr>
        <w:sectPr w:rsidR="000F045C" w:rsidRPr="00DD6A04" w:rsidSect="00073927">
          <w:headerReference w:type="even" r:id="rId48"/>
          <w:headerReference w:type="default" r:id="rId49"/>
          <w:footerReference w:type="even" r:id="rId50"/>
          <w:footerReference w:type="default" r:id="rId51"/>
          <w:headerReference w:type="first" r:id="rId52"/>
          <w:footerReference w:type="first" r:id="rId53"/>
          <w:pgSz w:w="16839" w:h="11907" w:orient="landscape"/>
          <w:pgMar w:top="1134" w:right="1134" w:bottom="1134" w:left="1134" w:header="567" w:footer="567" w:gutter="0"/>
          <w:cols w:space="720"/>
          <w:docGrid w:linePitch="326"/>
        </w:sectPr>
      </w:pPr>
      <w:r>
        <w:rPr>
          <w:noProof/>
        </w:rPr>
        <w:tab/>
      </w:r>
    </w:p>
    <w:p w14:paraId="5E2A24D7" w14:textId="091FC8FC" w:rsidR="000F045C" w:rsidRPr="00DD6A04" w:rsidRDefault="000F045C" w:rsidP="000F045C">
      <w:pPr>
        <w:spacing w:line="240" w:lineRule="auto"/>
        <w:jc w:val="both"/>
        <w:rPr>
          <w:rFonts w:eastAsiaTheme="minorEastAsia"/>
          <w:b/>
          <w:noProof/>
          <w:szCs w:val="24"/>
          <w:u w:val="single"/>
        </w:rPr>
      </w:pPr>
      <w:r>
        <w:rPr>
          <w:b/>
          <w:noProof/>
          <w:u w:val="single"/>
        </w:rPr>
        <w:t>B.3 Opis reform in naložb za pridobitev posojila</w:t>
      </w:r>
    </w:p>
    <w:p w14:paraId="3A12991E" w14:textId="77777777" w:rsidR="00C66B41" w:rsidRPr="00DD6A04" w:rsidRDefault="00C66B41" w:rsidP="00C66B41">
      <w:pPr>
        <w:spacing w:line="240" w:lineRule="auto"/>
        <w:jc w:val="both"/>
        <w:rPr>
          <w:noProof/>
          <w:u w:val="single"/>
        </w:rPr>
      </w:pPr>
      <w:r>
        <w:rPr>
          <w:noProof/>
          <w:u w:val="single"/>
        </w:rPr>
        <w:t>Investicija B. Nadaljevanje trajnostne prenove stavb</w:t>
      </w:r>
    </w:p>
    <w:p w14:paraId="561A7355" w14:textId="33486FC7" w:rsidR="008F1F39" w:rsidRPr="00DD6A04" w:rsidRDefault="008F1F39" w:rsidP="008F1F39">
      <w:pPr>
        <w:spacing w:line="240" w:lineRule="auto"/>
        <w:jc w:val="both"/>
        <w:rPr>
          <w:noProof/>
        </w:rPr>
      </w:pPr>
      <w:r>
        <w:rPr>
          <w:noProof/>
        </w:rPr>
        <w:t xml:space="preserve">Cilj investicije je energetska prenova javnih stavb. </w:t>
      </w:r>
    </w:p>
    <w:p w14:paraId="7B26FF15" w14:textId="3C5DCD0C" w:rsidR="00C66B41" w:rsidRPr="00DD6A04" w:rsidRDefault="00C66B41" w:rsidP="00C66B41">
      <w:pPr>
        <w:spacing w:line="240" w:lineRule="auto"/>
        <w:jc w:val="both"/>
        <w:rPr>
          <w:noProof/>
        </w:rPr>
      </w:pPr>
      <w:r>
        <w:rPr>
          <w:noProof/>
        </w:rPr>
        <w:t xml:space="preserve">Za vse projekte bodo zagotovljeni vsaj 30-odstotni skupni prihranki energije v primerjavi s predhodnimi emisijami, izjema so investicije v izvedbo posameznih nadgradenj tehničnih stavbnih sistemov, kot so npr. klimatski in prezračevalni sistemi. </w:t>
      </w:r>
    </w:p>
    <w:p w14:paraId="66856D2D" w14:textId="6B11E599" w:rsidR="006D05D3" w:rsidRPr="00DD6A04" w:rsidRDefault="00C66B41" w:rsidP="00C66B41">
      <w:pPr>
        <w:spacing w:line="240" w:lineRule="auto"/>
        <w:jc w:val="both"/>
        <w:rPr>
          <w:noProof/>
        </w:rPr>
      </w:pPr>
      <w:r>
        <w:rPr>
          <w:noProof/>
        </w:rPr>
        <w:t xml:space="preserve">Investicije bodo vključevale toplotno izolacijo stavb, energetsko učinkovito opremo (okna, zasteklitev, vrata), sisteme ogrevanja in prezračevanja, energetsko učinkovito razsvetljavo in nadzorne sisteme. Pri delih se bodo zagotovili visoki zdravstveni in okoljski standardi, in sicer z obravnavanjem vidikov, kot so drugim preprečevanje nesreč in zaščita pred nevarnostmi, povezanimi s podnebjem, odstranjevanje škodljivih snovi in zaščita pred njimi ter požarna in potresna varnost. Prenova javnih stavb naj bi vključevala izboljšanje njihove dostopnosti za invalide. </w:t>
      </w:r>
    </w:p>
    <w:p w14:paraId="4DAA185D" w14:textId="05DBB7AD" w:rsidR="002D46A3" w:rsidRPr="00DD6A04" w:rsidRDefault="006D05D3" w:rsidP="00C66B41">
      <w:pPr>
        <w:spacing w:line="240" w:lineRule="auto"/>
        <w:jc w:val="both"/>
        <w:rPr>
          <w:noProof/>
        </w:rPr>
      </w:pPr>
      <w:r>
        <w:rPr>
          <w:noProof/>
        </w:rPr>
        <w:t>Ker je Slovenija ena od najbolj potresno ogroženih evropskih držav, bodo energetske prenove izvedene vzporedno s potresno sanacijo, da se zagotovi stroškovno učinkovit pristop in dolgotrajen učinek investicije. Pri delih se bo spoštovala estetska in arhitekturna kakovost stavb, in sicer z upoštevanjem morebitnih zahtev glede kulturne zaščite pri prenovi stavb, ki so del kulturne dediščine.</w:t>
      </w:r>
    </w:p>
    <w:p w14:paraId="2214C9E2" w14:textId="75978B57" w:rsidR="00C66B41" w:rsidRPr="00DD6A04" w:rsidRDefault="00C66B41" w:rsidP="00C66B41">
      <w:pPr>
        <w:spacing w:line="240" w:lineRule="auto"/>
        <w:jc w:val="both"/>
        <w:rPr>
          <w:noProof/>
        </w:rPr>
      </w:pPr>
      <w:r>
        <w:rPr>
          <w:noProof/>
        </w:rPr>
        <w:t xml:space="preserve">Upravičene bodo naslednje kategorije stavb: </w:t>
      </w:r>
    </w:p>
    <w:p w14:paraId="1291A351" w14:textId="77777777" w:rsidR="00C66B41" w:rsidRPr="00DD6A04" w:rsidRDefault="00C66B41" w:rsidP="00C66B41">
      <w:pPr>
        <w:numPr>
          <w:ilvl w:val="0"/>
          <w:numId w:val="30"/>
        </w:numPr>
        <w:spacing w:line="240" w:lineRule="auto"/>
        <w:jc w:val="both"/>
        <w:rPr>
          <w:noProof/>
        </w:rPr>
      </w:pPr>
      <w:r>
        <w:rPr>
          <w:noProof/>
        </w:rPr>
        <w:t>stavbe izjemnega upravnega pomena zaradi epidemije COVID-19,</w:t>
      </w:r>
    </w:p>
    <w:p w14:paraId="78332773" w14:textId="1E2B62E0" w:rsidR="00C66B41" w:rsidRPr="00DD6A04" w:rsidRDefault="00C66B41" w:rsidP="00C66B41">
      <w:pPr>
        <w:numPr>
          <w:ilvl w:val="0"/>
          <w:numId w:val="30"/>
        </w:numPr>
        <w:spacing w:line="240" w:lineRule="auto"/>
        <w:jc w:val="both"/>
        <w:rPr>
          <w:noProof/>
        </w:rPr>
      </w:pPr>
      <w:r>
        <w:rPr>
          <w:noProof/>
        </w:rPr>
        <w:t>stavbe velikega družbenega pomena zaradi epidemije COVID-19,</w:t>
      </w:r>
    </w:p>
    <w:p w14:paraId="5D7D5C7D" w14:textId="77777777" w:rsidR="00C66B41" w:rsidRPr="00DD6A04" w:rsidRDefault="00C66B41" w:rsidP="00C66B41">
      <w:pPr>
        <w:numPr>
          <w:ilvl w:val="0"/>
          <w:numId w:val="30"/>
        </w:numPr>
        <w:spacing w:line="240" w:lineRule="auto"/>
        <w:jc w:val="both"/>
        <w:rPr>
          <w:noProof/>
        </w:rPr>
      </w:pPr>
      <w:r>
        <w:rPr>
          <w:noProof/>
        </w:rPr>
        <w:t>stavbe, ki zahtevajo posamezne nadgradnje tehničnih stavbnih sistemov.</w:t>
      </w:r>
    </w:p>
    <w:p w14:paraId="72D350CA" w14:textId="656F8A0E" w:rsidR="008A4C69" w:rsidRPr="00DD6A04" w:rsidRDefault="00AD27B9" w:rsidP="00C66B41">
      <w:pPr>
        <w:spacing w:line="240" w:lineRule="auto"/>
        <w:jc w:val="both"/>
        <w:rPr>
          <w:noProof/>
        </w:rPr>
      </w:pPr>
      <w:r>
        <w:rPr>
          <w:noProof/>
        </w:rPr>
        <w:t>Mejniki in cilji v zvezi z izvedbo investicije bodo doseženi do 30. junija 2026.</w:t>
      </w:r>
    </w:p>
    <w:p w14:paraId="3CBC7BBF" w14:textId="11DFFB0C" w:rsidR="00660538" w:rsidRPr="00DD6A04" w:rsidRDefault="00660538" w:rsidP="009F73D6">
      <w:pPr>
        <w:spacing w:line="240" w:lineRule="auto"/>
        <w:jc w:val="both"/>
        <w:rPr>
          <w:noProof/>
          <w:lang w:val="en-GB"/>
        </w:rPr>
      </w:pPr>
    </w:p>
    <w:p w14:paraId="0FD24CFB" w14:textId="2D000948" w:rsidR="000316E1" w:rsidRPr="00DD6A04" w:rsidRDefault="000316E1" w:rsidP="009F73D6">
      <w:pPr>
        <w:spacing w:line="240" w:lineRule="auto"/>
        <w:jc w:val="both"/>
        <w:rPr>
          <w:noProof/>
          <w:lang w:val="en-GB"/>
        </w:rPr>
        <w:sectPr w:rsidR="000316E1" w:rsidRPr="00DD6A04" w:rsidSect="00F66D61">
          <w:headerReference w:type="even" r:id="rId54"/>
          <w:headerReference w:type="default" r:id="rId55"/>
          <w:footerReference w:type="even" r:id="rId56"/>
          <w:footerReference w:type="default" r:id="rId57"/>
          <w:headerReference w:type="first" r:id="rId58"/>
          <w:footerReference w:type="first" r:id="rId59"/>
          <w:pgSz w:w="11907" w:h="16839"/>
          <w:pgMar w:top="1134" w:right="1134" w:bottom="1134" w:left="1134" w:header="567" w:footer="567" w:gutter="0"/>
          <w:cols w:space="720"/>
          <w:docGrid w:linePitch="326"/>
        </w:sectPr>
      </w:pPr>
    </w:p>
    <w:p w14:paraId="09D069D4" w14:textId="27D7F7AA" w:rsidR="00897D9F" w:rsidRPr="00DD6A04" w:rsidRDefault="00897D9F" w:rsidP="00897D9F">
      <w:pPr>
        <w:spacing w:line="240" w:lineRule="auto"/>
        <w:ind w:left="850"/>
        <w:jc w:val="both"/>
        <w:rPr>
          <w:b/>
          <w:noProof/>
          <w:u w:val="single"/>
        </w:rPr>
      </w:pPr>
      <w:r>
        <w:rPr>
          <w:b/>
          <w:noProof/>
          <w:u w:val="single"/>
        </w:rPr>
        <w:t xml:space="preserve">B.4 </w:t>
      </w:r>
      <w:r>
        <w:rPr>
          <w:noProof/>
          <w:u w:val="single"/>
        </w:rPr>
        <w:tab/>
      </w:r>
      <w:r>
        <w:rPr>
          <w:b/>
          <w:noProof/>
          <w:u w:val="single"/>
        </w:rPr>
        <w:t>Mejniki, cilji, kazalniki in časovni razpored za spremljanje in izvajanje posojila</w:t>
      </w:r>
    </w:p>
    <w:tbl>
      <w:tblPr>
        <w:tblW w:w="15568" w:type="dxa"/>
        <w:jc w:val="center"/>
        <w:tblLayout w:type="fixed"/>
        <w:tblLook w:val="04A0" w:firstRow="1" w:lastRow="0" w:firstColumn="1" w:lastColumn="0" w:noHBand="0" w:noVBand="1"/>
      </w:tblPr>
      <w:tblGrid>
        <w:gridCol w:w="1355"/>
        <w:gridCol w:w="1447"/>
        <w:gridCol w:w="1383"/>
        <w:gridCol w:w="1559"/>
        <w:gridCol w:w="1559"/>
        <w:gridCol w:w="1134"/>
        <w:gridCol w:w="1276"/>
        <w:gridCol w:w="992"/>
        <w:gridCol w:w="805"/>
        <w:gridCol w:w="1180"/>
        <w:gridCol w:w="2878"/>
      </w:tblGrid>
      <w:tr w:rsidR="000C4FF8" w:rsidRPr="00DD6A04" w14:paraId="43FD401A" w14:textId="77777777" w:rsidTr="00037751">
        <w:trPr>
          <w:trHeight w:val="740"/>
          <w:tblHeader/>
          <w:jc w:val="center"/>
        </w:trPr>
        <w:tc>
          <w:tcPr>
            <w:tcW w:w="13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789B52" w14:textId="77777777" w:rsidR="00897D9F" w:rsidRPr="00DD6A04" w:rsidRDefault="00897D9F">
            <w:pPr>
              <w:spacing w:before="0" w:after="0" w:line="240" w:lineRule="auto"/>
              <w:jc w:val="center"/>
              <w:rPr>
                <w:rFonts w:eastAsia="Times New Roman"/>
                <w:b/>
                <w:noProof/>
              </w:rPr>
            </w:pPr>
            <w:r>
              <w:rPr>
                <w:b/>
                <w:noProof/>
              </w:rPr>
              <w:t>Zaporedna številka</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EB6031" w14:textId="77777777" w:rsidR="00897D9F" w:rsidRPr="00DD6A04" w:rsidRDefault="00897D9F">
            <w:pPr>
              <w:spacing w:before="0" w:after="0" w:line="240" w:lineRule="auto"/>
              <w:jc w:val="center"/>
              <w:rPr>
                <w:rFonts w:eastAsia="Times New Roman"/>
                <w:b/>
                <w:noProof/>
              </w:rPr>
            </w:pPr>
            <w:r>
              <w:rPr>
                <w:b/>
                <w:noProof/>
              </w:rPr>
              <w:t>Povezani ukrep (reforma ali naložba)</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CD63BF9" w14:textId="15FBDAB1" w:rsidR="00897D9F" w:rsidRPr="00DD6A04" w:rsidRDefault="00897D9F">
            <w:pPr>
              <w:spacing w:before="0" w:after="0" w:line="240" w:lineRule="auto"/>
              <w:jc w:val="center"/>
              <w:rPr>
                <w:rFonts w:eastAsia="Times New Roman"/>
                <w:b/>
                <w:noProof/>
              </w:rPr>
            </w:pPr>
            <w:r>
              <w:rPr>
                <w:b/>
                <w:noProof/>
              </w:rPr>
              <w:t>Mejnik/cilj</w:t>
            </w:r>
          </w:p>
        </w:tc>
        <w:tc>
          <w:tcPr>
            <w:tcW w:w="1559" w:type="dxa"/>
            <w:vMerge w:val="restart"/>
            <w:tcBorders>
              <w:top w:val="single" w:sz="4" w:space="0" w:color="auto"/>
              <w:left w:val="nil"/>
              <w:bottom w:val="single" w:sz="4" w:space="0" w:color="auto"/>
              <w:right w:val="single" w:sz="4" w:space="0" w:color="auto"/>
            </w:tcBorders>
            <w:shd w:val="clear" w:color="auto" w:fill="BDD7EE"/>
            <w:vAlign w:val="center"/>
            <w:hideMark/>
          </w:tcPr>
          <w:p w14:paraId="71C7A92E" w14:textId="77777777" w:rsidR="00897D9F" w:rsidRPr="00DD6A04" w:rsidRDefault="00897D9F">
            <w:pPr>
              <w:spacing w:before="0" w:after="0" w:line="240" w:lineRule="auto"/>
              <w:jc w:val="center"/>
              <w:rPr>
                <w:rFonts w:eastAsia="Times New Roman"/>
                <w:b/>
                <w:noProof/>
              </w:rPr>
            </w:pPr>
            <w:r>
              <w:rPr>
                <w:b/>
                <w:noProof/>
              </w:rPr>
              <w:t>Ime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B22EF1" w14:textId="77777777" w:rsidR="00897D9F" w:rsidRPr="00DD6A04" w:rsidRDefault="00897D9F">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402" w:type="dxa"/>
            <w:gridSpan w:val="3"/>
            <w:tcBorders>
              <w:top w:val="single" w:sz="4" w:space="0" w:color="auto"/>
              <w:left w:val="nil"/>
              <w:bottom w:val="single" w:sz="4" w:space="0" w:color="auto"/>
              <w:right w:val="single" w:sz="4" w:space="0" w:color="auto"/>
            </w:tcBorders>
            <w:shd w:val="clear" w:color="auto" w:fill="BDD7EE"/>
            <w:vAlign w:val="center"/>
            <w:hideMark/>
          </w:tcPr>
          <w:p w14:paraId="35BF9650" w14:textId="77777777" w:rsidR="00897D9F" w:rsidRPr="00DD6A04" w:rsidRDefault="00897D9F">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14:paraId="11F64ED6" w14:textId="77777777" w:rsidR="00897D9F" w:rsidRPr="00DD6A04" w:rsidRDefault="00897D9F">
            <w:pPr>
              <w:spacing w:before="0" w:after="0" w:line="240" w:lineRule="auto"/>
              <w:jc w:val="center"/>
              <w:rPr>
                <w:rFonts w:eastAsia="Times New Roman"/>
                <w:b/>
                <w:noProof/>
              </w:rPr>
            </w:pPr>
            <w:r>
              <w:rPr>
                <w:b/>
                <w:noProof/>
              </w:rPr>
              <w:t xml:space="preserve">Okvirni časovni razpored za dokončanje </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3B1E11" w14:textId="77777777" w:rsidR="00897D9F" w:rsidRPr="00DD6A04" w:rsidRDefault="00897D9F">
            <w:pPr>
              <w:spacing w:before="0" w:after="0" w:line="240" w:lineRule="auto"/>
              <w:jc w:val="center"/>
              <w:rPr>
                <w:rFonts w:eastAsia="Times New Roman"/>
                <w:b/>
                <w:noProof/>
              </w:rPr>
            </w:pPr>
            <w:r>
              <w:rPr>
                <w:b/>
                <w:noProof/>
              </w:rPr>
              <w:t>Opis vsakega mejnika in cilja</w:t>
            </w:r>
          </w:p>
        </w:tc>
      </w:tr>
      <w:tr w:rsidR="000C4FF8" w:rsidRPr="00DD6A04" w14:paraId="0DA454AD" w14:textId="77777777" w:rsidTr="00037751">
        <w:trPr>
          <w:trHeight w:val="751"/>
          <w:tblHeader/>
          <w:jc w:val="cent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6590FBB0" w14:textId="77777777" w:rsidR="00897D9F" w:rsidRPr="00DD6A04" w:rsidRDefault="00897D9F">
            <w:pPr>
              <w:spacing w:before="0" w:after="0" w:line="240" w:lineRule="auto"/>
              <w:rPr>
                <w:rFonts w:eastAsia="Times New Roman"/>
                <w:b/>
                <w:noProof/>
                <w:sz w:val="22"/>
                <w:lang w:val="en-GB" w:eastAsia="en-GB"/>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06146B67" w14:textId="77777777" w:rsidR="00897D9F" w:rsidRPr="00DD6A04" w:rsidRDefault="00897D9F">
            <w:pPr>
              <w:spacing w:before="0" w:after="0" w:line="240" w:lineRule="auto"/>
              <w:rPr>
                <w:rFonts w:eastAsia="Times New Roman"/>
                <w:b/>
                <w:noProof/>
                <w:sz w:val="22"/>
                <w:lang w:val="en-GB" w:eastAsia="en-GB"/>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8690770" w14:textId="77777777" w:rsidR="00897D9F" w:rsidRPr="00DD6A04" w:rsidRDefault="00897D9F">
            <w:pPr>
              <w:spacing w:before="0" w:after="0" w:line="240" w:lineRule="auto"/>
              <w:rPr>
                <w:rFonts w:eastAsia="Times New Roman"/>
                <w:b/>
                <w:noProof/>
                <w:sz w:val="22"/>
                <w:lang w:val="en-GB"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4F364B" w14:textId="77777777" w:rsidR="00897D9F" w:rsidRPr="00DD6A04" w:rsidRDefault="00897D9F">
            <w:pPr>
              <w:spacing w:before="0" w:after="0" w:line="240" w:lineRule="auto"/>
              <w:rPr>
                <w:rFonts w:eastAsia="Times New Roman"/>
                <w:b/>
                <w:noProof/>
                <w:sz w:val="22"/>
                <w:lang w:val="en-GB" w:eastAsia="en-GB"/>
              </w:rPr>
            </w:pPr>
          </w:p>
        </w:tc>
        <w:tc>
          <w:tcPr>
            <w:tcW w:w="1559" w:type="dxa"/>
            <w:vMerge/>
            <w:tcBorders>
              <w:left w:val="single" w:sz="4" w:space="0" w:color="auto"/>
            </w:tcBorders>
            <w:vAlign w:val="center"/>
            <w:hideMark/>
          </w:tcPr>
          <w:p w14:paraId="09E2B696" w14:textId="77777777" w:rsidR="00897D9F" w:rsidRPr="00DD6A04" w:rsidRDefault="00897D9F">
            <w:pPr>
              <w:spacing w:before="0" w:after="0" w:line="240" w:lineRule="auto"/>
              <w:rPr>
                <w:rFonts w:eastAsia="Times New Roman"/>
                <w:b/>
                <w:noProof/>
                <w:sz w:val="22"/>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9835C14" w14:textId="77777777" w:rsidR="00897D9F" w:rsidRPr="00DD6A04" w:rsidRDefault="00897D9F">
            <w:pPr>
              <w:spacing w:before="0" w:after="0" w:line="240" w:lineRule="auto"/>
              <w:jc w:val="center"/>
              <w:rPr>
                <w:rFonts w:eastAsia="Times New Roman"/>
                <w:b/>
                <w:noProof/>
                <w:sz w:val="22"/>
              </w:rPr>
            </w:pPr>
            <w:r>
              <w:rPr>
                <w:b/>
                <w:noProof/>
                <w:sz w:val="22"/>
              </w:rPr>
              <w:t>Enota merjenja</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F703EF6" w14:textId="77777777" w:rsidR="00897D9F" w:rsidRPr="00DD6A04" w:rsidRDefault="00897D9F">
            <w:pPr>
              <w:spacing w:before="0" w:after="0" w:line="240" w:lineRule="auto"/>
              <w:jc w:val="center"/>
              <w:rPr>
                <w:rFonts w:eastAsia="Times New Roman"/>
                <w:b/>
                <w:noProof/>
                <w:sz w:val="22"/>
              </w:rPr>
            </w:pPr>
            <w:r>
              <w:rPr>
                <w:b/>
                <w:noProof/>
                <w:sz w:val="22"/>
              </w:rPr>
              <w:t xml:space="preserve">Izhodiščna raven </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02C3916" w14:textId="77777777" w:rsidR="00897D9F" w:rsidRPr="00DD6A04" w:rsidRDefault="00897D9F">
            <w:pPr>
              <w:spacing w:before="0" w:after="0" w:line="240" w:lineRule="auto"/>
              <w:jc w:val="center"/>
              <w:rPr>
                <w:rFonts w:eastAsia="Times New Roman"/>
                <w:b/>
                <w:noProof/>
                <w:sz w:val="22"/>
              </w:rPr>
            </w:pPr>
            <w:r>
              <w:rPr>
                <w:b/>
                <w:noProof/>
                <w:sz w:val="22"/>
              </w:rPr>
              <w:t xml:space="preserve">Ciljna raven </w:t>
            </w:r>
          </w:p>
        </w:tc>
        <w:tc>
          <w:tcPr>
            <w:tcW w:w="80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B96D30A" w14:textId="77777777" w:rsidR="00897D9F" w:rsidRPr="00DD6A04" w:rsidRDefault="00897D9F">
            <w:pPr>
              <w:spacing w:before="0" w:after="0" w:line="240" w:lineRule="auto"/>
              <w:jc w:val="center"/>
              <w:rPr>
                <w:rFonts w:eastAsia="Times New Roman"/>
                <w:b/>
                <w:noProof/>
                <w:sz w:val="22"/>
              </w:rPr>
            </w:pPr>
            <w:r>
              <w:rPr>
                <w:b/>
                <w:noProof/>
                <w:sz w:val="22"/>
              </w:rPr>
              <w:t>Četrtletje</w:t>
            </w:r>
          </w:p>
        </w:tc>
        <w:tc>
          <w:tcPr>
            <w:tcW w:w="11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42AFC80" w14:textId="77777777" w:rsidR="00897D9F" w:rsidRPr="00DD6A04" w:rsidRDefault="00897D9F">
            <w:pPr>
              <w:spacing w:before="0" w:after="0" w:line="240" w:lineRule="auto"/>
              <w:jc w:val="center"/>
              <w:rPr>
                <w:rFonts w:eastAsia="Times New Roman"/>
                <w:b/>
                <w:noProof/>
                <w:sz w:val="22"/>
              </w:rPr>
            </w:pPr>
            <w:r>
              <w:rPr>
                <w:b/>
                <w:noProof/>
                <w:sz w:val="22"/>
              </w:rPr>
              <w:t>Leto</w:t>
            </w:r>
          </w:p>
        </w:tc>
        <w:tc>
          <w:tcPr>
            <w:tcW w:w="2878" w:type="dxa"/>
            <w:vMerge/>
            <w:tcBorders>
              <w:bottom w:val="single" w:sz="4" w:space="0" w:color="auto"/>
              <w:right w:val="single" w:sz="4" w:space="0" w:color="auto"/>
            </w:tcBorders>
            <w:vAlign w:val="center"/>
            <w:hideMark/>
          </w:tcPr>
          <w:p w14:paraId="10259A7D" w14:textId="77777777" w:rsidR="00897D9F" w:rsidRPr="00DD6A04" w:rsidRDefault="00897D9F">
            <w:pPr>
              <w:spacing w:before="0" w:after="0" w:line="240" w:lineRule="auto"/>
              <w:rPr>
                <w:rFonts w:eastAsia="Times New Roman"/>
                <w:b/>
                <w:noProof/>
                <w:sz w:val="22"/>
                <w:lang w:val="en-GB" w:eastAsia="en-GB"/>
              </w:rPr>
            </w:pPr>
          </w:p>
        </w:tc>
      </w:tr>
      <w:tr w:rsidR="000C4FF8" w:rsidRPr="00DD6A04" w14:paraId="47C96972" w14:textId="77777777" w:rsidTr="00037751">
        <w:trPr>
          <w:trHeight w:val="309"/>
          <w:jc w:val="center"/>
        </w:trPr>
        <w:tc>
          <w:tcPr>
            <w:tcW w:w="1355" w:type="dxa"/>
            <w:tcBorders>
              <w:top w:val="single" w:sz="4" w:space="0" w:color="auto"/>
              <w:left w:val="single" w:sz="4" w:space="0" w:color="auto"/>
              <w:bottom w:val="single" w:sz="4" w:space="0" w:color="auto"/>
              <w:right w:val="single" w:sz="4" w:space="0" w:color="auto"/>
            </w:tcBorders>
            <w:shd w:val="clear" w:color="auto" w:fill="C6EFCE"/>
            <w:noWrap/>
          </w:tcPr>
          <w:p w14:paraId="74512B37" w14:textId="01865CC4" w:rsidR="0001699F" w:rsidRPr="00DD6A04" w:rsidRDefault="0001699F" w:rsidP="0001699F">
            <w:pPr>
              <w:spacing w:before="0" w:after="0" w:line="240" w:lineRule="auto"/>
              <w:rPr>
                <w:rFonts w:eastAsia="Times New Roman"/>
                <w:noProof/>
                <w:color w:val="006100"/>
                <w:sz w:val="22"/>
              </w:rPr>
            </w:pPr>
            <w:r>
              <w:rPr>
                <w:noProof/>
                <w:color w:val="006100"/>
                <w:sz w:val="22"/>
              </w:rPr>
              <w:t>27bis</w:t>
            </w:r>
          </w:p>
        </w:tc>
        <w:tc>
          <w:tcPr>
            <w:tcW w:w="1447" w:type="dxa"/>
            <w:tcBorders>
              <w:top w:val="single" w:sz="4" w:space="0" w:color="auto"/>
              <w:left w:val="nil"/>
              <w:bottom w:val="single" w:sz="4" w:space="0" w:color="auto"/>
              <w:right w:val="single" w:sz="4" w:space="0" w:color="auto"/>
            </w:tcBorders>
            <w:shd w:val="clear" w:color="auto" w:fill="C6EFCE"/>
            <w:noWrap/>
          </w:tcPr>
          <w:p w14:paraId="68F3C9ED" w14:textId="06346812" w:rsidR="0001699F" w:rsidRPr="00DD6A04" w:rsidRDefault="0001699F" w:rsidP="0001699F">
            <w:pPr>
              <w:spacing w:before="0" w:after="0" w:line="240" w:lineRule="auto"/>
              <w:rPr>
                <w:rFonts w:eastAsia="Times New Roman"/>
                <w:noProof/>
                <w:color w:val="006100"/>
                <w:sz w:val="22"/>
              </w:rPr>
            </w:pPr>
            <w:r>
              <w:rPr>
                <w:noProof/>
                <w:color w:val="006100"/>
                <w:sz w:val="22"/>
              </w:rPr>
              <w:t>B: Nadaljevanje trajnostne prenove stavb</w:t>
            </w:r>
          </w:p>
        </w:tc>
        <w:tc>
          <w:tcPr>
            <w:tcW w:w="1383" w:type="dxa"/>
            <w:tcBorders>
              <w:top w:val="single" w:sz="4" w:space="0" w:color="auto"/>
              <w:left w:val="nil"/>
              <w:bottom w:val="single" w:sz="4" w:space="0" w:color="auto"/>
              <w:right w:val="single" w:sz="4" w:space="0" w:color="auto"/>
            </w:tcBorders>
            <w:shd w:val="clear" w:color="auto" w:fill="C6EFCE"/>
            <w:noWrap/>
          </w:tcPr>
          <w:p w14:paraId="6B966721" w14:textId="54E671E4" w:rsidR="0001699F" w:rsidRPr="00DD6A04" w:rsidRDefault="0001699F" w:rsidP="0001699F">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03FF5B9F" w14:textId="4332D4E0" w:rsidR="0001699F" w:rsidRPr="00DD6A04" w:rsidRDefault="0001699F" w:rsidP="0001699F">
            <w:pPr>
              <w:spacing w:before="0" w:after="0" w:line="240" w:lineRule="auto"/>
              <w:rPr>
                <w:rFonts w:eastAsia="Times New Roman"/>
                <w:noProof/>
                <w:color w:val="006100"/>
                <w:sz w:val="22"/>
              </w:rPr>
            </w:pPr>
            <w:r>
              <w:rPr>
                <w:noProof/>
                <w:color w:val="006100"/>
                <w:sz w:val="22"/>
              </w:rPr>
              <w:t>Dokončane energetske in trajnostne prenove stavb velikega upravnega in družbenega pomena</w:t>
            </w:r>
          </w:p>
        </w:tc>
        <w:tc>
          <w:tcPr>
            <w:tcW w:w="1559" w:type="dxa"/>
            <w:tcBorders>
              <w:top w:val="single" w:sz="4" w:space="0" w:color="auto"/>
              <w:left w:val="nil"/>
              <w:bottom w:val="single" w:sz="4" w:space="0" w:color="auto"/>
              <w:right w:val="single" w:sz="4" w:space="0" w:color="auto"/>
            </w:tcBorders>
            <w:shd w:val="clear" w:color="auto" w:fill="C6EFCE"/>
            <w:noWrap/>
          </w:tcPr>
          <w:p w14:paraId="766A9556" w14:textId="46A398E4" w:rsidR="0001699F" w:rsidRPr="00DD6A04" w:rsidRDefault="0001699F" w:rsidP="0001699F">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71EFF562" w14:textId="0D5692B5" w:rsidR="0001699F" w:rsidRPr="00DD6A04" w:rsidRDefault="0001699F" w:rsidP="0001699F">
            <w:pPr>
              <w:spacing w:before="0" w:after="0" w:line="240" w:lineRule="auto"/>
              <w:rPr>
                <w:rFonts w:eastAsia="Times New Roman"/>
                <w:noProof/>
                <w:color w:val="006100"/>
                <w:sz w:val="22"/>
              </w:rPr>
            </w:pPr>
            <w:r>
              <w:rPr>
                <w:noProof/>
                <w:color w:val="006100"/>
                <w:sz w:val="22"/>
              </w:rPr>
              <w:t>Število (m²)</w:t>
            </w:r>
          </w:p>
        </w:tc>
        <w:tc>
          <w:tcPr>
            <w:tcW w:w="1276" w:type="dxa"/>
            <w:tcBorders>
              <w:top w:val="single" w:sz="4" w:space="0" w:color="auto"/>
              <w:left w:val="nil"/>
              <w:bottom w:val="single" w:sz="4" w:space="0" w:color="auto"/>
              <w:right w:val="single" w:sz="4" w:space="0" w:color="auto"/>
            </w:tcBorders>
            <w:shd w:val="clear" w:color="auto" w:fill="C6EFCE"/>
            <w:noWrap/>
          </w:tcPr>
          <w:p w14:paraId="1DA5953C" w14:textId="70E4C26F" w:rsidR="0001699F" w:rsidRPr="00DD6A04" w:rsidRDefault="0001699F" w:rsidP="0001699F">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nil"/>
              <w:bottom w:val="single" w:sz="4" w:space="0" w:color="auto"/>
              <w:right w:val="single" w:sz="4" w:space="0" w:color="auto"/>
            </w:tcBorders>
            <w:shd w:val="clear" w:color="auto" w:fill="C6EFCE"/>
            <w:noWrap/>
          </w:tcPr>
          <w:p w14:paraId="745AD02C" w14:textId="34547B8B" w:rsidR="0001699F" w:rsidRPr="00DD6A04" w:rsidRDefault="0001699F" w:rsidP="0001699F">
            <w:pPr>
              <w:spacing w:before="0" w:after="0" w:line="240" w:lineRule="auto"/>
              <w:rPr>
                <w:rFonts w:eastAsia="Times New Roman"/>
                <w:noProof/>
                <w:color w:val="006100"/>
                <w:sz w:val="22"/>
              </w:rPr>
            </w:pPr>
            <w:r>
              <w:rPr>
                <w:noProof/>
                <w:color w:val="006100"/>
                <w:sz w:val="22"/>
              </w:rPr>
              <w:t>21398</w:t>
            </w:r>
          </w:p>
        </w:tc>
        <w:tc>
          <w:tcPr>
            <w:tcW w:w="805" w:type="dxa"/>
            <w:tcBorders>
              <w:top w:val="single" w:sz="4" w:space="0" w:color="auto"/>
              <w:left w:val="nil"/>
              <w:bottom w:val="single" w:sz="4" w:space="0" w:color="auto"/>
              <w:right w:val="single" w:sz="4" w:space="0" w:color="auto"/>
            </w:tcBorders>
            <w:shd w:val="clear" w:color="auto" w:fill="C6EFCE"/>
            <w:noWrap/>
          </w:tcPr>
          <w:p w14:paraId="5AF11CB9" w14:textId="0B190652" w:rsidR="0001699F" w:rsidRPr="00DD6A04" w:rsidRDefault="0001699F" w:rsidP="0001699F">
            <w:pPr>
              <w:spacing w:before="0" w:after="0" w:line="240" w:lineRule="auto"/>
              <w:rPr>
                <w:rFonts w:eastAsia="Times New Roman"/>
                <w:noProof/>
                <w:color w:val="006100"/>
                <w:sz w:val="22"/>
              </w:rPr>
            </w:pPr>
            <w:r>
              <w:rPr>
                <w:noProof/>
                <w:color w:val="006100"/>
                <w:sz w:val="22"/>
              </w:rPr>
              <w:t>Q2</w:t>
            </w:r>
          </w:p>
        </w:tc>
        <w:tc>
          <w:tcPr>
            <w:tcW w:w="1180" w:type="dxa"/>
            <w:tcBorders>
              <w:top w:val="single" w:sz="4" w:space="0" w:color="auto"/>
              <w:left w:val="nil"/>
              <w:bottom w:val="single" w:sz="4" w:space="0" w:color="auto"/>
              <w:right w:val="single" w:sz="4" w:space="0" w:color="auto"/>
            </w:tcBorders>
            <w:shd w:val="clear" w:color="auto" w:fill="C6EFCE"/>
            <w:noWrap/>
          </w:tcPr>
          <w:p w14:paraId="6EE7BF0B" w14:textId="2B9D9F87" w:rsidR="0001699F" w:rsidRPr="00DD6A04" w:rsidRDefault="0001699F" w:rsidP="0001699F">
            <w:pPr>
              <w:spacing w:before="0" w:after="0" w:line="240" w:lineRule="auto"/>
              <w:rPr>
                <w:rFonts w:eastAsia="Times New Roman"/>
                <w:noProof/>
                <w:color w:val="006100"/>
                <w:sz w:val="22"/>
              </w:rPr>
            </w:pPr>
            <w:r>
              <w:rPr>
                <w:noProof/>
                <w:color w:val="006100"/>
                <w:sz w:val="22"/>
              </w:rPr>
              <w:t>2026</w:t>
            </w:r>
          </w:p>
        </w:tc>
        <w:tc>
          <w:tcPr>
            <w:tcW w:w="2878" w:type="dxa"/>
            <w:tcBorders>
              <w:top w:val="single" w:sz="4" w:space="0" w:color="auto"/>
              <w:left w:val="nil"/>
              <w:bottom w:val="single" w:sz="4" w:space="0" w:color="auto"/>
              <w:right w:val="single" w:sz="4" w:space="0" w:color="auto"/>
            </w:tcBorders>
            <w:shd w:val="clear" w:color="auto" w:fill="C6EFCE"/>
            <w:noWrap/>
          </w:tcPr>
          <w:p w14:paraId="4B990108" w14:textId="41166273" w:rsidR="0001699F" w:rsidRPr="00DD6A04" w:rsidRDefault="0001699F" w:rsidP="0001699F">
            <w:pPr>
              <w:spacing w:before="0" w:after="0" w:line="240" w:lineRule="auto"/>
              <w:rPr>
                <w:rFonts w:eastAsia="Times New Roman"/>
                <w:noProof/>
                <w:color w:val="006100"/>
                <w:sz w:val="22"/>
                <w:highlight w:val="yellow"/>
              </w:rPr>
            </w:pPr>
            <w:r>
              <w:rPr>
                <w:noProof/>
                <w:color w:val="006100"/>
                <w:sz w:val="22"/>
              </w:rPr>
              <w:t>Dokončana energetska in trajnostna prenova javnih stavb velikega upravnega in družbenega pomena v skladu z merili javnega povabila iz mejnika 22.</w:t>
            </w:r>
          </w:p>
        </w:tc>
      </w:tr>
      <w:tr w:rsidR="000C4FF8" w:rsidRPr="00DD6A04" w14:paraId="3649E9D4" w14:textId="77777777" w:rsidTr="00037751">
        <w:trPr>
          <w:trHeight w:val="309"/>
          <w:jc w:val="center"/>
        </w:trPr>
        <w:tc>
          <w:tcPr>
            <w:tcW w:w="1355" w:type="dxa"/>
            <w:tcBorders>
              <w:top w:val="single" w:sz="4" w:space="0" w:color="auto"/>
              <w:left w:val="single" w:sz="4" w:space="0" w:color="auto"/>
              <w:bottom w:val="single" w:sz="4" w:space="0" w:color="auto"/>
              <w:right w:val="single" w:sz="4" w:space="0" w:color="auto"/>
            </w:tcBorders>
            <w:shd w:val="clear" w:color="auto" w:fill="C6EFCE"/>
            <w:noWrap/>
          </w:tcPr>
          <w:p w14:paraId="0963348B" w14:textId="5B75290E" w:rsidR="000B0862" w:rsidRPr="00DD6A04" w:rsidRDefault="000B0862" w:rsidP="000B0862">
            <w:pPr>
              <w:spacing w:before="0" w:after="0" w:line="240" w:lineRule="auto"/>
              <w:rPr>
                <w:rFonts w:eastAsia="Times New Roman"/>
                <w:noProof/>
                <w:color w:val="006100"/>
                <w:sz w:val="22"/>
              </w:rPr>
            </w:pPr>
            <w:r>
              <w:rPr>
                <w:noProof/>
                <w:color w:val="006100"/>
                <w:sz w:val="22"/>
              </w:rPr>
              <w:t>27ter</w:t>
            </w:r>
          </w:p>
        </w:tc>
        <w:tc>
          <w:tcPr>
            <w:tcW w:w="1447" w:type="dxa"/>
            <w:tcBorders>
              <w:top w:val="single" w:sz="4" w:space="0" w:color="auto"/>
              <w:left w:val="nil"/>
              <w:bottom w:val="single" w:sz="4" w:space="0" w:color="auto"/>
              <w:right w:val="single" w:sz="4" w:space="0" w:color="auto"/>
            </w:tcBorders>
            <w:shd w:val="clear" w:color="auto" w:fill="C6EFCE"/>
            <w:noWrap/>
          </w:tcPr>
          <w:p w14:paraId="3DE3702B" w14:textId="38B4D2FB" w:rsidR="000B0862" w:rsidRPr="00DD6A04" w:rsidRDefault="000B0862" w:rsidP="000B0862">
            <w:pPr>
              <w:spacing w:before="0" w:after="0" w:line="240" w:lineRule="auto"/>
              <w:rPr>
                <w:rFonts w:eastAsia="Times New Roman"/>
                <w:noProof/>
                <w:color w:val="006100"/>
                <w:sz w:val="22"/>
              </w:rPr>
            </w:pPr>
            <w:r>
              <w:rPr>
                <w:noProof/>
                <w:color w:val="006100"/>
                <w:sz w:val="22"/>
              </w:rPr>
              <w:t>B: Nadaljevanje trajnostne prenove stavb</w:t>
            </w:r>
          </w:p>
        </w:tc>
        <w:tc>
          <w:tcPr>
            <w:tcW w:w="1383" w:type="dxa"/>
            <w:tcBorders>
              <w:top w:val="single" w:sz="4" w:space="0" w:color="auto"/>
              <w:left w:val="nil"/>
              <w:bottom w:val="single" w:sz="4" w:space="0" w:color="auto"/>
              <w:right w:val="single" w:sz="4" w:space="0" w:color="auto"/>
            </w:tcBorders>
            <w:shd w:val="clear" w:color="auto" w:fill="C6EFCE"/>
            <w:noWrap/>
          </w:tcPr>
          <w:p w14:paraId="5952F9E3" w14:textId="0C0EB94F" w:rsidR="000B0862" w:rsidRPr="00DD6A04" w:rsidRDefault="000B0862" w:rsidP="000B0862">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5F495241" w14:textId="2BE7C22C" w:rsidR="000B0862" w:rsidRPr="00DD6A04" w:rsidRDefault="000B0862" w:rsidP="000B0862">
            <w:pPr>
              <w:spacing w:before="0" w:after="0" w:line="240" w:lineRule="auto"/>
              <w:rPr>
                <w:rFonts w:eastAsia="Times New Roman"/>
                <w:noProof/>
                <w:color w:val="006100"/>
                <w:sz w:val="22"/>
              </w:rPr>
            </w:pPr>
            <w:r>
              <w:rPr>
                <w:noProof/>
                <w:color w:val="006100"/>
                <w:sz w:val="22"/>
              </w:rPr>
              <w:t xml:space="preserve">Dokončana energetska in trajnostna prenova stavb s posameznimi nadgradnjami tehničnih stavbnih sistemov </w:t>
            </w:r>
          </w:p>
        </w:tc>
        <w:tc>
          <w:tcPr>
            <w:tcW w:w="1559" w:type="dxa"/>
            <w:tcBorders>
              <w:top w:val="single" w:sz="4" w:space="0" w:color="auto"/>
              <w:left w:val="nil"/>
              <w:bottom w:val="single" w:sz="4" w:space="0" w:color="auto"/>
              <w:right w:val="single" w:sz="4" w:space="0" w:color="auto"/>
            </w:tcBorders>
            <w:shd w:val="clear" w:color="auto" w:fill="C6EFCE"/>
            <w:noWrap/>
          </w:tcPr>
          <w:p w14:paraId="1AE56AD2" w14:textId="7510EDD8" w:rsidR="000B0862" w:rsidRPr="00DD6A04" w:rsidRDefault="000B0862" w:rsidP="000B0862">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79C28A56" w14:textId="4E4DE824" w:rsidR="000B0862" w:rsidRPr="00DD6A04" w:rsidRDefault="000B0862" w:rsidP="000C4FF8">
            <w:pPr>
              <w:spacing w:before="0" w:after="0" w:line="240" w:lineRule="auto"/>
              <w:rPr>
                <w:noProof/>
                <w:color w:val="006100"/>
                <w:sz w:val="22"/>
              </w:rPr>
            </w:pPr>
            <w:r>
              <w:rPr>
                <w:noProof/>
                <w:color w:val="006100"/>
                <w:sz w:val="22"/>
              </w:rPr>
              <w:t>Število (m²)</w:t>
            </w:r>
          </w:p>
          <w:p w14:paraId="6E3FC0A5" w14:textId="30868F09" w:rsidR="004A506C" w:rsidRPr="00DD6A04" w:rsidRDefault="004A506C" w:rsidP="000C4FF8">
            <w:pPr>
              <w:rPr>
                <w:rFonts w:eastAsia="Times New Roman"/>
                <w:noProof/>
                <w:sz w:val="22"/>
                <w:lang w:val="en-GB"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14:paraId="1ECE694A" w14:textId="73B70410" w:rsidR="000B0862" w:rsidRPr="00DD6A04" w:rsidRDefault="000B0862" w:rsidP="000B0862">
            <w:pPr>
              <w:spacing w:before="0" w:after="0" w:line="240" w:lineRule="auto"/>
              <w:rPr>
                <w:rFonts w:eastAsia="Times New Roman"/>
                <w:noProof/>
                <w:color w:val="006100"/>
                <w:sz w:val="22"/>
              </w:rPr>
            </w:pPr>
            <w:r>
              <w:rPr>
                <w:noProof/>
                <w:color w:val="006100"/>
                <w:sz w:val="22"/>
              </w:rPr>
              <w:t>0</w:t>
            </w:r>
          </w:p>
        </w:tc>
        <w:tc>
          <w:tcPr>
            <w:tcW w:w="992" w:type="dxa"/>
            <w:tcBorders>
              <w:top w:val="single" w:sz="4" w:space="0" w:color="auto"/>
              <w:left w:val="nil"/>
              <w:bottom w:val="single" w:sz="4" w:space="0" w:color="auto"/>
              <w:right w:val="single" w:sz="4" w:space="0" w:color="auto"/>
            </w:tcBorders>
            <w:shd w:val="clear" w:color="auto" w:fill="C6EFCE"/>
            <w:noWrap/>
          </w:tcPr>
          <w:p w14:paraId="6FA9EC5C" w14:textId="4F23DBD0" w:rsidR="000B0862" w:rsidRPr="00DD6A04" w:rsidRDefault="000B0862" w:rsidP="000B0862">
            <w:pPr>
              <w:spacing w:before="0" w:after="0" w:line="240" w:lineRule="auto"/>
              <w:rPr>
                <w:rFonts w:eastAsia="Times New Roman"/>
                <w:noProof/>
                <w:color w:val="006100"/>
                <w:sz w:val="22"/>
              </w:rPr>
            </w:pPr>
            <w:r>
              <w:rPr>
                <w:noProof/>
                <w:color w:val="006100"/>
                <w:sz w:val="22"/>
              </w:rPr>
              <w:t>8965</w:t>
            </w:r>
          </w:p>
        </w:tc>
        <w:tc>
          <w:tcPr>
            <w:tcW w:w="805" w:type="dxa"/>
            <w:tcBorders>
              <w:top w:val="single" w:sz="4" w:space="0" w:color="auto"/>
              <w:left w:val="nil"/>
              <w:bottom w:val="single" w:sz="4" w:space="0" w:color="auto"/>
              <w:right w:val="single" w:sz="4" w:space="0" w:color="auto"/>
            </w:tcBorders>
            <w:shd w:val="clear" w:color="auto" w:fill="C6EFCE"/>
            <w:noWrap/>
          </w:tcPr>
          <w:p w14:paraId="64DD7344" w14:textId="2DB49A19" w:rsidR="000B0862" w:rsidRPr="00DD6A04" w:rsidRDefault="000B0862" w:rsidP="000B0862">
            <w:pPr>
              <w:spacing w:before="0" w:after="0" w:line="240" w:lineRule="auto"/>
              <w:rPr>
                <w:rFonts w:eastAsia="Times New Roman"/>
                <w:noProof/>
                <w:color w:val="006100"/>
                <w:sz w:val="22"/>
              </w:rPr>
            </w:pPr>
            <w:r>
              <w:rPr>
                <w:noProof/>
                <w:color w:val="006100"/>
                <w:sz w:val="22"/>
              </w:rPr>
              <w:t>Q2</w:t>
            </w:r>
          </w:p>
        </w:tc>
        <w:tc>
          <w:tcPr>
            <w:tcW w:w="1180" w:type="dxa"/>
            <w:tcBorders>
              <w:top w:val="single" w:sz="4" w:space="0" w:color="auto"/>
              <w:left w:val="nil"/>
              <w:bottom w:val="single" w:sz="4" w:space="0" w:color="auto"/>
              <w:right w:val="single" w:sz="4" w:space="0" w:color="auto"/>
            </w:tcBorders>
            <w:shd w:val="clear" w:color="auto" w:fill="C6EFCE"/>
            <w:noWrap/>
          </w:tcPr>
          <w:p w14:paraId="1E9BDCA2" w14:textId="04887B44" w:rsidR="000B0862" w:rsidRPr="00DD6A04" w:rsidRDefault="000B0862" w:rsidP="000B0862">
            <w:pPr>
              <w:spacing w:before="0" w:after="0" w:line="240" w:lineRule="auto"/>
              <w:rPr>
                <w:rFonts w:eastAsia="Times New Roman"/>
                <w:noProof/>
                <w:color w:val="006100"/>
                <w:sz w:val="22"/>
              </w:rPr>
            </w:pPr>
            <w:r>
              <w:rPr>
                <w:noProof/>
                <w:color w:val="006100"/>
                <w:sz w:val="22"/>
              </w:rPr>
              <w:t>2026</w:t>
            </w:r>
          </w:p>
        </w:tc>
        <w:tc>
          <w:tcPr>
            <w:tcW w:w="2878" w:type="dxa"/>
            <w:tcBorders>
              <w:top w:val="single" w:sz="4" w:space="0" w:color="auto"/>
              <w:left w:val="nil"/>
              <w:bottom w:val="single" w:sz="4" w:space="0" w:color="auto"/>
              <w:right w:val="single" w:sz="4" w:space="0" w:color="auto"/>
            </w:tcBorders>
            <w:shd w:val="clear" w:color="auto" w:fill="C6EFCE"/>
            <w:noWrap/>
          </w:tcPr>
          <w:p w14:paraId="5C6C0007" w14:textId="104F4B6F" w:rsidR="000B0862" w:rsidRPr="00DD6A04" w:rsidRDefault="000B0862" w:rsidP="000B0862">
            <w:pPr>
              <w:spacing w:before="0" w:after="0" w:line="240" w:lineRule="auto"/>
              <w:rPr>
                <w:rFonts w:eastAsia="Times New Roman"/>
                <w:noProof/>
                <w:color w:val="006100"/>
                <w:sz w:val="22"/>
              </w:rPr>
            </w:pPr>
            <w:r>
              <w:rPr>
                <w:noProof/>
                <w:color w:val="006100"/>
                <w:sz w:val="22"/>
              </w:rPr>
              <w:t>Dokončana energetska in trajnostna prenova stavb s posameznimi nadgradnjami tehničnih stavbnih sistemov v skladu z razpisnimi merili iz mejnika 21.</w:t>
            </w:r>
          </w:p>
        </w:tc>
      </w:tr>
    </w:tbl>
    <w:p w14:paraId="40DC7724" w14:textId="60A22CA9" w:rsidR="00660538" w:rsidRPr="00DD6A04" w:rsidRDefault="00660538" w:rsidP="003C6015">
      <w:pPr>
        <w:keepNext/>
        <w:tabs>
          <w:tab w:val="left" w:pos="850"/>
        </w:tabs>
        <w:spacing w:line="240" w:lineRule="auto"/>
        <w:ind w:left="850" w:hanging="850"/>
        <w:jc w:val="both"/>
        <w:outlineLvl w:val="0"/>
        <w:rPr>
          <w:b/>
          <w:smallCaps/>
          <w:noProof/>
          <w:lang w:val="en-GB"/>
        </w:rPr>
        <w:sectPr w:rsidR="00660538" w:rsidRPr="00DD6A04" w:rsidSect="00660538">
          <w:headerReference w:type="even" r:id="rId60"/>
          <w:headerReference w:type="default" r:id="rId61"/>
          <w:footerReference w:type="even" r:id="rId62"/>
          <w:footerReference w:type="default" r:id="rId63"/>
          <w:headerReference w:type="first" r:id="rId64"/>
          <w:footerReference w:type="first" r:id="rId65"/>
          <w:pgSz w:w="16839" w:h="11907" w:orient="landscape"/>
          <w:pgMar w:top="1134" w:right="1134" w:bottom="1134" w:left="1134" w:header="567" w:footer="567" w:gutter="0"/>
          <w:cols w:space="720"/>
          <w:docGrid w:linePitch="326"/>
        </w:sectPr>
      </w:pPr>
    </w:p>
    <w:p w14:paraId="5E815776" w14:textId="16267554" w:rsidR="003C6015" w:rsidRPr="00DD6A04" w:rsidRDefault="003C6015" w:rsidP="003C6015">
      <w:pPr>
        <w:keepNext/>
        <w:tabs>
          <w:tab w:val="left" w:pos="850"/>
        </w:tabs>
        <w:spacing w:line="240" w:lineRule="auto"/>
        <w:ind w:left="850" w:hanging="850"/>
        <w:jc w:val="both"/>
        <w:outlineLvl w:val="0"/>
        <w:rPr>
          <w:b/>
          <w:smallCaps/>
          <w:noProof/>
        </w:rPr>
      </w:pPr>
      <w:r>
        <w:rPr>
          <w:b/>
          <w:smallCaps/>
          <w:noProof/>
        </w:rPr>
        <w:t>C. KOMPONENTA 3: ČISTO IN VARNO OKOLJE</w:t>
      </w:r>
    </w:p>
    <w:p w14:paraId="2305352B" w14:textId="77777777" w:rsidR="003C6015" w:rsidRPr="00DD6A04" w:rsidRDefault="003C6015" w:rsidP="003C6015">
      <w:pPr>
        <w:spacing w:line="240" w:lineRule="auto"/>
        <w:jc w:val="both"/>
        <w:rPr>
          <w:noProof/>
        </w:rPr>
      </w:pPr>
      <w:r>
        <w:rPr>
          <w:noProof/>
        </w:rPr>
        <w:t xml:space="preserve">Slovenija se zaradi vse pogostejših ekstremnih vremenskih dogodkov in zlasti poplav sooča s precejšnjimi potrebami po investicijah v zaščito pred nesrečami, ki jih povzročajo podnebne spremembe. Slednje ogrožajo velik delež slovenskega prebivalstva, ki živi na območjih z veliko poplavno ogroženostjo, in povzročajo znatno gospodarsko škodo. </w:t>
      </w:r>
    </w:p>
    <w:p w14:paraId="19D56A4C" w14:textId="77777777" w:rsidR="003C6015" w:rsidRPr="00DD6A04" w:rsidRDefault="003C6015" w:rsidP="003C6015">
      <w:pPr>
        <w:spacing w:line="240" w:lineRule="auto"/>
        <w:jc w:val="both"/>
        <w:rPr>
          <w:noProof/>
        </w:rPr>
      </w:pPr>
      <w:r>
        <w:rPr>
          <w:noProof/>
        </w:rPr>
        <w:t xml:space="preserve">Poleg tega izgube vode ostajajo nad povprečjem EU. Taka iztekanja so potrata površinske in podtalne vode, ki povzročajo večjo porabo energije za namene čiščenja in distribucije vode, prav tako pa pomenijo večja tveganja za onesnaženje vode. </w:t>
      </w:r>
    </w:p>
    <w:p w14:paraId="2B5B9783" w14:textId="77777777" w:rsidR="003C6015" w:rsidRPr="00DD6A04" w:rsidRDefault="003C6015" w:rsidP="003C6015">
      <w:pPr>
        <w:spacing w:line="240" w:lineRule="auto"/>
        <w:jc w:val="both"/>
        <w:rPr>
          <w:noProof/>
        </w:rPr>
      </w:pPr>
      <w:r>
        <w:rPr>
          <w:noProof/>
        </w:rPr>
        <w:t>Cilj te komponente slovenskega načrta za okrevanje in odpornost je izvajati usklajen pristop k preprečevanju, pripravljenosti, odzivanju in obnovi v primeru naravnih nesreč, povezanih s podnebjem, zlasti z izboljšanjem infrastrukture in s tem povezane organizacije, raziskavami, ozaveščanjem in usposabljanji. Njen cilj je tudi izboljšati gospodarjenje z vodami.</w:t>
      </w:r>
    </w:p>
    <w:p w14:paraId="73D05561" w14:textId="77777777" w:rsidR="003C6015" w:rsidRPr="00DD6A04" w:rsidRDefault="003C6015" w:rsidP="003C6015">
      <w:pPr>
        <w:spacing w:line="240" w:lineRule="auto"/>
        <w:jc w:val="both"/>
        <w:rPr>
          <w:noProof/>
        </w:rPr>
      </w:pPr>
      <w:r>
        <w:rPr>
          <w:noProof/>
        </w:rPr>
        <w:t>Te investicije in reforme bodo prispevale k specifičnim priporočilom za Slovenijo v zadnjih dveh letih, in sicer naj „ekonomsko politiko v zvezi z naložbami osredotoči na [...] nizkoogljični in energijski prehod“ (specifično priporočilo št. 3 iz leta 2019) ter „[u]smeri naložbe na zeleni [...] prehod, zlasti na čisto in učinkovito proizvodnjo in rabo energije, okoljsko infrastrukturo“ (specifično priporočilo št. 3 iz leta 2020).</w:t>
      </w:r>
    </w:p>
    <w:p w14:paraId="1A684D72" w14:textId="77777777" w:rsidR="003C6015" w:rsidRPr="00DD6A04" w:rsidRDefault="003C6015" w:rsidP="003C6015">
      <w:pPr>
        <w:spacing w:line="240" w:lineRule="auto"/>
        <w:jc w:val="both"/>
        <w:rPr>
          <w:noProof/>
        </w:rPr>
      </w:pPr>
      <w:r>
        <w:rPr>
          <w:noProof/>
        </w:rPr>
        <w:t>Ta komponenta prispeva k ohranjanju okolja in prilagajanju podnebnim spremembam ter tako krepi ekološko, socialno in gospodarsko odpornost.</w:t>
      </w:r>
    </w:p>
    <w:p w14:paraId="2E6FD4C6" w14:textId="3CA5FB8A"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134278EA" w14:textId="77777777" w:rsidR="003C6015" w:rsidRPr="00DD6A04" w:rsidRDefault="003C6015" w:rsidP="003C6015">
      <w:pPr>
        <w:spacing w:line="240" w:lineRule="auto"/>
        <w:jc w:val="both"/>
        <w:rPr>
          <w:b/>
          <w:i/>
          <w:noProof/>
          <w:color w:val="4F81BD"/>
        </w:rPr>
      </w:pPr>
      <w:r>
        <w:rPr>
          <w:b/>
          <w:noProof/>
          <w:u w:val="single"/>
        </w:rPr>
        <w:t xml:space="preserve">C.1 </w:t>
      </w:r>
      <w:r>
        <w:rPr>
          <w:b/>
          <w:noProof/>
          <w:u w:val="single"/>
        </w:rPr>
        <w:tab/>
        <w:t>Opis reform in naložb za nepovratno finančno podporo</w:t>
      </w:r>
    </w:p>
    <w:p w14:paraId="78255955" w14:textId="77777777" w:rsidR="003C6015" w:rsidRPr="00DD6A04" w:rsidRDefault="003C6015" w:rsidP="003C6015">
      <w:pPr>
        <w:spacing w:line="240" w:lineRule="auto"/>
        <w:jc w:val="both"/>
        <w:rPr>
          <w:noProof/>
          <w:u w:val="single"/>
        </w:rPr>
      </w:pPr>
      <w:r>
        <w:rPr>
          <w:noProof/>
          <w:u w:val="single"/>
        </w:rPr>
        <w:t>Reforma A. Krepitev pripravljenosti in odziva v primeru podnebno pogojenih nesreč</w:t>
      </w:r>
    </w:p>
    <w:p w14:paraId="4BE11826" w14:textId="77777777" w:rsidR="003C6015" w:rsidRPr="00DD6A04" w:rsidRDefault="003C6015" w:rsidP="003C6015">
      <w:pPr>
        <w:spacing w:line="240" w:lineRule="auto"/>
        <w:jc w:val="both"/>
        <w:rPr>
          <w:noProof/>
        </w:rPr>
      </w:pPr>
      <w:r>
        <w:rPr>
          <w:noProof/>
        </w:rPr>
        <w:t xml:space="preserve">V okviru reforme bosta opredeljena organizacija in odziv na podnebno pogojene nesreče, in sicer z ustanovitvijo modularnih enot za odziv, specializiranih in usposobljenih za odzivanje na nesreče, povezane s podnebjem, na nacionalni, regionalni in lokalni ravni, ter ponovno opredelitvijo vloge obstoječih enot. Struktura bo obravnavala nesreče, povezane s podnebjem, ki predstavljajo največje tveganje za Slovenijo, kot so poplave in veliki požari v naravi. </w:t>
      </w:r>
    </w:p>
    <w:p w14:paraId="156856D4" w14:textId="77777777" w:rsidR="003C6015" w:rsidRPr="00DD6A04" w:rsidRDefault="003C6015" w:rsidP="003C6015">
      <w:pPr>
        <w:spacing w:line="240" w:lineRule="auto"/>
        <w:jc w:val="both"/>
        <w:rPr>
          <w:noProof/>
        </w:rPr>
      </w:pPr>
      <w:r>
        <w:rPr>
          <w:noProof/>
        </w:rPr>
        <w:t xml:space="preserve">Reforma bo izvedena do 31. decembra 2023, in sicer z začetkom veljavnosti nove Resolucije o nacionalnem programu varstva pred naravnimi in drugimi nesrečami. Nova organizacijska struktura naj bi do 30. junija 2026 zajemala celotno ozemlje Slovenije in vse prebivalce, poseben poudarek pa naj bi bil na ranljivih skupinah. </w:t>
      </w:r>
    </w:p>
    <w:p w14:paraId="5ED7C181" w14:textId="371C94C3" w:rsidR="003C6015" w:rsidRPr="00DD6A04" w:rsidRDefault="003C6015" w:rsidP="003C6015">
      <w:pPr>
        <w:spacing w:line="240" w:lineRule="auto"/>
        <w:jc w:val="both"/>
        <w:rPr>
          <w:noProof/>
          <w:u w:val="single"/>
        </w:rPr>
      </w:pPr>
      <w:r>
        <w:rPr>
          <w:noProof/>
          <w:u w:val="single"/>
        </w:rPr>
        <w:t>Reforma C.</w:t>
      </w:r>
      <w:r>
        <w:rPr>
          <w:noProof/>
        </w:rPr>
        <w:t xml:space="preserve"> </w:t>
      </w:r>
      <w:bookmarkStart w:id="8" w:name="_Hlk143249439"/>
      <w:r>
        <w:rPr>
          <w:noProof/>
          <w:u w:val="single"/>
        </w:rPr>
        <w:t>Obnova in blaženje posledic podnebnih sprememb ter podnebno pogojenih nesreč za odporne</w:t>
      </w:r>
      <w:bookmarkEnd w:id="8"/>
      <w:r>
        <w:rPr>
          <w:noProof/>
        </w:rPr>
        <w:t xml:space="preserve"> </w:t>
      </w:r>
      <w:r>
        <w:rPr>
          <w:noProof/>
          <w:u w:val="single"/>
        </w:rPr>
        <w:t>biotsko pestre gozdove</w:t>
      </w:r>
    </w:p>
    <w:p w14:paraId="7F5EA9BA" w14:textId="2EE0D48A" w:rsidR="003C6015" w:rsidRPr="00DD6A04" w:rsidRDefault="003C6015" w:rsidP="536A4FAE">
      <w:pPr>
        <w:spacing w:line="240" w:lineRule="auto"/>
        <w:jc w:val="both"/>
        <w:rPr>
          <w:noProof/>
        </w:rPr>
      </w:pPr>
      <w:r>
        <w:rPr>
          <w:noProof/>
        </w:rPr>
        <w:t xml:space="preserve">Reforma varstva in obnove gozdov naslavlja priporočila Komisije za Strateški načrt Skupne kmetijske politike Slovenije (SWD(2020) 394) z zmanjševanjem tveganja vnosa in širjenja gozdnih škodljivcev pri obnovi gozdov ter z zagotavljanjem strokovnega nadzora s transparentnim sledenjem izvora in genetske pestrosti gozdnega reprodukcijskega materiala, ki omogoča bodočim gozdovom prilagajanje na spreminjajoče se okolje, zlasti ohranjanje zdravja in prilagodljivosti gozdov na podnebne spremembe. Reforma bo prispevala k doseganju dobrega stanja habitatov in vrst, povezanih z gozdovi, da se okrepijo ekološke storitve, biotska raznovrstnost in odpornost na grožnje, kot so vplivi podnebnih sprememb na gozdove. </w:t>
      </w:r>
    </w:p>
    <w:p w14:paraId="6DA249DE" w14:textId="77777777" w:rsidR="003C6015" w:rsidRPr="00DD6A04" w:rsidRDefault="003C6015" w:rsidP="003C6015">
      <w:pPr>
        <w:spacing w:line="240" w:lineRule="auto"/>
        <w:jc w:val="both"/>
        <w:rPr>
          <w:noProof/>
        </w:rPr>
      </w:pPr>
      <w:r>
        <w:rPr>
          <w:noProof/>
        </w:rPr>
        <w:t>Pravilnik o pogojih za vpis v register dobaviteljev in drugih obveznostih dobaviteljev ter zahtevah za trženje gozdnega reprodukcijskega materiala se spremeni, da se zagotovi ustrezna kakovost gozdnega reprodukcijskega materiala. Pravilnik o glavnih spričevalih o istovetnosti gozdnega reprodukcijskega materiala se spremeni, da se izboljšata sledenje in strokovni nadzor.</w:t>
      </w:r>
    </w:p>
    <w:p w14:paraId="05F8A8E3" w14:textId="77777777" w:rsidR="003C6015" w:rsidRPr="00DD6A04" w:rsidRDefault="003C6015" w:rsidP="003C6015">
      <w:pPr>
        <w:spacing w:line="240" w:lineRule="auto"/>
        <w:jc w:val="both"/>
        <w:rPr>
          <w:noProof/>
        </w:rPr>
      </w:pPr>
      <w:r>
        <w:rPr>
          <w:noProof/>
        </w:rPr>
        <w:t>Reformo bo do 31. decembra 2022 izvedlo Ministrstvo za kmetijstvo, gozdarstvo in prehrano, in sicer s spremembami Pravilnika o pogojih za vpis v register dobaviteljev in drugih obveznostih dobaviteljev ter zahtevah za trženje gozdnega reprodukcijskega materiala.</w:t>
      </w:r>
    </w:p>
    <w:p w14:paraId="2F73BAD9" w14:textId="77777777" w:rsidR="003C6015" w:rsidRPr="00DD6A04" w:rsidRDefault="003C6015" w:rsidP="003C6015">
      <w:pPr>
        <w:spacing w:line="240" w:lineRule="auto"/>
        <w:jc w:val="both"/>
        <w:rPr>
          <w:noProof/>
          <w:u w:val="single"/>
        </w:rPr>
      </w:pPr>
      <w:r>
        <w:rPr>
          <w:noProof/>
          <w:u w:val="single"/>
        </w:rPr>
        <w:t xml:space="preserve">Investicija E. Družbena in gospodarska odpornost na podnebno pogojene nesreče v Republiki Sloveniji </w:t>
      </w:r>
    </w:p>
    <w:p w14:paraId="05D3DB05" w14:textId="77777777" w:rsidR="003C6015" w:rsidRPr="00DD6A04" w:rsidRDefault="003C6015" w:rsidP="003C6015">
      <w:pPr>
        <w:spacing w:line="240" w:lineRule="auto"/>
        <w:jc w:val="both"/>
        <w:rPr>
          <w:noProof/>
        </w:rPr>
      </w:pPr>
      <w:r>
        <w:rPr>
          <w:noProof/>
        </w:rPr>
        <w:t>Z investicijo bodo ustanovljeni posebni centri za ukrepe za preprečevanje podnebno pogojenih nesreč, kot so poplave in veliki požari v naravi, ter pripravljenost in odzivanje nanje. Investicija bo vključevala usposabljanja za sile civilne zaščite, da se zagotovijo celostni ukrepi in ukrepi za ozaveščanje širše javnosti. Poleg tega bo zajemala tudi digitalizacijo zgrajenega centra za usklajeno odzivanje in nadgradnjo številke za klic v sili (112).</w:t>
      </w:r>
    </w:p>
    <w:p w14:paraId="2B860D88" w14:textId="77777777" w:rsidR="003C6015" w:rsidRPr="00DD6A04" w:rsidRDefault="003C6015" w:rsidP="003C6015">
      <w:pPr>
        <w:spacing w:line="240" w:lineRule="auto"/>
        <w:jc w:val="both"/>
        <w:rPr>
          <w:noProof/>
        </w:rPr>
      </w:pPr>
      <w:r>
        <w:rPr>
          <w:noProof/>
        </w:rPr>
        <w:t xml:space="preserve">Pri izgradnji potrebne energetsko učinkovite infrastrukture se bo upoštevala potreba po tem, da so prostori na ustreznem območju, izpostavljenem ustreznim tveganjem, povezanim s podnebjem. Investicijo bo izvedlo Ministrstvo za obrambo, in sicer z javnimi razpisi in ob upoštevanju zahtev glede zelenih javnih naročil. </w:t>
      </w:r>
    </w:p>
    <w:p w14:paraId="50C1F585" w14:textId="77777777" w:rsidR="003C6015" w:rsidRPr="00DD6A04" w:rsidRDefault="003C6015" w:rsidP="003C6015">
      <w:pPr>
        <w:spacing w:line="240" w:lineRule="auto"/>
        <w:jc w:val="both"/>
        <w:rPr>
          <w:noProof/>
        </w:rPr>
      </w:pPr>
      <w:r>
        <w:rPr>
          <w:noProof/>
        </w:rPr>
        <w:t>Investicija bo zajemala tudi tečaje usposabljanja za obvladovanje posebnih tveganj, kot so poplave in veliki požari v naravi, v obdobju 2025–2026 ter dejavnosti ozaveščanja med različnimi ciljnimi skupinami prebivalstva v obdobju 2021–2026.</w:t>
      </w:r>
    </w:p>
    <w:p w14:paraId="3BF4C45C" w14:textId="77777777" w:rsidR="003C6015" w:rsidRPr="00DD6A04" w:rsidRDefault="003C6015" w:rsidP="003C6015">
      <w:pPr>
        <w:spacing w:line="240" w:lineRule="auto"/>
        <w:jc w:val="both"/>
        <w:rPr>
          <w:noProof/>
        </w:rPr>
      </w:pPr>
      <w:r>
        <w:rPr>
          <w:noProof/>
        </w:rPr>
        <w:t>Cilji v zvezi z izvedbo investicije bodo doseženi do 31. decembra 2025.</w:t>
      </w:r>
    </w:p>
    <w:p w14:paraId="6CC68C46" w14:textId="58367F27" w:rsidR="003C6015" w:rsidRPr="00DD6A04" w:rsidRDefault="003C6015" w:rsidP="003C6015">
      <w:pPr>
        <w:spacing w:line="240" w:lineRule="auto"/>
        <w:jc w:val="both"/>
        <w:rPr>
          <w:noProof/>
          <w:u w:val="single"/>
        </w:rPr>
      </w:pPr>
      <w:r>
        <w:rPr>
          <w:noProof/>
          <w:u w:val="single"/>
        </w:rPr>
        <w:t>Investicija F.</w:t>
      </w:r>
      <w:r>
        <w:rPr>
          <w:noProof/>
        </w:rPr>
        <w:t xml:space="preserve"> </w:t>
      </w:r>
      <w:bookmarkStart w:id="9" w:name="_Hlk143101554"/>
      <w:r>
        <w:rPr>
          <w:noProof/>
          <w:u w:val="single"/>
        </w:rPr>
        <w:t xml:space="preserve">Zmanjševanje poplavne ogroženosti ter zmanjševanje tveganja za druge podnebno pogojene nesreče </w:t>
      </w:r>
      <w:bookmarkEnd w:id="9"/>
    </w:p>
    <w:p w14:paraId="18005C68" w14:textId="25B3F1C2" w:rsidR="003C6015" w:rsidRPr="00DD6A04" w:rsidRDefault="003C6015" w:rsidP="003C6015">
      <w:pPr>
        <w:spacing w:line="240" w:lineRule="auto"/>
        <w:jc w:val="both"/>
        <w:rPr>
          <w:noProof/>
        </w:rPr>
      </w:pPr>
      <w:r>
        <w:rPr>
          <w:noProof/>
        </w:rPr>
        <w:t xml:space="preserve">Investicije za preprečevanje poplavne ogroženosti bodo vključevale zaščitne ukrepe kot so sistemi za zadrževanje vode in širjenje obstoječih razlivnih površin, kjer je to izvedljivo. V največji možni meri dajejo prednost rešitvam, ki temeljijo na naravi, in zelenim infrastrukturam. Poleg tega bodo specifične investicije usmerjene v tveganje plazov. </w:t>
      </w:r>
    </w:p>
    <w:p w14:paraId="60E5C8BD" w14:textId="6F3902B7" w:rsidR="003C6015" w:rsidRPr="00DD6A04" w:rsidRDefault="003C6015" w:rsidP="003C6015">
      <w:pPr>
        <w:spacing w:line="240" w:lineRule="auto"/>
        <w:jc w:val="both"/>
        <w:rPr>
          <w:noProof/>
        </w:rPr>
      </w:pPr>
      <w:r>
        <w:rPr>
          <w:noProof/>
        </w:rPr>
        <w:t xml:space="preserve">Rešitve, ki temeljijo na naravi, bodo vključene med merila za izbor projektov in bodo imele prednost, kjer so izvedljive. Projekti bodo skladni z ustreznimi prilogami k veljavnim delegiranim uredbam Komisije, ki dopolnjujejo Uredbo o taksonomiji (EU) 2020/852. </w:t>
      </w:r>
    </w:p>
    <w:p w14:paraId="6A52D505" w14:textId="77777777" w:rsidR="003C6015" w:rsidRPr="00DD6A04" w:rsidRDefault="003C6015" w:rsidP="003C6015">
      <w:pPr>
        <w:spacing w:line="240" w:lineRule="auto"/>
        <w:jc w:val="both"/>
        <w:rPr>
          <w:noProof/>
        </w:rPr>
      </w:pPr>
      <w:r>
        <w:rPr>
          <w:noProof/>
        </w:rPr>
        <w:t>Glede na opis ukrepa ter mejnike in cilje, ki jih mora Slovenija doseči, ta ukrep naj ne bi bistveno škodoval okoljskim ciljem v smislu člena 17 Uredbe (EU) 2020/852. Zlasti bo dokazana popolna in vsebinska skladnost z veljavnimi pravnimi določbami.</w:t>
      </w:r>
    </w:p>
    <w:p w14:paraId="06C32345" w14:textId="77777777" w:rsidR="003C6015" w:rsidRPr="00DD6A04" w:rsidRDefault="003C6015" w:rsidP="003C6015">
      <w:pPr>
        <w:spacing w:line="240" w:lineRule="auto"/>
        <w:jc w:val="both"/>
        <w:rPr>
          <w:noProof/>
        </w:rPr>
      </w:pPr>
      <w:r>
        <w:rPr>
          <w:noProof/>
        </w:rPr>
        <w:t>Investicija bo dokončana do 30. junija 2026.</w:t>
      </w:r>
    </w:p>
    <w:p w14:paraId="5C659385" w14:textId="77777777" w:rsidR="003C6015" w:rsidRPr="00DD6A04" w:rsidRDefault="003C6015" w:rsidP="003C6015">
      <w:pPr>
        <w:spacing w:line="240" w:lineRule="auto"/>
        <w:jc w:val="both"/>
        <w:rPr>
          <w:noProof/>
          <w:u w:val="single"/>
        </w:rPr>
      </w:pPr>
      <w:r>
        <w:rPr>
          <w:noProof/>
          <w:u w:val="single"/>
        </w:rPr>
        <w:t xml:space="preserve">Investicija G. Center za semenarstvo, drevesničarstvo in varstvo gozdov </w:t>
      </w:r>
    </w:p>
    <w:p w14:paraId="3FD92EC8" w14:textId="77777777" w:rsidR="003C6015" w:rsidRPr="00DD6A04" w:rsidRDefault="003C6015" w:rsidP="003C6015">
      <w:pPr>
        <w:spacing w:line="240" w:lineRule="auto"/>
        <w:jc w:val="both"/>
        <w:rPr>
          <w:noProof/>
        </w:rPr>
      </w:pPr>
      <w:r>
        <w:rPr>
          <w:noProof/>
        </w:rPr>
        <w:t>Cilj investicije je povečati dolgoročno količino, kakovosti in odpornost gozdov EU, zlasti pred požari, škodljivci in drugimi grožnjami, ki se bodo zaradi podnebnih sprememb verjetno povečale. Še naprej se bodo razvijale biotski raznovrstnosti prijazne gozdarske prakse s poudarkom na genskem ohranjanju in genski raznovrstnosti.</w:t>
      </w:r>
    </w:p>
    <w:p w14:paraId="09E483DA" w14:textId="77777777" w:rsidR="003C6015" w:rsidRPr="00DD6A04" w:rsidRDefault="003C6015" w:rsidP="003C6015">
      <w:pPr>
        <w:spacing w:line="240" w:lineRule="auto"/>
        <w:jc w:val="both"/>
        <w:rPr>
          <w:noProof/>
        </w:rPr>
      </w:pPr>
      <w:r>
        <w:rPr>
          <w:noProof/>
        </w:rPr>
        <w:t xml:space="preserve">Pri izgradnji potrebne energetsko učinkovite raziskovalne infrastrukture, vključno z oddelkom za semenarstvo, oddelkom za drevesničarstvo in oddelkom za varstvo gozdov, se bo upoštevala potreba po koncentraciji infrastrukture in baze znanja za nadaljnje inovacije, razvoj in raziskave na tem področju. </w:t>
      </w:r>
    </w:p>
    <w:p w14:paraId="1EA309D4" w14:textId="77777777" w:rsidR="003C6015" w:rsidRPr="00DD6A04" w:rsidRDefault="003C6015" w:rsidP="003C6015">
      <w:pPr>
        <w:spacing w:line="240" w:lineRule="auto"/>
        <w:jc w:val="both"/>
        <w:rPr>
          <w:noProof/>
        </w:rPr>
      </w:pPr>
      <w:r>
        <w:rPr>
          <w:noProof/>
        </w:rPr>
        <w:t xml:space="preserve">Investicijo bo izvedel Gozdarski inštitut Slovenije, in sicer z javnimi razpisi in ob upoštevanju zahtev glede zelenih javnih naročil. </w:t>
      </w:r>
    </w:p>
    <w:p w14:paraId="6FBCD65D" w14:textId="792A1F09" w:rsidR="003C6015" w:rsidRPr="00DD6A04" w:rsidRDefault="003C6015" w:rsidP="003C6015">
      <w:pPr>
        <w:spacing w:line="240" w:lineRule="auto"/>
        <w:jc w:val="both"/>
        <w:rPr>
          <w:noProof/>
        </w:rPr>
      </w:pPr>
      <w:r>
        <w:rPr>
          <w:noProof/>
        </w:rPr>
        <w:t>Investicija bo dokončana do 31. decembra 2025.</w:t>
      </w:r>
    </w:p>
    <w:p w14:paraId="3A78B183" w14:textId="77777777" w:rsidR="003C6015" w:rsidRPr="00DD6A04" w:rsidRDefault="003C6015" w:rsidP="003C6015">
      <w:pPr>
        <w:spacing w:line="240" w:lineRule="auto"/>
        <w:jc w:val="both"/>
        <w:rPr>
          <w:noProof/>
          <w:u w:val="single"/>
        </w:rPr>
      </w:pPr>
      <w:r>
        <w:rPr>
          <w:noProof/>
          <w:u w:val="single"/>
        </w:rPr>
        <w:t>Investicija F. Projekti odvajanja in čiščenja komunalne odpadne vode</w:t>
      </w:r>
      <w:r>
        <w:rPr>
          <w:noProof/>
          <w:color w:val="006100"/>
          <w:sz w:val="22"/>
        </w:rPr>
        <w:t xml:space="preserve"> </w:t>
      </w:r>
    </w:p>
    <w:p w14:paraId="433EAEA7" w14:textId="77777777" w:rsidR="003C6015" w:rsidRPr="00DD6A04" w:rsidRDefault="003C6015" w:rsidP="003C6015">
      <w:pPr>
        <w:spacing w:line="240" w:lineRule="auto"/>
        <w:jc w:val="both"/>
        <w:rPr>
          <w:noProof/>
        </w:rPr>
      </w:pPr>
      <w:r>
        <w:rPr>
          <w:noProof/>
        </w:rPr>
        <w:t>Z investicijo se bosta financirali izgradnja dodatnih sistemov za odpadno vodo od začetka do konca, pri katerih bo neto poraba energije enaka nič, in prenova dodatnega sistema za odpadno vodo od začetka do konca, da se povprečna poraba energije zmanjša za vsaj 10 % (izključno z ukrepi za energetsko učinkovitost in ne s spremembami materialov ali spremembami v obremenitvi). Investicije se bodo osredotočale na projekte v zvezi s sistemi za odpadno vodo, ki prispevajo k območjem Natura 2000 in vodovarstvenim območjem.</w:t>
      </w:r>
    </w:p>
    <w:p w14:paraId="56BF221F" w14:textId="35CD248F" w:rsidR="003C6015" w:rsidRPr="00DD6A04" w:rsidRDefault="003C6015" w:rsidP="003C6015">
      <w:pPr>
        <w:spacing w:line="240" w:lineRule="auto"/>
        <w:jc w:val="both"/>
        <w:rPr>
          <w:noProof/>
        </w:rPr>
      </w:pPr>
      <w:r>
        <w:rPr>
          <w:noProof/>
        </w:rPr>
        <w:t xml:space="preserve">Investicija bo izvedena z nepovratnimi sredstvi za občine za projekte, ki jih bo s posebnim razpisom za projekte izbralo Ministrstvo za okolje in prostor. </w:t>
      </w:r>
    </w:p>
    <w:p w14:paraId="7D8CD6D9" w14:textId="77777777" w:rsidR="003C6015" w:rsidRPr="00DD6A04" w:rsidRDefault="003C6015" w:rsidP="003C6015">
      <w:pPr>
        <w:spacing w:line="240" w:lineRule="auto"/>
        <w:jc w:val="both"/>
        <w:rPr>
          <w:noProof/>
        </w:rPr>
      </w:pPr>
      <w:r>
        <w:rPr>
          <w:noProof/>
        </w:rPr>
        <w:t>Investicija bo dokončana do 30. junija 2026.</w:t>
      </w:r>
    </w:p>
    <w:p w14:paraId="1F1B5000" w14:textId="77777777" w:rsidR="003C6015" w:rsidRPr="00DD6A04" w:rsidRDefault="003C6015" w:rsidP="003C6015">
      <w:pPr>
        <w:spacing w:line="240" w:lineRule="auto"/>
        <w:jc w:val="both"/>
        <w:rPr>
          <w:noProof/>
          <w:u w:val="single"/>
        </w:rPr>
      </w:pPr>
      <w:r>
        <w:rPr>
          <w:noProof/>
          <w:u w:val="single"/>
        </w:rPr>
        <w:t>Investicija I. Projekti oskrbe in varčevanja s pitno vodo</w:t>
      </w:r>
    </w:p>
    <w:p w14:paraId="75D8CB91" w14:textId="77777777" w:rsidR="003C6015" w:rsidRPr="00DD6A04" w:rsidRDefault="003C6015" w:rsidP="003C6015">
      <w:pPr>
        <w:spacing w:line="240" w:lineRule="auto"/>
        <w:jc w:val="both"/>
        <w:rPr>
          <w:noProof/>
        </w:rPr>
      </w:pPr>
      <w:r>
        <w:rPr>
          <w:noProof/>
        </w:rPr>
        <w:t xml:space="preserve">Cilj investicije je obravnavati izgube vode v Sloveniji, ki so zaradi starosti vodne infrastrukture še vedno znatne. </w:t>
      </w:r>
    </w:p>
    <w:p w14:paraId="19066307" w14:textId="33011546" w:rsidR="003C6015" w:rsidRPr="00DD6A04" w:rsidRDefault="003C6015" w:rsidP="003C6015">
      <w:pPr>
        <w:spacing w:line="240" w:lineRule="auto"/>
        <w:jc w:val="both"/>
        <w:rPr>
          <w:noProof/>
        </w:rPr>
      </w:pPr>
      <w:r>
        <w:rPr>
          <w:noProof/>
        </w:rPr>
        <w:t>Investicija vključuje izgradnjo sistemov za oskrbo s pitno vodo s povprečno porabo energije ≤</w:t>
      </w:r>
      <w:r w:rsidR="009F5B52">
        <w:rPr>
          <w:noProof/>
        </w:rPr>
        <w:t> </w:t>
      </w:r>
      <w:r>
        <w:rPr>
          <w:noProof/>
        </w:rPr>
        <w:t>0,5 kWh ali infrastrukturnim indeksom izgub ≤</w:t>
      </w:r>
      <w:r w:rsidR="009F5B52">
        <w:rPr>
          <w:noProof/>
        </w:rPr>
        <w:t> </w:t>
      </w:r>
      <w:r>
        <w:rPr>
          <w:noProof/>
        </w:rPr>
        <w:t xml:space="preserve">1,5 ter prenovo obstoječih sistemov za oskrbo s pitno vodo, da se povprečna poraba energije zmanjša za več kot 20 % ali da se izgube zmanjšajo za več kot 20 %. </w:t>
      </w:r>
    </w:p>
    <w:p w14:paraId="2511C602" w14:textId="1564F193" w:rsidR="003C6015" w:rsidRPr="00DD6A04" w:rsidRDefault="003C6015" w:rsidP="003C6015">
      <w:pPr>
        <w:spacing w:line="240" w:lineRule="auto"/>
        <w:jc w:val="both"/>
        <w:rPr>
          <w:noProof/>
        </w:rPr>
      </w:pPr>
      <w:r>
        <w:rPr>
          <w:noProof/>
        </w:rPr>
        <w:t xml:space="preserve">Investicija bo izvedena z nepovratnimi sredstvi za občine za projekte, ki jih bo s posebnim razpisom za projekte izbralo Ministrstvo za okolje in prostor. </w:t>
      </w:r>
    </w:p>
    <w:p w14:paraId="35E5F2A0" w14:textId="77777777" w:rsidR="003C6015" w:rsidRPr="00DD6A04" w:rsidRDefault="003C6015" w:rsidP="003C6015">
      <w:pPr>
        <w:spacing w:line="240" w:lineRule="auto"/>
        <w:jc w:val="both"/>
        <w:rPr>
          <w:noProof/>
        </w:rPr>
      </w:pPr>
      <w:r>
        <w:rPr>
          <w:noProof/>
        </w:rPr>
        <w:t>Investicija bo dokončana do 30. junija 2026.</w:t>
      </w:r>
    </w:p>
    <w:p w14:paraId="5199AAEE" w14:textId="77777777" w:rsidR="003C6015" w:rsidRPr="00DD6A04" w:rsidRDefault="003C6015" w:rsidP="003C6015">
      <w:pPr>
        <w:spacing w:line="240" w:lineRule="auto"/>
        <w:ind w:left="850"/>
        <w:jc w:val="both"/>
        <w:rPr>
          <w:noProof/>
          <w:lang w:val="en-GB"/>
        </w:rPr>
        <w:sectPr w:rsidR="003C6015" w:rsidRPr="00DD6A04" w:rsidSect="007901EF">
          <w:headerReference w:type="even" r:id="rId66"/>
          <w:headerReference w:type="default" r:id="rId67"/>
          <w:footerReference w:type="even" r:id="rId68"/>
          <w:footerReference w:type="default" r:id="rId69"/>
          <w:headerReference w:type="first" r:id="rId70"/>
          <w:footerReference w:type="first" r:id="rId71"/>
          <w:pgSz w:w="11907" w:h="16839"/>
          <w:pgMar w:top="1134" w:right="1134" w:bottom="1134" w:left="1134" w:header="567" w:footer="567" w:gutter="0"/>
          <w:cols w:space="720"/>
          <w:docGrid w:linePitch="326"/>
        </w:sectPr>
      </w:pPr>
    </w:p>
    <w:p w14:paraId="0F3F5F41" w14:textId="77777777" w:rsidR="003C6015" w:rsidRPr="00DD6A04" w:rsidRDefault="003C6015" w:rsidP="003C6015">
      <w:pPr>
        <w:spacing w:line="240" w:lineRule="auto"/>
        <w:ind w:left="850"/>
        <w:jc w:val="both"/>
        <w:rPr>
          <w:noProof/>
          <w:lang w:val="en-GB"/>
        </w:rPr>
      </w:pPr>
    </w:p>
    <w:p w14:paraId="0D35FE95" w14:textId="77777777" w:rsidR="003C6015" w:rsidRPr="00DD6A04" w:rsidRDefault="003C6015" w:rsidP="003C6015">
      <w:pPr>
        <w:spacing w:line="240" w:lineRule="auto"/>
        <w:ind w:left="850"/>
        <w:jc w:val="both"/>
        <w:rPr>
          <w:b/>
          <w:noProof/>
          <w:u w:val="single"/>
        </w:rPr>
      </w:pPr>
      <w:r>
        <w:rPr>
          <w:b/>
          <w:noProof/>
          <w:u w:val="single"/>
        </w:rPr>
        <w:t xml:space="preserve">C.2 </w:t>
      </w:r>
      <w:r>
        <w:rPr>
          <w:b/>
          <w:noProof/>
          <w:u w:val="single"/>
        </w:rPr>
        <w:tab/>
        <w:t>Mejniki, cilji, kazalniki in časovni razpored za spremljanje in izvajanje nepovratne finančne podpore</w:t>
      </w:r>
    </w:p>
    <w:tbl>
      <w:tblPr>
        <w:tblW w:w="15402" w:type="dxa"/>
        <w:jc w:val="center"/>
        <w:tblLayout w:type="fixed"/>
        <w:tblLook w:val="04A0" w:firstRow="1" w:lastRow="0" w:firstColumn="1" w:lastColumn="0" w:noHBand="0" w:noVBand="1"/>
      </w:tblPr>
      <w:tblGrid>
        <w:gridCol w:w="1409"/>
        <w:gridCol w:w="1559"/>
        <w:gridCol w:w="1074"/>
        <w:gridCol w:w="1531"/>
        <w:gridCol w:w="1647"/>
        <w:gridCol w:w="1134"/>
        <w:gridCol w:w="1276"/>
        <w:gridCol w:w="828"/>
        <w:gridCol w:w="873"/>
        <w:gridCol w:w="851"/>
        <w:gridCol w:w="3220"/>
      </w:tblGrid>
      <w:tr w:rsidR="007D2EF7" w:rsidRPr="00DD6A04" w14:paraId="7C58F377" w14:textId="77777777" w:rsidTr="00BE4788">
        <w:trPr>
          <w:trHeight w:val="740"/>
          <w:tblHeader/>
          <w:jc w:val="center"/>
        </w:trPr>
        <w:tc>
          <w:tcPr>
            <w:tcW w:w="14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5C633B" w14:textId="77777777" w:rsidR="007D2EF7" w:rsidRPr="00DD6A04" w:rsidRDefault="007D2EF7" w:rsidP="007D2EF7">
            <w:pPr>
              <w:spacing w:before="0" w:after="0" w:line="240" w:lineRule="auto"/>
              <w:jc w:val="center"/>
              <w:rPr>
                <w:rFonts w:eastAsia="Times New Roman"/>
                <w:b/>
                <w:noProof/>
              </w:rPr>
            </w:pPr>
            <w:r>
              <w:rPr>
                <w:b/>
                <w:noProof/>
              </w:rPr>
              <w:t>Zaporedna številka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57D5E7" w14:textId="77777777" w:rsidR="007D2EF7" w:rsidRPr="00DD6A04" w:rsidRDefault="007D2EF7" w:rsidP="007D2EF7">
            <w:pPr>
              <w:spacing w:before="0" w:after="0" w:line="240" w:lineRule="auto"/>
              <w:jc w:val="center"/>
              <w:rPr>
                <w:rFonts w:eastAsia="Times New Roman"/>
                <w:b/>
                <w:noProof/>
              </w:rPr>
            </w:pPr>
            <w:r>
              <w:rPr>
                <w:b/>
                <w:noProof/>
              </w:rPr>
              <w:t>Povezani ukrep (reforma ali naložba)</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B5E858" w14:textId="77777777" w:rsidR="007D2EF7" w:rsidRPr="00DD6A04" w:rsidRDefault="007D2EF7" w:rsidP="007D2EF7">
            <w:pPr>
              <w:spacing w:before="0" w:after="0" w:line="240" w:lineRule="auto"/>
              <w:jc w:val="center"/>
              <w:rPr>
                <w:rFonts w:eastAsia="Times New Roman"/>
                <w:b/>
                <w:noProof/>
              </w:rPr>
            </w:pPr>
            <w:r>
              <w:rPr>
                <w:b/>
                <w:noProof/>
              </w:rPr>
              <w:t>Mejnik/cilj</w:t>
            </w:r>
          </w:p>
        </w:tc>
        <w:tc>
          <w:tcPr>
            <w:tcW w:w="1531" w:type="dxa"/>
            <w:vMerge w:val="restart"/>
            <w:tcBorders>
              <w:top w:val="single" w:sz="4" w:space="0" w:color="auto"/>
              <w:left w:val="nil"/>
              <w:bottom w:val="single" w:sz="4" w:space="0" w:color="auto"/>
              <w:right w:val="single" w:sz="4" w:space="0" w:color="auto"/>
            </w:tcBorders>
            <w:shd w:val="clear" w:color="auto" w:fill="BDD7EE"/>
            <w:vAlign w:val="center"/>
            <w:hideMark/>
          </w:tcPr>
          <w:p w14:paraId="2A9F4140" w14:textId="77777777" w:rsidR="007D2EF7" w:rsidRPr="00DD6A04" w:rsidRDefault="007D2EF7" w:rsidP="007D2EF7">
            <w:pPr>
              <w:spacing w:before="0" w:after="0" w:line="240" w:lineRule="auto"/>
              <w:jc w:val="center"/>
              <w:rPr>
                <w:rFonts w:eastAsia="Times New Roman"/>
                <w:b/>
                <w:noProof/>
              </w:rPr>
            </w:pPr>
            <w:r>
              <w:rPr>
                <w:b/>
                <w:noProof/>
              </w:rPr>
              <w:t>Ime</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970074" w14:textId="77777777" w:rsidR="007D2EF7" w:rsidRPr="00DD6A04" w:rsidRDefault="007D2EF7" w:rsidP="007D2EF7">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238" w:type="dxa"/>
            <w:gridSpan w:val="3"/>
            <w:tcBorders>
              <w:top w:val="single" w:sz="4" w:space="0" w:color="auto"/>
              <w:left w:val="nil"/>
              <w:bottom w:val="single" w:sz="4" w:space="0" w:color="auto"/>
              <w:right w:val="single" w:sz="4" w:space="0" w:color="auto"/>
            </w:tcBorders>
            <w:shd w:val="clear" w:color="auto" w:fill="BDD7EE"/>
            <w:vAlign w:val="center"/>
            <w:hideMark/>
          </w:tcPr>
          <w:p w14:paraId="4DF93190" w14:textId="1A117D8F" w:rsidR="007D2EF7" w:rsidRPr="00DD6A04" w:rsidRDefault="007D2EF7" w:rsidP="007D2EF7">
            <w:pPr>
              <w:spacing w:before="0" w:after="0" w:line="240" w:lineRule="auto"/>
              <w:jc w:val="center"/>
              <w:rPr>
                <w:rFonts w:eastAsia="Times New Roman"/>
                <w:b/>
                <w:noProof/>
              </w:rPr>
            </w:pPr>
            <w:r>
              <w:rPr>
                <w:b/>
                <w:noProof/>
              </w:rPr>
              <w:t>Kvantitativni kazalniki (za cilje)</w:t>
            </w:r>
          </w:p>
        </w:tc>
        <w:tc>
          <w:tcPr>
            <w:tcW w:w="1724" w:type="dxa"/>
            <w:gridSpan w:val="2"/>
            <w:tcBorders>
              <w:top w:val="single" w:sz="4" w:space="0" w:color="auto"/>
              <w:left w:val="nil"/>
              <w:bottom w:val="single" w:sz="4" w:space="0" w:color="auto"/>
              <w:right w:val="single" w:sz="4" w:space="0" w:color="auto"/>
            </w:tcBorders>
            <w:shd w:val="clear" w:color="auto" w:fill="BDD7EE"/>
            <w:vAlign w:val="center"/>
            <w:hideMark/>
          </w:tcPr>
          <w:p w14:paraId="6BEF4FD4" w14:textId="77777777" w:rsidR="007D2EF7" w:rsidRPr="00DD6A04" w:rsidRDefault="007D2EF7" w:rsidP="007D2EF7">
            <w:pPr>
              <w:spacing w:before="0" w:after="0" w:line="240" w:lineRule="auto"/>
              <w:jc w:val="center"/>
              <w:rPr>
                <w:rFonts w:eastAsia="Times New Roman"/>
                <w:b/>
                <w:noProof/>
              </w:rPr>
            </w:pPr>
            <w:r>
              <w:rPr>
                <w:b/>
                <w:noProof/>
              </w:rPr>
              <w:t xml:space="preserve">Okvirni časovni razpored za dokončanje </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D67525" w14:textId="77777777" w:rsidR="007D2EF7" w:rsidRPr="00DD6A04" w:rsidRDefault="007D2EF7" w:rsidP="007D2EF7">
            <w:pPr>
              <w:spacing w:before="0" w:after="0" w:line="240" w:lineRule="auto"/>
              <w:jc w:val="center"/>
              <w:rPr>
                <w:rFonts w:eastAsia="Times New Roman"/>
                <w:b/>
                <w:noProof/>
              </w:rPr>
            </w:pPr>
            <w:r>
              <w:rPr>
                <w:b/>
                <w:noProof/>
              </w:rPr>
              <w:t>Opis vsakega mejnika in cilja</w:t>
            </w:r>
          </w:p>
        </w:tc>
      </w:tr>
      <w:tr w:rsidR="006B18FC" w:rsidRPr="00DD6A04" w14:paraId="485C0280" w14:textId="77777777" w:rsidTr="00BE4788">
        <w:trPr>
          <w:trHeight w:val="751"/>
          <w:tblHeader/>
          <w:jc w:val="center"/>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7B811310" w14:textId="77777777" w:rsidR="007D2EF7" w:rsidRPr="00DD6A04" w:rsidRDefault="007D2EF7" w:rsidP="007D2EF7">
            <w:pPr>
              <w:spacing w:before="0" w:after="0" w:line="240" w:lineRule="auto"/>
              <w:rPr>
                <w:rFonts w:eastAsia="Times New Roman"/>
                <w:b/>
                <w:noProof/>
                <w:sz w:val="22"/>
                <w:lang w:val="en-GB"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C55050" w14:textId="77777777" w:rsidR="007D2EF7" w:rsidRPr="00DD6A04" w:rsidRDefault="007D2EF7" w:rsidP="007D2EF7">
            <w:pPr>
              <w:spacing w:before="0" w:after="0" w:line="240" w:lineRule="auto"/>
              <w:rPr>
                <w:rFonts w:eastAsia="Times New Roman"/>
                <w:b/>
                <w:noProof/>
                <w:sz w:val="22"/>
                <w:lang w:val="en-GB" w:eastAsia="en-GB"/>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9A6DE83" w14:textId="77777777" w:rsidR="007D2EF7" w:rsidRPr="00DD6A04" w:rsidRDefault="007D2EF7" w:rsidP="007D2EF7">
            <w:pPr>
              <w:spacing w:before="0" w:after="0" w:line="240" w:lineRule="auto"/>
              <w:rPr>
                <w:rFonts w:eastAsia="Times New Roman"/>
                <w:b/>
                <w:noProof/>
                <w:sz w:val="22"/>
                <w:lang w:val="en-GB" w:eastAsia="en-GB"/>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01B30C14" w14:textId="77777777" w:rsidR="007D2EF7" w:rsidRPr="00DD6A04" w:rsidRDefault="007D2EF7" w:rsidP="007D2EF7">
            <w:pPr>
              <w:spacing w:before="0" w:after="0" w:line="240" w:lineRule="auto"/>
              <w:rPr>
                <w:rFonts w:eastAsia="Times New Roman"/>
                <w:b/>
                <w:noProof/>
                <w:sz w:val="22"/>
                <w:lang w:val="en-GB" w:eastAsia="en-GB"/>
              </w:rPr>
            </w:pPr>
          </w:p>
        </w:tc>
        <w:tc>
          <w:tcPr>
            <w:tcW w:w="1647" w:type="dxa"/>
            <w:vMerge/>
            <w:tcBorders>
              <w:left w:val="single" w:sz="4" w:space="0" w:color="auto"/>
            </w:tcBorders>
            <w:vAlign w:val="center"/>
            <w:hideMark/>
          </w:tcPr>
          <w:p w14:paraId="4CE30F7D" w14:textId="77777777" w:rsidR="007D2EF7" w:rsidRPr="00DD6A04" w:rsidRDefault="007D2EF7" w:rsidP="007D2EF7">
            <w:pPr>
              <w:spacing w:before="0" w:after="0" w:line="240" w:lineRule="auto"/>
              <w:rPr>
                <w:rFonts w:eastAsia="Times New Roman"/>
                <w:b/>
                <w:noProof/>
                <w:sz w:val="22"/>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DD61F68" w14:textId="77777777" w:rsidR="007D2EF7" w:rsidRPr="00DD6A04" w:rsidRDefault="007D2EF7" w:rsidP="007D2EF7">
            <w:pPr>
              <w:spacing w:before="0" w:after="0" w:line="240" w:lineRule="auto"/>
              <w:jc w:val="center"/>
              <w:rPr>
                <w:rFonts w:eastAsia="Times New Roman"/>
                <w:b/>
                <w:noProof/>
                <w:sz w:val="22"/>
              </w:rPr>
            </w:pPr>
            <w:r>
              <w:rPr>
                <w:b/>
                <w:noProof/>
                <w:sz w:val="22"/>
              </w:rPr>
              <w:t>Enota merjenja</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7F9FF6" w14:textId="77777777" w:rsidR="007D2EF7" w:rsidRPr="00DD6A04" w:rsidRDefault="007D2EF7" w:rsidP="007D2EF7">
            <w:pPr>
              <w:spacing w:before="0" w:after="0" w:line="240" w:lineRule="auto"/>
              <w:jc w:val="center"/>
              <w:rPr>
                <w:rFonts w:eastAsia="Times New Roman"/>
                <w:b/>
                <w:noProof/>
                <w:sz w:val="22"/>
              </w:rPr>
            </w:pPr>
            <w:r>
              <w:rPr>
                <w:b/>
                <w:noProof/>
                <w:sz w:val="22"/>
              </w:rPr>
              <w:t xml:space="preserve">Izhodiščna raven </w:t>
            </w:r>
          </w:p>
        </w:tc>
        <w:tc>
          <w:tcPr>
            <w:tcW w:w="82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D288FA2" w14:textId="77777777" w:rsidR="007D2EF7" w:rsidRPr="00DD6A04" w:rsidRDefault="007D2EF7" w:rsidP="007D2EF7">
            <w:pPr>
              <w:spacing w:before="0" w:after="0" w:line="240" w:lineRule="auto"/>
              <w:jc w:val="center"/>
              <w:rPr>
                <w:rFonts w:eastAsia="Times New Roman"/>
                <w:b/>
                <w:noProof/>
                <w:sz w:val="22"/>
              </w:rPr>
            </w:pPr>
            <w:r>
              <w:rPr>
                <w:b/>
                <w:noProof/>
                <w:sz w:val="22"/>
              </w:rPr>
              <w:t xml:space="preserve">Ciljna raven </w:t>
            </w:r>
          </w:p>
        </w:tc>
        <w:tc>
          <w:tcPr>
            <w:tcW w:w="87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1B2FF0" w14:textId="77777777" w:rsidR="007D2EF7" w:rsidRPr="00DD6A04" w:rsidRDefault="007D2EF7" w:rsidP="007D2EF7">
            <w:pPr>
              <w:spacing w:before="0" w:after="0" w:line="240" w:lineRule="auto"/>
              <w:jc w:val="center"/>
              <w:rPr>
                <w:rFonts w:eastAsia="Times New Roman"/>
                <w:b/>
                <w:noProof/>
                <w:sz w:val="22"/>
              </w:rPr>
            </w:pPr>
            <w:r>
              <w:rPr>
                <w:b/>
                <w:noProof/>
                <w:sz w:val="22"/>
              </w:rPr>
              <w:t>Četrtletje</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60AEE37" w14:textId="77777777" w:rsidR="007D2EF7" w:rsidRPr="00DD6A04" w:rsidRDefault="007D2EF7" w:rsidP="007D2EF7">
            <w:pPr>
              <w:spacing w:before="0" w:after="0" w:line="240" w:lineRule="auto"/>
              <w:jc w:val="center"/>
              <w:rPr>
                <w:rFonts w:eastAsia="Times New Roman"/>
                <w:b/>
                <w:noProof/>
                <w:sz w:val="22"/>
              </w:rPr>
            </w:pPr>
            <w:r>
              <w:rPr>
                <w:b/>
                <w:noProof/>
                <w:sz w:val="22"/>
              </w:rPr>
              <w:t>Leto</w:t>
            </w:r>
          </w:p>
        </w:tc>
        <w:tc>
          <w:tcPr>
            <w:tcW w:w="3220" w:type="dxa"/>
            <w:vMerge/>
            <w:tcBorders>
              <w:bottom w:val="single" w:sz="4" w:space="0" w:color="auto"/>
              <w:right w:val="single" w:sz="4" w:space="0" w:color="auto"/>
            </w:tcBorders>
            <w:vAlign w:val="center"/>
            <w:hideMark/>
          </w:tcPr>
          <w:p w14:paraId="7C61A0A0" w14:textId="77777777" w:rsidR="007D2EF7" w:rsidRPr="00DD6A04" w:rsidRDefault="007D2EF7" w:rsidP="007D2EF7">
            <w:pPr>
              <w:spacing w:before="0" w:after="0" w:line="240" w:lineRule="auto"/>
              <w:rPr>
                <w:rFonts w:eastAsia="Times New Roman"/>
                <w:b/>
                <w:noProof/>
                <w:sz w:val="22"/>
                <w:lang w:val="en-GB" w:eastAsia="en-GB"/>
              </w:rPr>
            </w:pPr>
          </w:p>
        </w:tc>
      </w:tr>
      <w:tr w:rsidR="006B18FC" w:rsidRPr="00DD6A04" w14:paraId="5092F56A"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0CD8C364" w14:textId="1D70DCAC" w:rsidR="007D2EF7" w:rsidRPr="00DD6A04" w:rsidRDefault="007D2EF7" w:rsidP="007D2EF7">
            <w:pPr>
              <w:spacing w:before="0" w:after="0" w:line="240" w:lineRule="auto"/>
              <w:rPr>
                <w:rFonts w:eastAsia="Times New Roman"/>
                <w:noProof/>
                <w:color w:val="006100"/>
                <w:sz w:val="22"/>
              </w:rPr>
            </w:pPr>
            <w:r>
              <w:rPr>
                <w:noProof/>
                <w:color w:val="006100"/>
                <w:sz w:val="22"/>
              </w:rPr>
              <w:t>29</w:t>
            </w:r>
          </w:p>
        </w:tc>
        <w:tc>
          <w:tcPr>
            <w:tcW w:w="1559" w:type="dxa"/>
            <w:tcBorders>
              <w:top w:val="single" w:sz="4" w:space="0" w:color="auto"/>
              <w:left w:val="nil"/>
              <w:bottom w:val="single" w:sz="4" w:space="0" w:color="auto"/>
              <w:right w:val="single" w:sz="4" w:space="0" w:color="auto"/>
            </w:tcBorders>
            <w:shd w:val="clear" w:color="auto" w:fill="C6EFCE"/>
            <w:noWrap/>
          </w:tcPr>
          <w:p w14:paraId="72CC9377" w14:textId="0DCE8715" w:rsidR="007D2EF7" w:rsidRPr="00DD6A04" w:rsidRDefault="007D2EF7" w:rsidP="007D2EF7">
            <w:pPr>
              <w:spacing w:before="0" w:after="0" w:line="240" w:lineRule="auto"/>
              <w:rPr>
                <w:rFonts w:eastAsia="Times New Roman"/>
                <w:noProof/>
                <w:color w:val="006100"/>
                <w:sz w:val="22"/>
              </w:rPr>
            </w:pPr>
            <w:r>
              <w:rPr>
                <w:noProof/>
                <w:color w:val="006100"/>
                <w:sz w:val="22"/>
              </w:rPr>
              <w:t>A: Krepitev pripravljenosti in odziva v primeru podnebno pogojenih nesreč</w:t>
            </w:r>
          </w:p>
        </w:tc>
        <w:tc>
          <w:tcPr>
            <w:tcW w:w="1074" w:type="dxa"/>
            <w:tcBorders>
              <w:top w:val="single" w:sz="4" w:space="0" w:color="auto"/>
              <w:left w:val="nil"/>
              <w:bottom w:val="single" w:sz="4" w:space="0" w:color="auto"/>
              <w:right w:val="single" w:sz="4" w:space="0" w:color="auto"/>
            </w:tcBorders>
            <w:shd w:val="clear" w:color="auto" w:fill="C6EFCE"/>
            <w:noWrap/>
          </w:tcPr>
          <w:p w14:paraId="2D4228A7" w14:textId="4720E6E0"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31" w:type="dxa"/>
            <w:tcBorders>
              <w:top w:val="single" w:sz="4" w:space="0" w:color="auto"/>
              <w:left w:val="nil"/>
              <w:bottom w:val="single" w:sz="4" w:space="0" w:color="auto"/>
              <w:right w:val="single" w:sz="4" w:space="0" w:color="auto"/>
            </w:tcBorders>
            <w:shd w:val="clear" w:color="auto" w:fill="C6EFCE"/>
            <w:noWrap/>
          </w:tcPr>
          <w:p w14:paraId="5E1E6236" w14:textId="54460CB2"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Začetek veljavnosti Resolucije o nacionalnem programu varstva pred naravnimi in drugimi nesrečami </w:t>
            </w:r>
          </w:p>
        </w:tc>
        <w:tc>
          <w:tcPr>
            <w:tcW w:w="1647" w:type="dxa"/>
            <w:tcBorders>
              <w:top w:val="single" w:sz="4" w:space="0" w:color="auto"/>
              <w:left w:val="nil"/>
              <w:bottom w:val="single" w:sz="4" w:space="0" w:color="auto"/>
              <w:right w:val="single" w:sz="4" w:space="0" w:color="auto"/>
            </w:tcBorders>
            <w:shd w:val="clear" w:color="auto" w:fill="C6EFCE"/>
            <w:noWrap/>
          </w:tcPr>
          <w:p w14:paraId="4EAA9FC3" w14:textId="1E61E308" w:rsidR="007D2EF7" w:rsidRPr="00DD6A04" w:rsidRDefault="007D2EF7" w:rsidP="007D2EF7">
            <w:pPr>
              <w:spacing w:before="0" w:after="0" w:line="240" w:lineRule="auto"/>
              <w:rPr>
                <w:rFonts w:eastAsia="Times New Roman"/>
                <w:noProof/>
                <w:color w:val="006100"/>
                <w:sz w:val="22"/>
              </w:rPr>
            </w:pPr>
            <w:r>
              <w:rPr>
                <w:noProof/>
                <w:color w:val="006100"/>
                <w:sz w:val="22"/>
              </w:rPr>
              <w:t>Določba v Resoluciji, ki določa začetek veljavnosti nacionalnega programa varstva pred naravnimi in drugimi nesrečami</w:t>
            </w:r>
          </w:p>
        </w:tc>
        <w:tc>
          <w:tcPr>
            <w:tcW w:w="1134" w:type="dxa"/>
            <w:tcBorders>
              <w:top w:val="single" w:sz="4" w:space="0" w:color="auto"/>
              <w:left w:val="nil"/>
              <w:bottom w:val="single" w:sz="4" w:space="0" w:color="auto"/>
              <w:right w:val="single" w:sz="4" w:space="0" w:color="auto"/>
            </w:tcBorders>
            <w:shd w:val="clear" w:color="auto" w:fill="C6EFCE"/>
            <w:noWrap/>
          </w:tcPr>
          <w:p w14:paraId="02BFD622" w14:textId="7C148664"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1486851C" w14:textId="276604AD"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28" w:type="dxa"/>
            <w:tcBorders>
              <w:top w:val="single" w:sz="4" w:space="0" w:color="auto"/>
              <w:left w:val="nil"/>
              <w:bottom w:val="single" w:sz="4" w:space="0" w:color="auto"/>
              <w:right w:val="single" w:sz="4" w:space="0" w:color="auto"/>
            </w:tcBorders>
            <w:shd w:val="clear" w:color="auto" w:fill="C6EFCE"/>
            <w:noWrap/>
          </w:tcPr>
          <w:p w14:paraId="07AD43D7" w14:textId="7047A1D0"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73" w:type="dxa"/>
            <w:tcBorders>
              <w:top w:val="single" w:sz="4" w:space="0" w:color="auto"/>
              <w:left w:val="nil"/>
              <w:bottom w:val="single" w:sz="4" w:space="0" w:color="auto"/>
              <w:right w:val="single" w:sz="4" w:space="0" w:color="auto"/>
            </w:tcBorders>
            <w:shd w:val="clear" w:color="auto" w:fill="C6EFCE"/>
            <w:noWrap/>
          </w:tcPr>
          <w:p w14:paraId="1D105038" w14:textId="07179BA8"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15E24844" w14:textId="2FBB2F82" w:rsidR="007D2EF7" w:rsidRPr="00DD6A04" w:rsidRDefault="007D2EF7" w:rsidP="007D2EF7">
            <w:pPr>
              <w:spacing w:before="0" w:after="0" w:line="240" w:lineRule="auto"/>
              <w:rPr>
                <w:rFonts w:eastAsia="Times New Roman"/>
                <w:noProof/>
                <w:color w:val="006100"/>
                <w:sz w:val="22"/>
              </w:rPr>
            </w:pPr>
            <w:r>
              <w:rPr>
                <w:noProof/>
                <w:color w:val="006100"/>
                <w:sz w:val="22"/>
              </w:rPr>
              <w:t>2023</w:t>
            </w:r>
          </w:p>
        </w:tc>
        <w:tc>
          <w:tcPr>
            <w:tcW w:w="3220" w:type="dxa"/>
            <w:tcBorders>
              <w:top w:val="single" w:sz="4" w:space="0" w:color="auto"/>
              <w:left w:val="nil"/>
              <w:bottom w:val="single" w:sz="4" w:space="0" w:color="auto"/>
              <w:right w:val="single" w:sz="4" w:space="0" w:color="auto"/>
            </w:tcBorders>
            <w:shd w:val="clear" w:color="auto" w:fill="C6EFCE"/>
            <w:noWrap/>
          </w:tcPr>
          <w:p w14:paraId="24FB1CF7" w14:textId="3B1A5FE6"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 xml:space="preserve">Resolucijo bo sprejel Državni zbor Republike Slovenije. Resolucija bo opredeljevala organizacijo in odziv na podnebno pogojene nesreče, delovanje in usposabljanje novih modularnih enot za odziv na podnebno pogojene nesreče ter delovanje in vlogo obstoječih enot za odziv na podnebno pogojene nesreče. Njen cilj bo hitrejši, bolj usklajen in učinkovitejši odziv na nesreče, povezane s podnebjem (poplave, veliki požari v naravi in druge nesreče, povezane s podnebjem). </w:t>
            </w:r>
          </w:p>
        </w:tc>
      </w:tr>
      <w:tr w:rsidR="006B18FC" w:rsidRPr="00DD6A04" w14:paraId="46B106F1"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2BB205D4" w14:textId="7DDDD3F1" w:rsidR="007D2EF7" w:rsidRPr="00DD6A04" w:rsidRDefault="007D2EF7" w:rsidP="007D2EF7">
            <w:pPr>
              <w:spacing w:before="0" w:after="0" w:line="240" w:lineRule="auto"/>
              <w:rPr>
                <w:rFonts w:eastAsia="Times New Roman"/>
                <w:noProof/>
                <w:color w:val="006100"/>
                <w:sz w:val="22"/>
              </w:rPr>
            </w:pPr>
            <w:r>
              <w:rPr>
                <w:noProof/>
                <w:color w:val="006100"/>
                <w:sz w:val="22"/>
              </w:rPr>
              <w:t>30</w:t>
            </w:r>
          </w:p>
        </w:tc>
        <w:tc>
          <w:tcPr>
            <w:tcW w:w="1559" w:type="dxa"/>
            <w:tcBorders>
              <w:top w:val="single" w:sz="4" w:space="0" w:color="auto"/>
              <w:left w:val="nil"/>
              <w:bottom w:val="single" w:sz="4" w:space="0" w:color="auto"/>
              <w:right w:val="single" w:sz="4" w:space="0" w:color="auto"/>
            </w:tcBorders>
            <w:shd w:val="clear" w:color="auto" w:fill="C6EFCE"/>
            <w:noWrap/>
          </w:tcPr>
          <w:p w14:paraId="67964EA9" w14:textId="4218B924" w:rsidR="007D2EF7" w:rsidRPr="00DD6A04" w:rsidRDefault="007D2EF7" w:rsidP="007D2EF7">
            <w:pPr>
              <w:spacing w:before="0" w:after="0" w:line="240" w:lineRule="auto"/>
              <w:rPr>
                <w:rFonts w:eastAsia="Times New Roman"/>
                <w:noProof/>
                <w:color w:val="006100"/>
                <w:sz w:val="22"/>
              </w:rPr>
            </w:pPr>
            <w:r>
              <w:rPr>
                <w:noProof/>
                <w:color w:val="006100"/>
                <w:sz w:val="22"/>
              </w:rPr>
              <w:t>E: Družbena in gospodarska odpornost na podnebno pogojene nesreče v Republiki Sloveniji</w:t>
            </w:r>
          </w:p>
        </w:tc>
        <w:tc>
          <w:tcPr>
            <w:tcW w:w="1074" w:type="dxa"/>
            <w:tcBorders>
              <w:top w:val="single" w:sz="4" w:space="0" w:color="auto"/>
              <w:left w:val="nil"/>
              <w:bottom w:val="single" w:sz="4" w:space="0" w:color="auto"/>
              <w:right w:val="single" w:sz="4" w:space="0" w:color="auto"/>
            </w:tcBorders>
            <w:shd w:val="clear" w:color="auto" w:fill="C6EFCE"/>
            <w:noWrap/>
          </w:tcPr>
          <w:p w14:paraId="0C548F86" w14:textId="498365D5"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2312D143" w14:textId="50E6685B" w:rsidR="007D2EF7" w:rsidRPr="00DD6A04" w:rsidRDefault="007D2EF7" w:rsidP="007D2EF7">
            <w:pPr>
              <w:spacing w:before="0" w:after="0" w:line="240" w:lineRule="auto"/>
              <w:rPr>
                <w:rFonts w:eastAsia="Times New Roman"/>
                <w:noProof/>
                <w:color w:val="006100"/>
                <w:sz w:val="22"/>
              </w:rPr>
            </w:pPr>
            <w:r>
              <w:rPr>
                <w:noProof/>
                <w:color w:val="006100"/>
                <w:sz w:val="22"/>
              </w:rPr>
              <w:t>Novi objekti za usposabljanje in odzivanje na operativne nesreče, povezane s podnebjem</w:t>
            </w:r>
          </w:p>
        </w:tc>
        <w:tc>
          <w:tcPr>
            <w:tcW w:w="1647" w:type="dxa"/>
            <w:tcBorders>
              <w:top w:val="single" w:sz="4" w:space="0" w:color="auto"/>
              <w:left w:val="nil"/>
              <w:bottom w:val="single" w:sz="4" w:space="0" w:color="auto"/>
              <w:right w:val="single" w:sz="4" w:space="0" w:color="auto"/>
            </w:tcBorders>
            <w:shd w:val="clear" w:color="auto" w:fill="C6EFCE"/>
            <w:noWrap/>
          </w:tcPr>
          <w:p w14:paraId="23F2B90E" w14:textId="323E4BF1"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31B20D07" w14:textId="1AF43113"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16AA8F33" w14:textId="250B552F"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28" w:type="dxa"/>
            <w:tcBorders>
              <w:top w:val="single" w:sz="4" w:space="0" w:color="auto"/>
              <w:left w:val="nil"/>
              <w:bottom w:val="single" w:sz="4" w:space="0" w:color="auto"/>
              <w:right w:val="single" w:sz="4" w:space="0" w:color="auto"/>
            </w:tcBorders>
            <w:shd w:val="clear" w:color="auto" w:fill="C6EFCE"/>
            <w:noWrap/>
          </w:tcPr>
          <w:p w14:paraId="28446036" w14:textId="3ECFB727" w:rsidR="007D2EF7" w:rsidRPr="00DD6A04" w:rsidRDefault="007D2EF7" w:rsidP="007D2EF7">
            <w:pPr>
              <w:spacing w:before="0" w:after="0" w:line="240" w:lineRule="auto"/>
              <w:rPr>
                <w:rFonts w:eastAsia="Times New Roman"/>
                <w:noProof/>
                <w:color w:val="006100"/>
                <w:sz w:val="22"/>
              </w:rPr>
            </w:pPr>
            <w:r>
              <w:rPr>
                <w:noProof/>
                <w:color w:val="006100"/>
                <w:sz w:val="22"/>
              </w:rPr>
              <w:t>3</w:t>
            </w:r>
          </w:p>
        </w:tc>
        <w:tc>
          <w:tcPr>
            <w:tcW w:w="873" w:type="dxa"/>
            <w:tcBorders>
              <w:top w:val="single" w:sz="4" w:space="0" w:color="auto"/>
              <w:left w:val="nil"/>
              <w:bottom w:val="single" w:sz="4" w:space="0" w:color="auto"/>
              <w:right w:val="single" w:sz="4" w:space="0" w:color="auto"/>
            </w:tcBorders>
            <w:shd w:val="clear" w:color="auto" w:fill="C6EFCE"/>
            <w:noWrap/>
          </w:tcPr>
          <w:p w14:paraId="622BB26F" w14:textId="41B22D28"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41693CB8" w14:textId="6B7B3723"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220" w:type="dxa"/>
            <w:tcBorders>
              <w:top w:val="single" w:sz="4" w:space="0" w:color="auto"/>
              <w:left w:val="nil"/>
              <w:bottom w:val="single" w:sz="4" w:space="0" w:color="auto"/>
              <w:right w:val="single" w:sz="4" w:space="0" w:color="auto"/>
            </w:tcBorders>
            <w:shd w:val="clear" w:color="auto" w:fill="C6EFCE"/>
            <w:noWrap/>
          </w:tcPr>
          <w:p w14:paraId="70FF3139"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Začetek delovanja nacionalnega centra za koordiniran odziv na podnebno pogojene nesreče ter podcentra za usposabljanje modularnih enot za odziv na poplave in podcentra za enote za odziv na velike požare v naravi.</w:t>
            </w:r>
          </w:p>
          <w:p w14:paraId="09104D20" w14:textId="77777777" w:rsidR="007D2EF7" w:rsidRPr="00DD6A04" w:rsidRDefault="007D2EF7" w:rsidP="007D2EF7">
            <w:pPr>
              <w:spacing w:before="0" w:after="0" w:line="256" w:lineRule="auto"/>
              <w:rPr>
                <w:rFonts w:eastAsia="Times New Roman"/>
                <w:noProof/>
                <w:color w:val="006100"/>
                <w:sz w:val="22"/>
                <w:lang w:val="en-GB" w:eastAsia="en-GB"/>
              </w:rPr>
            </w:pPr>
          </w:p>
          <w:p w14:paraId="7D4B2400" w14:textId="516B6A03"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Potreba centrov po primarni energiji bo vsaj 20 % nižja od tiste, ki se zahteva za stavbo s skoraj ničelno porabo energije v skladu z nacionalnimi pravili o gradnji takih stavb.</w:t>
            </w:r>
          </w:p>
        </w:tc>
      </w:tr>
      <w:tr w:rsidR="006B18FC" w:rsidRPr="00DD6A04" w14:paraId="6CEEF18C"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3B08DA3A" w14:textId="20CEE76F" w:rsidR="007D2EF7" w:rsidRPr="00DD6A04" w:rsidRDefault="007D2EF7" w:rsidP="007D2EF7">
            <w:pPr>
              <w:spacing w:before="0" w:after="0" w:line="240" w:lineRule="auto"/>
              <w:rPr>
                <w:rFonts w:eastAsia="Times New Roman"/>
                <w:noProof/>
                <w:color w:val="006100"/>
                <w:sz w:val="22"/>
              </w:rPr>
            </w:pPr>
            <w:r>
              <w:rPr>
                <w:noProof/>
                <w:color w:val="006100"/>
                <w:sz w:val="22"/>
              </w:rPr>
              <w:t>31</w:t>
            </w:r>
          </w:p>
        </w:tc>
        <w:tc>
          <w:tcPr>
            <w:tcW w:w="1559" w:type="dxa"/>
            <w:tcBorders>
              <w:top w:val="single" w:sz="4" w:space="0" w:color="auto"/>
              <w:left w:val="nil"/>
              <w:bottom w:val="single" w:sz="4" w:space="0" w:color="auto"/>
              <w:right w:val="single" w:sz="4" w:space="0" w:color="auto"/>
            </w:tcBorders>
            <w:shd w:val="clear" w:color="auto" w:fill="C6EFCE"/>
            <w:noWrap/>
          </w:tcPr>
          <w:p w14:paraId="5DA8A648" w14:textId="3C9147D8"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E: Družbena in gospodarska odpornost na podnebno pogojene nesreče v Republiki Sloveniji </w:t>
            </w:r>
          </w:p>
        </w:tc>
        <w:tc>
          <w:tcPr>
            <w:tcW w:w="1074" w:type="dxa"/>
            <w:tcBorders>
              <w:top w:val="single" w:sz="4" w:space="0" w:color="auto"/>
              <w:left w:val="nil"/>
              <w:bottom w:val="single" w:sz="4" w:space="0" w:color="auto"/>
              <w:right w:val="single" w:sz="4" w:space="0" w:color="auto"/>
            </w:tcBorders>
            <w:shd w:val="clear" w:color="auto" w:fill="C6EFCE"/>
            <w:noWrap/>
          </w:tcPr>
          <w:p w14:paraId="29FFEF60" w14:textId="7DE1FD13" w:rsidR="007D2EF7" w:rsidRPr="00DD6A04" w:rsidRDefault="5AAB74D6"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5A8EF9D5" w14:textId="7885A88D"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Udeleženci, ki so opravili usposabljanje za poplave in velike požare v naravi </w:t>
            </w:r>
          </w:p>
        </w:tc>
        <w:tc>
          <w:tcPr>
            <w:tcW w:w="1647" w:type="dxa"/>
            <w:tcBorders>
              <w:top w:val="single" w:sz="4" w:space="0" w:color="auto"/>
              <w:left w:val="nil"/>
              <w:bottom w:val="single" w:sz="4" w:space="0" w:color="auto"/>
              <w:right w:val="single" w:sz="4" w:space="0" w:color="auto"/>
            </w:tcBorders>
            <w:shd w:val="clear" w:color="auto" w:fill="C6EFCE"/>
            <w:noWrap/>
          </w:tcPr>
          <w:p w14:paraId="3A1356EB" w14:textId="3AA01AAA"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12FA367D" w14:textId="2B2BC5E6"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240906F8" w14:textId="4953CFBC"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28" w:type="dxa"/>
            <w:tcBorders>
              <w:top w:val="single" w:sz="4" w:space="0" w:color="auto"/>
              <w:left w:val="nil"/>
              <w:bottom w:val="single" w:sz="4" w:space="0" w:color="auto"/>
              <w:right w:val="single" w:sz="4" w:space="0" w:color="auto"/>
            </w:tcBorders>
            <w:shd w:val="clear" w:color="auto" w:fill="C6EFCE"/>
            <w:noWrap/>
          </w:tcPr>
          <w:p w14:paraId="095D1C5B" w14:textId="2F554E91" w:rsidR="007D2EF7" w:rsidRPr="00DD6A04" w:rsidRDefault="007D2EF7" w:rsidP="007D2EF7">
            <w:pPr>
              <w:spacing w:before="0" w:after="0" w:line="240" w:lineRule="auto"/>
              <w:rPr>
                <w:rFonts w:eastAsia="Times New Roman"/>
                <w:noProof/>
                <w:color w:val="006100"/>
                <w:sz w:val="22"/>
              </w:rPr>
            </w:pPr>
            <w:r>
              <w:rPr>
                <w:noProof/>
                <w:color w:val="006100"/>
                <w:sz w:val="22"/>
              </w:rPr>
              <w:t>2000</w:t>
            </w:r>
          </w:p>
        </w:tc>
        <w:tc>
          <w:tcPr>
            <w:tcW w:w="873" w:type="dxa"/>
            <w:tcBorders>
              <w:top w:val="single" w:sz="4" w:space="0" w:color="auto"/>
              <w:left w:val="nil"/>
              <w:bottom w:val="single" w:sz="4" w:space="0" w:color="auto"/>
              <w:right w:val="single" w:sz="4" w:space="0" w:color="auto"/>
            </w:tcBorders>
            <w:shd w:val="clear" w:color="auto" w:fill="C6EFCE"/>
            <w:noWrap/>
          </w:tcPr>
          <w:p w14:paraId="541594BE" w14:textId="76B3E065"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5AF81404" w14:textId="6DB48D15"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220" w:type="dxa"/>
            <w:tcBorders>
              <w:top w:val="single" w:sz="4" w:space="0" w:color="auto"/>
              <w:left w:val="nil"/>
              <w:bottom w:val="single" w:sz="4" w:space="0" w:color="auto"/>
              <w:right w:val="single" w:sz="4" w:space="0" w:color="auto"/>
            </w:tcBorders>
            <w:shd w:val="clear" w:color="auto" w:fill="C6EFCE"/>
            <w:noWrap/>
          </w:tcPr>
          <w:p w14:paraId="7A24B2DE" w14:textId="42954B5A"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Razvoj prilagojenih programov in dokončano usposabljanje za skupno 2 000 posameznikov (1 000 za odziv na poplave in 1 000 za odziv na velike požare v naravi).</w:t>
            </w:r>
          </w:p>
        </w:tc>
      </w:tr>
      <w:tr w:rsidR="006B18FC" w:rsidRPr="00DD6A04" w14:paraId="147FB8DE"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6BE7C187" w14:textId="747884BF" w:rsidR="007D2EF7" w:rsidRPr="00DD6A04" w:rsidRDefault="007D2EF7" w:rsidP="007D2EF7">
            <w:pPr>
              <w:spacing w:before="0" w:after="0" w:line="240" w:lineRule="auto"/>
              <w:rPr>
                <w:rFonts w:eastAsia="Times New Roman"/>
                <w:noProof/>
                <w:color w:val="006100"/>
                <w:sz w:val="22"/>
              </w:rPr>
            </w:pPr>
            <w:r>
              <w:rPr>
                <w:noProof/>
                <w:color w:val="006100"/>
                <w:sz w:val="22"/>
              </w:rPr>
              <w:t>32</w:t>
            </w:r>
          </w:p>
        </w:tc>
        <w:tc>
          <w:tcPr>
            <w:tcW w:w="1559" w:type="dxa"/>
            <w:tcBorders>
              <w:top w:val="single" w:sz="4" w:space="0" w:color="auto"/>
              <w:left w:val="nil"/>
              <w:bottom w:val="single" w:sz="4" w:space="0" w:color="auto"/>
              <w:right w:val="single" w:sz="4" w:space="0" w:color="auto"/>
            </w:tcBorders>
            <w:shd w:val="clear" w:color="auto" w:fill="C6EFCE"/>
            <w:noWrap/>
          </w:tcPr>
          <w:p w14:paraId="34F84224" w14:textId="4E899769"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074" w:type="dxa"/>
            <w:tcBorders>
              <w:top w:val="single" w:sz="4" w:space="0" w:color="auto"/>
              <w:left w:val="nil"/>
              <w:bottom w:val="single" w:sz="4" w:space="0" w:color="auto"/>
              <w:right w:val="single" w:sz="4" w:space="0" w:color="auto"/>
            </w:tcBorders>
            <w:shd w:val="clear" w:color="auto" w:fill="C6EFCE"/>
            <w:noWrap/>
          </w:tcPr>
          <w:p w14:paraId="330E40B6" w14:textId="0F827316"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31" w:type="dxa"/>
            <w:tcBorders>
              <w:top w:val="single" w:sz="4" w:space="0" w:color="auto"/>
              <w:left w:val="nil"/>
              <w:bottom w:val="single" w:sz="4" w:space="0" w:color="auto"/>
              <w:right w:val="single" w:sz="4" w:space="0" w:color="auto"/>
            </w:tcBorders>
            <w:shd w:val="clear" w:color="auto" w:fill="C6EFCE"/>
            <w:noWrap/>
          </w:tcPr>
          <w:p w14:paraId="44D55398" w14:textId="1A85C19A" w:rsidR="007D2EF7" w:rsidRPr="00DD6A04" w:rsidRDefault="007D2EF7" w:rsidP="007D2EF7">
            <w:pPr>
              <w:spacing w:before="0" w:after="0" w:line="240" w:lineRule="auto"/>
              <w:rPr>
                <w:rFonts w:eastAsia="Times New Roman"/>
                <w:noProof/>
                <w:color w:val="006100"/>
                <w:sz w:val="22"/>
              </w:rPr>
            </w:pPr>
            <w:r>
              <w:rPr>
                <w:noProof/>
                <w:color w:val="006100"/>
                <w:sz w:val="22"/>
              </w:rPr>
              <w:t>Oddaja naročil za investicije v protipoplavno varnost</w:t>
            </w:r>
          </w:p>
        </w:tc>
        <w:tc>
          <w:tcPr>
            <w:tcW w:w="1647" w:type="dxa"/>
            <w:tcBorders>
              <w:top w:val="single" w:sz="4" w:space="0" w:color="auto"/>
              <w:left w:val="nil"/>
              <w:bottom w:val="single" w:sz="4" w:space="0" w:color="auto"/>
              <w:right w:val="single" w:sz="4" w:space="0" w:color="auto"/>
            </w:tcBorders>
            <w:shd w:val="clear" w:color="auto" w:fill="C6EFCE"/>
            <w:noWrap/>
          </w:tcPr>
          <w:p w14:paraId="1860E3AD" w14:textId="77777777" w:rsidR="007D2EF7" w:rsidRPr="00DD6A04" w:rsidRDefault="007D2EF7" w:rsidP="007D2EF7">
            <w:pPr>
              <w:spacing w:before="0" w:after="0" w:line="256" w:lineRule="auto"/>
              <w:rPr>
                <w:rFonts w:eastAsia="Times New Roman"/>
                <w:noProof/>
                <w:color w:val="006100"/>
                <w:sz w:val="22"/>
                <w:lang w:val="en-GB" w:eastAsia="en-GB"/>
              </w:rPr>
            </w:pPr>
          </w:p>
          <w:p w14:paraId="46F4C104" w14:textId="580B1633" w:rsidR="007D2EF7" w:rsidRPr="00DD6A04" w:rsidRDefault="007D2EF7" w:rsidP="007D2EF7">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single" w:sz="4" w:space="0" w:color="auto"/>
              <w:left w:val="nil"/>
              <w:bottom w:val="single" w:sz="4" w:space="0" w:color="auto"/>
              <w:right w:val="single" w:sz="4" w:space="0" w:color="auto"/>
            </w:tcBorders>
            <w:shd w:val="clear" w:color="auto" w:fill="C6EFCE"/>
            <w:noWrap/>
          </w:tcPr>
          <w:p w14:paraId="369D8547" w14:textId="3C5F7EC4"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540ED1EE" w14:textId="368EEFAF"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28" w:type="dxa"/>
            <w:tcBorders>
              <w:top w:val="single" w:sz="4" w:space="0" w:color="auto"/>
              <w:left w:val="nil"/>
              <w:bottom w:val="single" w:sz="4" w:space="0" w:color="auto"/>
              <w:right w:val="single" w:sz="4" w:space="0" w:color="auto"/>
            </w:tcBorders>
            <w:shd w:val="clear" w:color="auto" w:fill="C6EFCE"/>
            <w:noWrap/>
          </w:tcPr>
          <w:p w14:paraId="579868D5" w14:textId="248DD52F"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73" w:type="dxa"/>
            <w:tcBorders>
              <w:top w:val="single" w:sz="4" w:space="0" w:color="auto"/>
              <w:left w:val="nil"/>
              <w:bottom w:val="single" w:sz="4" w:space="0" w:color="auto"/>
              <w:right w:val="single" w:sz="4" w:space="0" w:color="auto"/>
            </w:tcBorders>
            <w:shd w:val="clear" w:color="auto" w:fill="C6EFCE"/>
            <w:noWrap/>
          </w:tcPr>
          <w:p w14:paraId="0CFA9743" w14:textId="4394B00E" w:rsidR="007D2EF7" w:rsidRPr="00DD6A04" w:rsidRDefault="77FD77C3"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04899DB1" w14:textId="5FF5A683" w:rsidR="007D2EF7" w:rsidRPr="00DD6A04" w:rsidRDefault="007D2EF7" w:rsidP="007D2EF7">
            <w:pPr>
              <w:spacing w:before="0" w:after="0" w:line="240" w:lineRule="auto"/>
              <w:rPr>
                <w:rFonts w:eastAsia="Times New Roman"/>
                <w:noProof/>
                <w:color w:val="006100"/>
                <w:sz w:val="22"/>
              </w:rPr>
            </w:pPr>
            <w:r>
              <w:rPr>
                <w:noProof/>
                <w:color w:val="006100"/>
                <w:sz w:val="22"/>
              </w:rPr>
              <w:t>2024</w:t>
            </w:r>
          </w:p>
        </w:tc>
        <w:tc>
          <w:tcPr>
            <w:tcW w:w="3220" w:type="dxa"/>
            <w:tcBorders>
              <w:top w:val="single" w:sz="4" w:space="0" w:color="auto"/>
              <w:left w:val="nil"/>
              <w:bottom w:val="single" w:sz="4" w:space="0" w:color="auto"/>
              <w:right w:val="single" w:sz="4" w:space="0" w:color="auto"/>
            </w:tcBorders>
            <w:shd w:val="clear" w:color="auto" w:fill="C6EFCE"/>
            <w:noWrap/>
          </w:tcPr>
          <w:p w14:paraId="2E733331" w14:textId="642B3706" w:rsidR="007D2EF7" w:rsidRPr="00DD6A04" w:rsidRDefault="7A4D9C3F" w:rsidP="6B3B27EA">
            <w:pPr>
              <w:spacing w:before="0" w:after="0" w:line="240" w:lineRule="auto"/>
              <w:rPr>
                <w:rFonts w:eastAsia="Times New Roman"/>
                <w:noProof/>
                <w:color w:val="006100"/>
                <w:sz w:val="22"/>
                <w:highlight w:val="yellow"/>
              </w:rPr>
            </w:pPr>
            <w:r>
              <w:rPr>
                <w:noProof/>
                <w:color w:val="006100"/>
                <w:sz w:val="22"/>
              </w:rPr>
              <w:t>Oddaja naročil za 2 investiciji v protipoplavno varnost. Merila za izbor projektov bodo dajala prednost ukrepom za rešitve, ki temeljijo na naravi, in zeleni infrastrukturi, kolikor je mogoče. Naročila bodo zagotavljala, da se bodo projekti izvajali v skladu s trenutno veljavno zakonodajo in ustreznimi prilogami Delegirane uredbe Komisije (EU), ki dopolnjuje uredbo o taksonomiji (Uredba (EU) 2020/852).</w:t>
            </w:r>
          </w:p>
        </w:tc>
      </w:tr>
      <w:tr w:rsidR="006B18FC" w:rsidRPr="00DD6A04" w14:paraId="6A833D8B"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39B208C5" w14:textId="693A4527" w:rsidR="007D2EF7" w:rsidRPr="00DD6A04" w:rsidRDefault="007D2EF7" w:rsidP="007D2EF7">
            <w:pPr>
              <w:spacing w:before="0" w:after="0" w:line="240" w:lineRule="auto"/>
              <w:rPr>
                <w:rFonts w:eastAsia="Times New Roman"/>
                <w:noProof/>
                <w:color w:val="006100"/>
                <w:sz w:val="22"/>
              </w:rPr>
            </w:pPr>
            <w:r>
              <w:rPr>
                <w:noProof/>
                <w:color w:val="006100"/>
                <w:sz w:val="22"/>
              </w:rPr>
              <w:t>33</w:t>
            </w:r>
          </w:p>
        </w:tc>
        <w:tc>
          <w:tcPr>
            <w:tcW w:w="1559" w:type="dxa"/>
            <w:tcBorders>
              <w:top w:val="single" w:sz="4" w:space="0" w:color="auto"/>
              <w:left w:val="nil"/>
              <w:bottom w:val="single" w:sz="4" w:space="0" w:color="auto"/>
              <w:right w:val="single" w:sz="4" w:space="0" w:color="auto"/>
            </w:tcBorders>
            <w:shd w:val="clear" w:color="auto" w:fill="C6EFCE"/>
            <w:noWrap/>
          </w:tcPr>
          <w:p w14:paraId="7E073678" w14:textId="7B7BEA7E"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074" w:type="dxa"/>
            <w:tcBorders>
              <w:top w:val="single" w:sz="4" w:space="0" w:color="auto"/>
              <w:left w:val="nil"/>
              <w:bottom w:val="single" w:sz="4" w:space="0" w:color="auto"/>
              <w:right w:val="single" w:sz="4" w:space="0" w:color="auto"/>
            </w:tcBorders>
            <w:shd w:val="clear" w:color="auto" w:fill="C6EFCE"/>
            <w:noWrap/>
          </w:tcPr>
          <w:p w14:paraId="75C18FAE" w14:textId="5BDFD13E"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1DB1EA3E" w14:textId="346B1FE6" w:rsidR="007D2EF7" w:rsidRPr="00DD6A04" w:rsidRDefault="007D2EF7" w:rsidP="007D2EF7">
            <w:pPr>
              <w:spacing w:before="0" w:after="0" w:line="240" w:lineRule="auto"/>
              <w:rPr>
                <w:rFonts w:eastAsia="Times New Roman"/>
                <w:noProof/>
                <w:color w:val="006100"/>
                <w:sz w:val="22"/>
              </w:rPr>
            </w:pPr>
            <w:r>
              <w:rPr>
                <w:noProof/>
                <w:color w:val="006100"/>
                <w:sz w:val="22"/>
              </w:rPr>
              <w:t>Sanirana območja, ki jih ogrožajo plazovi zaradi potresnega tveganja</w:t>
            </w:r>
          </w:p>
        </w:tc>
        <w:tc>
          <w:tcPr>
            <w:tcW w:w="1647" w:type="dxa"/>
            <w:tcBorders>
              <w:top w:val="single" w:sz="4" w:space="0" w:color="auto"/>
              <w:left w:val="nil"/>
              <w:bottom w:val="single" w:sz="4" w:space="0" w:color="auto"/>
              <w:right w:val="single" w:sz="4" w:space="0" w:color="auto"/>
            </w:tcBorders>
            <w:shd w:val="clear" w:color="auto" w:fill="C6EFCE"/>
            <w:noWrap/>
          </w:tcPr>
          <w:p w14:paraId="4D7412E1" w14:textId="0CB3955F"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79053114" w14:textId="607616AE"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5738C952" w14:textId="2D5101C1"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28" w:type="dxa"/>
            <w:tcBorders>
              <w:top w:val="single" w:sz="4" w:space="0" w:color="auto"/>
              <w:left w:val="nil"/>
              <w:bottom w:val="single" w:sz="4" w:space="0" w:color="auto"/>
              <w:right w:val="single" w:sz="4" w:space="0" w:color="auto"/>
            </w:tcBorders>
            <w:shd w:val="clear" w:color="auto" w:fill="C6EFCE"/>
            <w:noWrap/>
          </w:tcPr>
          <w:p w14:paraId="38902EC6" w14:textId="17BD1C36" w:rsidR="007D2EF7" w:rsidRPr="00DD6A04" w:rsidRDefault="007D2EF7" w:rsidP="007D2EF7">
            <w:pPr>
              <w:spacing w:before="0" w:after="0" w:line="240" w:lineRule="auto"/>
              <w:rPr>
                <w:rFonts w:eastAsia="Times New Roman"/>
                <w:noProof/>
                <w:color w:val="006100"/>
                <w:sz w:val="22"/>
              </w:rPr>
            </w:pPr>
            <w:r>
              <w:rPr>
                <w:noProof/>
                <w:color w:val="006100"/>
                <w:sz w:val="22"/>
              </w:rPr>
              <w:t>6</w:t>
            </w:r>
          </w:p>
        </w:tc>
        <w:tc>
          <w:tcPr>
            <w:tcW w:w="873" w:type="dxa"/>
            <w:tcBorders>
              <w:top w:val="single" w:sz="4" w:space="0" w:color="auto"/>
              <w:left w:val="nil"/>
              <w:bottom w:val="single" w:sz="4" w:space="0" w:color="auto"/>
              <w:right w:val="single" w:sz="4" w:space="0" w:color="auto"/>
            </w:tcBorders>
            <w:shd w:val="clear" w:color="auto" w:fill="C6EFCE"/>
            <w:noWrap/>
          </w:tcPr>
          <w:p w14:paraId="0E5F2F8F" w14:textId="4CF007F4"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74B03B51" w14:textId="2F6DE84B"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220" w:type="dxa"/>
            <w:tcBorders>
              <w:top w:val="single" w:sz="4" w:space="0" w:color="auto"/>
              <w:left w:val="nil"/>
              <w:bottom w:val="single" w:sz="4" w:space="0" w:color="auto"/>
              <w:right w:val="single" w:sz="4" w:space="0" w:color="auto"/>
            </w:tcBorders>
            <w:shd w:val="clear" w:color="auto" w:fill="C6EFCE"/>
            <w:noWrap/>
          </w:tcPr>
          <w:p w14:paraId="27E07F60" w14:textId="2675581E"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Dokončani projekti za zmanjšanje vpliva plazov zaradi potresnih tveganj. Projekti bodo v skladu s tehničnimi smernicami za uporabo načela, da se ne škoduje bistveno (2021/C58/01).</w:t>
            </w:r>
          </w:p>
        </w:tc>
      </w:tr>
      <w:tr w:rsidR="006B18FC" w:rsidRPr="00DD6A04" w14:paraId="3E25B2E2"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068FF1D8" w14:textId="7EC24CB0" w:rsidR="007D2EF7" w:rsidRPr="00DD6A04" w:rsidRDefault="007D2EF7" w:rsidP="007D2EF7">
            <w:pPr>
              <w:spacing w:before="0" w:after="0" w:line="240" w:lineRule="auto"/>
              <w:rPr>
                <w:rFonts w:eastAsia="Times New Roman"/>
                <w:noProof/>
                <w:color w:val="006100"/>
                <w:sz w:val="22"/>
              </w:rPr>
            </w:pPr>
            <w:r>
              <w:rPr>
                <w:noProof/>
                <w:color w:val="006100"/>
                <w:sz w:val="22"/>
              </w:rPr>
              <w:t>34</w:t>
            </w:r>
          </w:p>
        </w:tc>
        <w:tc>
          <w:tcPr>
            <w:tcW w:w="1559" w:type="dxa"/>
            <w:tcBorders>
              <w:top w:val="single" w:sz="4" w:space="0" w:color="auto"/>
              <w:left w:val="nil"/>
              <w:bottom w:val="single" w:sz="4" w:space="0" w:color="auto"/>
              <w:right w:val="single" w:sz="4" w:space="0" w:color="auto"/>
            </w:tcBorders>
            <w:shd w:val="clear" w:color="auto" w:fill="C6EFCE"/>
            <w:noWrap/>
          </w:tcPr>
          <w:p w14:paraId="5B3DA889" w14:textId="7F04FB50"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074" w:type="dxa"/>
            <w:tcBorders>
              <w:top w:val="single" w:sz="4" w:space="0" w:color="auto"/>
              <w:left w:val="nil"/>
              <w:bottom w:val="single" w:sz="4" w:space="0" w:color="auto"/>
              <w:right w:val="single" w:sz="4" w:space="0" w:color="auto"/>
            </w:tcBorders>
            <w:shd w:val="clear" w:color="auto" w:fill="C6EFCE"/>
            <w:noWrap/>
          </w:tcPr>
          <w:p w14:paraId="67776B08" w14:textId="7D2A242B"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6B51F4E2" w14:textId="54BA8C6B" w:rsidR="007D2EF7" w:rsidRPr="00DD6A04" w:rsidRDefault="007D2EF7" w:rsidP="007D2EF7">
            <w:pPr>
              <w:spacing w:before="0" w:after="0" w:line="240" w:lineRule="auto"/>
              <w:rPr>
                <w:rFonts w:eastAsia="Times New Roman"/>
                <w:noProof/>
                <w:color w:val="006100"/>
                <w:sz w:val="22"/>
              </w:rPr>
            </w:pPr>
            <w:r>
              <w:rPr>
                <w:noProof/>
                <w:color w:val="006100"/>
                <w:sz w:val="22"/>
              </w:rPr>
              <w:t>Prebivalci, ki imajo koristi od projektov v zvezi s protipoplavno varnostjo</w:t>
            </w:r>
          </w:p>
        </w:tc>
        <w:tc>
          <w:tcPr>
            <w:tcW w:w="1647" w:type="dxa"/>
            <w:tcBorders>
              <w:top w:val="single" w:sz="4" w:space="0" w:color="auto"/>
              <w:left w:val="nil"/>
              <w:bottom w:val="single" w:sz="4" w:space="0" w:color="auto"/>
              <w:right w:val="single" w:sz="4" w:space="0" w:color="auto"/>
            </w:tcBorders>
            <w:shd w:val="clear" w:color="auto" w:fill="C6EFCE"/>
            <w:noWrap/>
          </w:tcPr>
          <w:p w14:paraId="422C8048" w14:textId="13A9B605"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40421F80" w14:textId="70B8ACCA"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43BF4711" w14:textId="77C9AC74"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28" w:type="dxa"/>
            <w:tcBorders>
              <w:top w:val="single" w:sz="4" w:space="0" w:color="auto"/>
              <w:left w:val="nil"/>
              <w:bottom w:val="single" w:sz="4" w:space="0" w:color="auto"/>
              <w:right w:val="single" w:sz="4" w:space="0" w:color="auto"/>
            </w:tcBorders>
            <w:shd w:val="clear" w:color="auto" w:fill="C6EFCE"/>
            <w:noWrap/>
          </w:tcPr>
          <w:p w14:paraId="1C1641A7" w14:textId="68EAC821" w:rsidR="007D2EF7" w:rsidRPr="00DD6A04" w:rsidRDefault="007D2EF7" w:rsidP="007D2EF7">
            <w:pPr>
              <w:spacing w:before="0" w:after="0" w:line="240" w:lineRule="auto"/>
              <w:rPr>
                <w:rFonts w:eastAsia="Times New Roman"/>
                <w:noProof/>
                <w:color w:val="006100"/>
                <w:sz w:val="22"/>
              </w:rPr>
            </w:pPr>
            <w:r>
              <w:rPr>
                <w:noProof/>
                <w:color w:val="006100"/>
                <w:sz w:val="22"/>
              </w:rPr>
              <w:t>3070</w:t>
            </w:r>
          </w:p>
        </w:tc>
        <w:tc>
          <w:tcPr>
            <w:tcW w:w="873" w:type="dxa"/>
            <w:tcBorders>
              <w:top w:val="single" w:sz="4" w:space="0" w:color="auto"/>
              <w:left w:val="nil"/>
              <w:bottom w:val="single" w:sz="4" w:space="0" w:color="auto"/>
              <w:right w:val="single" w:sz="4" w:space="0" w:color="auto"/>
            </w:tcBorders>
            <w:shd w:val="clear" w:color="auto" w:fill="C6EFCE"/>
            <w:noWrap/>
          </w:tcPr>
          <w:p w14:paraId="1CE15B6B" w14:textId="6089C8D3"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851" w:type="dxa"/>
            <w:tcBorders>
              <w:top w:val="single" w:sz="4" w:space="0" w:color="auto"/>
              <w:left w:val="nil"/>
              <w:bottom w:val="single" w:sz="4" w:space="0" w:color="auto"/>
              <w:right w:val="single" w:sz="4" w:space="0" w:color="auto"/>
            </w:tcBorders>
            <w:shd w:val="clear" w:color="auto" w:fill="C6EFCE"/>
            <w:noWrap/>
          </w:tcPr>
          <w:p w14:paraId="0C7CD0BF" w14:textId="20EA3E9D" w:rsidR="007D2EF7" w:rsidRPr="00DD6A04" w:rsidRDefault="007D2EF7" w:rsidP="007D2EF7">
            <w:pPr>
              <w:spacing w:before="0" w:after="0" w:line="240" w:lineRule="auto"/>
              <w:rPr>
                <w:rFonts w:eastAsia="Times New Roman"/>
                <w:noProof/>
                <w:color w:val="006100"/>
                <w:sz w:val="22"/>
              </w:rPr>
            </w:pPr>
            <w:r>
              <w:rPr>
                <w:noProof/>
                <w:color w:val="006100"/>
                <w:sz w:val="22"/>
              </w:rPr>
              <w:t>2026</w:t>
            </w:r>
          </w:p>
        </w:tc>
        <w:tc>
          <w:tcPr>
            <w:tcW w:w="3220" w:type="dxa"/>
            <w:tcBorders>
              <w:top w:val="single" w:sz="4" w:space="0" w:color="auto"/>
              <w:left w:val="nil"/>
              <w:bottom w:val="single" w:sz="4" w:space="0" w:color="auto"/>
              <w:right w:val="single" w:sz="4" w:space="0" w:color="auto"/>
            </w:tcBorders>
            <w:shd w:val="clear" w:color="auto" w:fill="C6EFCE"/>
            <w:noWrap/>
          </w:tcPr>
          <w:p w14:paraId="2B60DDB2" w14:textId="5570DF75"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 xml:space="preserve">Cilj predstavlja število prebivalcev na območju, na katerem so bili dokončani projekti v zvezi s protipoplavno varnostjo. </w:t>
            </w:r>
          </w:p>
        </w:tc>
      </w:tr>
      <w:tr w:rsidR="006B18FC" w:rsidRPr="00DD6A04" w14:paraId="6F4E30AA"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3CEDCCB0" w14:textId="66395DD9" w:rsidR="007D2EF7" w:rsidRPr="00DD6A04" w:rsidRDefault="007D2EF7" w:rsidP="007D2EF7">
            <w:pPr>
              <w:spacing w:before="0" w:after="0" w:line="240" w:lineRule="auto"/>
              <w:rPr>
                <w:rFonts w:eastAsia="Times New Roman"/>
                <w:noProof/>
                <w:color w:val="006100"/>
                <w:sz w:val="22"/>
              </w:rPr>
            </w:pPr>
            <w:r>
              <w:rPr>
                <w:noProof/>
                <w:color w:val="006100"/>
                <w:sz w:val="22"/>
              </w:rPr>
              <w:t>35</w:t>
            </w:r>
          </w:p>
        </w:tc>
        <w:tc>
          <w:tcPr>
            <w:tcW w:w="1559" w:type="dxa"/>
            <w:tcBorders>
              <w:top w:val="single" w:sz="4" w:space="0" w:color="auto"/>
              <w:left w:val="nil"/>
              <w:bottom w:val="single" w:sz="4" w:space="0" w:color="auto"/>
              <w:right w:val="single" w:sz="4" w:space="0" w:color="auto"/>
            </w:tcBorders>
            <w:shd w:val="clear" w:color="auto" w:fill="C6EFCE"/>
            <w:noWrap/>
          </w:tcPr>
          <w:p w14:paraId="09D25854" w14:textId="41D23F93"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074" w:type="dxa"/>
            <w:tcBorders>
              <w:top w:val="single" w:sz="4" w:space="0" w:color="auto"/>
              <w:left w:val="nil"/>
              <w:bottom w:val="single" w:sz="4" w:space="0" w:color="auto"/>
              <w:right w:val="single" w:sz="4" w:space="0" w:color="auto"/>
            </w:tcBorders>
            <w:shd w:val="clear" w:color="auto" w:fill="C6EFCE"/>
            <w:noWrap/>
          </w:tcPr>
          <w:p w14:paraId="65934091" w14:textId="39DDB9E7"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5D20E167" w14:textId="120C89DC" w:rsidR="007D2EF7" w:rsidRPr="00DD6A04" w:rsidRDefault="007D2EF7" w:rsidP="007D2EF7">
            <w:pPr>
              <w:spacing w:before="0" w:after="0" w:line="240" w:lineRule="auto"/>
              <w:rPr>
                <w:rFonts w:eastAsia="Times New Roman"/>
                <w:noProof/>
                <w:color w:val="006100"/>
                <w:sz w:val="22"/>
              </w:rPr>
            </w:pPr>
            <w:r>
              <w:rPr>
                <w:noProof/>
                <w:color w:val="006100"/>
                <w:sz w:val="22"/>
              </w:rPr>
              <w:t>Število dokončanih projektov v zvezi s protipoplavno varnostjo, ki čim bolj podpirajo ukrepe za rešitve, ki temeljijo na naravi, in zelene ukrepe</w:t>
            </w:r>
          </w:p>
        </w:tc>
        <w:tc>
          <w:tcPr>
            <w:tcW w:w="1647" w:type="dxa"/>
            <w:tcBorders>
              <w:top w:val="single" w:sz="4" w:space="0" w:color="auto"/>
              <w:left w:val="nil"/>
              <w:bottom w:val="single" w:sz="4" w:space="0" w:color="auto"/>
              <w:right w:val="single" w:sz="4" w:space="0" w:color="auto"/>
            </w:tcBorders>
            <w:shd w:val="clear" w:color="auto" w:fill="C6EFCE"/>
            <w:noWrap/>
          </w:tcPr>
          <w:p w14:paraId="51740761" w14:textId="2D2252A5"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6B4C01B5" w14:textId="18C944D5"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5DEA650D" w14:textId="7C625E64"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28" w:type="dxa"/>
            <w:tcBorders>
              <w:top w:val="single" w:sz="4" w:space="0" w:color="auto"/>
              <w:left w:val="nil"/>
              <w:bottom w:val="single" w:sz="4" w:space="0" w:color="auto"/>
              <w:right w:val="single" w:sz="4" w:space="0" w:color="auto"/>
            </w:tcBorders>
            <w:shd w:val="clear" w:color="auto" w:fill="C6EFCE"/>
            <w:noWrap/>
          </w:tcPr>
          <w:p w14:paraId="04339DEF" w14:textId="061177AB"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2 </w:t>
            </w:r>
          </w:p>
        </w:tc>
        <w:tc>
          <w:tcPr>
            <w:tcW w:w="873" w:type="dxa"/>
            <w:tcBorders>
              <w:top w:val="single" w:sz="4" w:space="0" w:color="auto"/>
              <w:left w:val="nil"/>
              <w:bottom w:val="single" w:sz="4" w:space="0" w:color="auto"/>
              <w:right w:val="single" w:sz="4" w:space="0" w:color="auto"/>
            </w:tcBorders>
            <w:shd w:val="clear" w:color="auto" w:fill="C6EFCE"/>
            <w:noWrap/>
          </w:tcPr>
          <w:p w14:paraId="4B3E971D" w14:textId="3299BD58"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3B3823B4" w14:textId="4F01A76B"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220" w:type="dxa"/>
            <w:tcBorders>
              <w:top w:val="single" w:sz="4" w:space="0" w:color="auto"/>
              <w:left w:val="nil"/>
              <w:bottom w:val="single" w:sz="4" w:space="0" w:color="auto"/>
              <w:right w:val="single" w:sz="4" w:space="0" w:color="auto"/>
            </w:tcBorders>
            <w:shd w:val="clear" w:color="auto" w:fill="C6EFCE"/>
            <w:noWrap/>
          </w:tcPr>
          <w:p w14:paraId="0D809488" w14:textId="6CA0D06D" w:rsidR="007D2EF7" w:rsidRPr="00DD6A04" w:rsidRDefault="007D2EF7" w:rsidP="007D2EF7">
            <w:pPr>
              <w:spacing w:before="0" w:after="0" w:line="256" w:lineRule="auto"/>
              <w:rPr>
                <w:rFonts w:eastAsia="Times New Roman"/>
                <w:noProof/>
                <w:color w:val="006100"/>
                <w:sz w:val="22"/>
              </w:rPr>
            </w:pPr>
            <w:r>
              <w:rPr>
                <w:noProof/>
                <w:color w:val="006100"/>
                <w:sz w:val="22"/>
              </w:rPr>
              <w:t>Cilj predstavlja konkretno število dokončanih projektov na področju protipoplavne varnosti v skladu s sporazumi iz mejnika 32.</w:t>
            </w:r>
          </w:p>
          <w:p w14:paraId="73BE8701" w14:textId="40508143"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Projekti bodo prispevali k zmanjšanju poplavne ogroženosti na opredeljenih območjih, ki jih naslavlja sprejeti Načrt zmanjševanja poplavne ogroženosti 2023–2027 (NZPO) v Sloveniji v skladu z direktivo o poplavah in območjih, ki so jih v zadnji ujmi prizadele poplave. Projekti bodo čim bolj vključevali ukrepe za rešitve, ki temeljijo na naravi.</w:t>
            </w:r>
          </w:p>
        </w:tc>
      </w:tr>
      <w:tr w:rsidR="006B18FC" w:rsidRPr="00DD6A04" w14:paraId="595D5242"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0EE79A5E" w14:textId="5434D2D2" w:rsidR="007D2EF7" w:rsidRPr="00DD6A04" w:rsidRDefault="007D2EF7" w:rsidP="007D2EF7">
            <w:pPr>
              <w:spacing w:before="0" w:after="0" w:line="240" w:lineRule="auto"/>
              <w:rPr>
                <w:rFonts w:eastAsia="Times New Roman"/>
                <w:noProof/>
                <w:color w:val="006100"/>
                <w:sz w:val="22"/>
              </w:rPr>
            </w:pPr>
            <w:r>
              <w:rPr>
                <w:noProof/>
                <w:color w:val="006100"/>
                <w:sz w:val="22"/>
              </w:rPr>
              <w:t>36</w:t>
            </w:r>
          </w:p>
        </w:tc>
        <w:tc>
          <w:tcPr>
            <w:tcW w:w="1559" w:type="dxa"/>
            <w:tcBorders>
              <w:top w:val="single" w:sz="4" w:space="0" w:color="auto"/>
              <w:left w:val="nil"/>
              <w:bottom w:val="single" w:sz="4" w:space="0" w:color="auto"/>
              <w:right w:val="single" w:sz="4" w:space="0" w:color="auto"/>
            </w:tcBorders>
            <w:shd w:val="clear" w:color="auto" w:fill="C6EFCE"/>
            <w:noWrap/>
          </w:tcPr>
          <w:p w14:paraId="6619C55D" w14:textId="0988B29C" w:rsidR="007D2EF7" w:rsidRPr="00DD6A04" w:rsidRDefault="007D2EF7" w:rsidP="007D2EF7">
            <w:pPr>
              <w:spacing w:before="0" w:after="0" w:line="240" w:lineRule="auto"/>
              <w:rPr>
                <w:rFonts w:eastAsia="Times New Roman"/>
                <w:noProof/>
                <w:color w:val="006100"/>
                <w:sz w:val="22"/>
              </w:rPr>
            </w:pPr>
            <w:r>
              <w:rPr>
                <w:noProof/>
                <w:color w:val="006100"/>
                <w:sz w:val="22"/>
              </w:rPr>
              <w:t>C: Obnova in blaženje posledic podnebnih sprememb ter podnebno pogojenih nesreč za odporne biotsko pestre gozdove</w:t>
            </w:r>
          </w:p>
        </w:tc>
        <w:tc>
          <w:tcPr>
            <w:tcW w:w="1074" w:type="dxa"/>
            <w:tcBorders>
              <w:top w:val="single" w:sz="4" w:space="0" w:color="auto"/>
              <w:left w:val="nil"/>
              <w:bottom w:val="single" w:sz="4" w:space="0" w:color="auto"/>
              <w:right w:val="single" w:sz="4" w:space="0" w:color="auto"/>
            </w:tcBorders>
            <w:shd w:val="clear" w:color="auto" w:fill="C6EFCE"/>
            <w:noWrap/>
          </w:tcPr>
          <w:p w14:paraId="05B569FD" w14:textId="5C38C8DC"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31" w:type="dxa"/>
            <w:tcBorders>
              <w:top w:val="single" w:sz="4" w:space="0" w:color="auto"/>
              <w:left w:val="nil"/>
              <w:bottom w:val="single" w:sz="4" w:space="0" w:color="auto"/>
              <w:right w:val="single" w:sz="4" w:space="0" w:color="auto"/>
            </w:tcBorders>
            <w:shd w:val="clear" w:color="auto" w:fill="C6EFCE"/>
            <w:noWrap/>
          </w:tcPr>
          <w:p w14:paraId="1BAFC34A" w14:textId="097E96FD" w:rsidR="007D2EF7" w:rsidRPr="00DD6A04" w:rsidRDefault="007D2EF7" w:rsidP="007D2EF7">
            <w:pPr>
              <w:spacing w:before="0" w:after="0" w:line="240" w:lineRule="auto"/>
              <w:rPr>
                <w:rFonts w:eastAsia="Times New Roman"/>
                <w:noProof/>
                <w:color w:val="006100"/>
                <w:sz w:val="22"/>
              </w:rPr>
            </w:pPr>
            <w:r>
              <w:rPr>
                <w:noProof/>
                <w:color w:val="006100"/>
                <w:sz w:val="22"/>
              </w:rPr>
              <w:t>Začetek veljavnosti sprememb Pravilnika o pogojih za vpis v register dobaviteljev in drugih obveznostih dobaviteljev ter zahtevah za trženje gozdnega reprodukcijskega materiala</w:t>
            </w:r>
          </w:p>
        </w:tc>
        <w:tc>
          <w:tcPr>
            <w:tcW w:w="1647" w:type="dxa"/>
            <w:tcBorders>
              <w:top w:val="single" w:sz="4" w:space="0" w:color="auto"/>
              <w:left w:val="nil"/>
              <w:bottom w:val="single" w:sz="4" w:space="0" w:color="auto"/>
              <w:right w:val="single" w:sz="4" w:space="0" w:color="auto"/>
            </w:tcBorders>
            <w:shd w:val="clear" w:color="auto" w:fill="C6EFCE"/>
            <w:noWrap/>
          </w:tcPr>
          <w:p w14:paraId="58730D13"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Določba v spremembah, ki določa začetek veljavnosti Pravilnika o pogojih za vpis v register dobaviteljev in drugih obveznostih dobaviteljev ter zahtevah za trženje gozdnega reprodukcijskega materiala</w:t>
            </w:r>
          </w:p>
          <w:p w14:paraId="50C96F56" w14:textId="77777777" w:rsidR="007D2EF7" w:rsidRPr="00DD6A04" w:rsidRDefault="007D2EF7" w:rsidP="007D2EF7">
            <w:pPr>
              <w:spacing w:before="0" w:after="0" w:line="256" w:lineRule="auto"/>
              <w:rPr>
                <w:rFonts w:eastAsia="Times New Roman"/>
                <w:noProof/>
                <w:color w:val="006100"/>
                <w:sz w:val="22"/>
                <w:lang w:val="en-GB" w:eastAsia="en-GB"/>
              </w:rPr>
            </w:pPr>
          </w:p>
          <w:p w14:paraId="40E3A016" w14:textId="77777777" w:rsidR="007D2EF7" w:rsidRPr="00DD6A04" w:rsidRDefault="007D2EF7" w:rsidP="007D2EF7">
            <w:pPr>
              <w:spacing w:before="0" w:after="0" w:line="240" w:lineRule="auto"/>
              <w:rPr>
                <w:rFonts w:eastAsia="Times New Roman"/>
                <w:noProof/>
                <w:color w:val="006100"/>
                <w:sz w:val="22"/>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77813A4A" w14:textId="5AC1237C"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33A621F8" w14:textId="3E7B45CE"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28" w:type="dxa"/>
            <w:tcBorders>
              <w:top w:val="single" w:sz="4" w:space="0" w:color="auto"/>
              <w:left w:val="nil"/>
              <w:bottom w:val="single" w:sz="4" w:space="0" w:color="auto"/>
              <w:right w:val="single" w:sz="4" w:space="0" w:color="auto"/>
            </w:tcBorders>
            <w:shd w:val="clear" w:color="auto" w:fill="C6EFCE"/>
            <w:noWrap/>
          </w:tcPr>
          <w:p w14:paraId="0771EEF4" w14:textId="1A31D00C"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73" w:type="dxa"/>
            <w:tcBorders>
              <w:top w:val="single" w:sz="4" w:space="0" w:color="auto"/>
              <w:left w:val="nil"/>
              <w:bottom w:val="single" w:sz="4" w:space="0" w:color="auto"/>
              <w:right w:val="single" w:sz="4" w:space="0" w:color="auto"/>
            </w:tcBorders>
            <w:shd w:val="clear" w:color="auto" w:fill="C6EFCE"/>
            <w:noWrap/>
          </w:tcPr>
          <w:p w14:paraId="38E8C189" w14:textId="04071888"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545575C4" w14:textId="1F44C76A"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220" w:type="dxa"/>
            <w:tcBorders>
              <w:top w:val="single" w:sz="4" w:space="0" w:color="auto"/>
              <w:left w:val="nil"/>
              <w:bottom w:val="single" w:sz="4" w:space="0" w:color="auto"/>
              <w:right w:val="single" w:sz="4" w:space="0" w:color="auto"/>
            </w:tcBorders>
            <w:shd w:val="clear" w:color="auto" w:fill="C6EFCE"/>
            <w:noWrap/>
          </w:tcPr>
          <w:p w14:paraId="2CA2F537"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Ministrstvo za kmetijstvo, gozdarstvo in prehrano bo sprejelo naslednji spremembi:</w:t>
            </w:r>
          </w:p>
          <w:p w14:paraId="64435F95" w14:textId="5DBAC3C0" w:rsidR="00CA566D" w:rsidRPr="00DD6A04" w:rsidRDefault="007D2EF7" w:rsidP="007D2EF7">
            <w:pPr>
              <w:spacing w:before="0" w:after="0" w:line="240" w:lineRule="auto"/>
              <w:rPr>
                <w:rFonts w:eastAsia="Times New Roman"/>
                <w:noProof/>
                <w:color w:val="006100"/>
                <w:sz w:val="22"/>
              </w:rPr>
            </w:pPr>
            <w:r>
              <w:rPr>
                <w:noProof/>
                <w:color w:val="006100"/>
                <w:sz w:val="22"/>
              </w:rPr>
              <w:t>– pogoji za vpis v register dobaviteljev in druge obveznosti dobaviteljev ter zahteve za trženje gozdnega reprodukcijskega materiala bodo zagotavljali kakovost gozdnega reprodukcijskega materiala,</w:t>
            </w:r>
            <w:r w:rsidR="00037751">
              <w:rPr>
                <w:noProof/>
                <w:color w:val="006100"/>
                <w:sz w:val="22"/>
              </w:rPr>
              <w:t xml:space="preserve"> </w:t>
            </w:r>
          </w:p>
          <w:p w14:paraId="6D93C79A" w14:textId="6A41400F"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 xml:space="preserve">– potrdila za gozdni reprodukcijski material bodo omogočala sledenje gozdnemu reprodukcijskemu materialu. </w:t>
            </w:r>
          </w:p>
        </w:tc>
      </w:tr>
      <w:tr w:rsidR="006B18FC" w:rsidRPr="00DD6A04" w14:paraId="7D31A68F"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4392CB31" w14:textId="3818ED37" w:rsidR="007D2EF7" w:rsidRPr="00DD6A04" w:rsidRDefault="007D2EF7" w:rsidP="007D2EF7">
            <w:pPr>
              <w:spacing w:before="0" w:after="0" w:line="240" w:lineRule="auto"/>
              <w:rPr>
                <w:rFonts w:eastAsia="Times New Roman"/>
                <w:noProof/>
                <w:color w:val="006100"/>
                <w:sz w:val="22"/>
              </w:rPr>
            </w:pPr>
            <w:r>
              <w:rPr>
                <w:noProof/>
                <w:color w:val="006100"/>
                <w:sz w:val="22"/>
              </w:rPr>
              <w:t>37</w:t>
            </w:r>
          </w:p>
        </w:tc>
        <w:tc>
          <w:tcPr>
            <w:tcW w:w="1559" w:type="dxa"/>
            <w:tcBorders>
              <w:top w:val="single" w:sz="4" w:space="0" w:color="auto"/>
              <w:left w:val="nil"/>
              <w:bottom w:val="single" w:sz="4" w:space="0" w:color="auto"/>
              <w:right w:val="single" w:sz="4" w:space="0" w:color="auto"/>
            </w:tcBorders>
            <w:shd w:val="clear" w:color="auto" w:fill="C6EFCE"/>
            <w:noWrap/>
          </w:tcPr>
          <w:p w14:paraId="7189E1A7" w14:textId="2F511746" w:rsidR="007D2EF7" w:rsidRPr="00DD6A04" w:rsidRDefault="007D2EF7" w:rsidP="007D2EF7">
            <w:pPr>
              <w:spacing w:before="0" w:after="0" w:line="240" w:lineRule="auto"/>
              <w:rPr>
                <w:rFonts w:eastAsia="Times New Roman"/>
                <w:noProof/>
                <w:color w:val="006100"/>
                <w:sz w:val="22"/>
              </w:rPr>
            </w:pPr>
            <w:r>
              <w:rPr>
                <w:noProof/>
                <w:color w:val="006100"/>
                <w:sz w:val="22"/>
              </w:rPr>
              <w:t>G: Center za semenarstvo, drevesničarstvo in varstvo gozdov</w:t>
            </w:r>
          </w:p>
        </w:tc>
        <w:tc>
          <w:tcPr>
            <w:tcW w:w="1074" w:type="dxa"/>
            <w:tcBorders>
              <w:top w:val="single" w:sz="4" w:space="0" w:color="auto"/>
              <w:left w:val="nil"/>
              <w:bottom w:val="single" w:sz="4" w:space="0" w:color="auto"/>
              <w:right w:val="single" w:sz="4" w:space="0" w:color="auto"/>
            </w:tcBorders>
            <w:shd w:val="clear" w:color="auto" w:fill="C6EFCE"/>
            <w:noWrap/>
          </w:tcPr>
          <w:p w14:paraId="51A2AF1D" w14:textId="54F69D10"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31" w:type="dxa"/>
            <w:tcBorders>
              <w:top w:val="single" w:sz="4" w:space="0" w:color="auto"/>
              <w:left w:val="nil"/>
              <w:bottom w:val="single" w:sz="4" w:space="0" w:color="auto"/>
              <w:right w:val="single" w:sz="4" w:space="0" w:color="auto"/>
            </w:tcBorders>
            <w:shd w:val="clear" w:color="auto" w:fill="C6EFCE"/>
            <w:noWrap/>
          </w:tcPr>
          <w:p w14:paraId="6924D7A8" w14:textId="13F45757" w:rsidR="007D2EF7" w:rsidRPr="00DD6A04" w:rsidRDefault="007D2EF7" w:rsidP="007D2EF7">
            <w:pPr>
              <w:spacing w:before="0" w:after="0" w:line="240" w:lineRule="auto"/>
              <w:rPr>
                <w:rFonts w:eastAsia="Times New Roman"/>
                <w:noProof/>
                <w:color w:val="006100"/>
                <w:sz w:val="22"/>
              </w:rPr>
            </w:pPr>
            <w:r>
              <w:rPr>
                <w:noProof/>
                <w:color w:val="006100"/>
                <w:sz w:val="22"/>
              </w:rPr>
              <w:t>Operativen Center za semenarstvo, drevesničarstvo in varstvo gozdov</w:t>
            </w:r>
          </w:p>
        </w:tc>
        <w:tc>
          <w:tcPr>
            <w:tcW w:w="1647" w:type="dxa"/>
            <w:tcBorders>
              <w:top w:val="single" w:sz="4" w:space="0" w:color="auto"/>
              <w:left w:val="nil"/>
              <w:bottom w:val="single" w:sz="4" w:space="0" w:color="auto"/>
              <w:right w:val="single" w:sz="4" w:space="0" w:color="auto"/>
            </w:tcBorders>
            <w:shd w:val="clear" w:color="auto" w:fill="C6EFCE"/>
            <w:noWrap/>
          </w:tcPr>
          <w:p w14:paraId="457225FE" w14:textId="1FC766FF"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Dokončana gradbena dela in pridobljeno dovoljenje za delovanje </w:t>
            </w:r>
          </w:p>
        </w:tc>
        <w:tc>
          <w:tcPr>
            <w:tcW w:w="1134" w:type="dxa"/>
            <w:tcBorders>
              <w:top w:val="single" w:sz="4" w:space="0" w:color="auto"/>
              <w:left w:val="nil"/>
              <w:bottom w:val="single" w:sz="4" w:space="0" w:color="auto"/>
              <w:right w:val="single" w:sz="4" w:space="0" w:color="auto"/>
            </w:tcBorders>
            <w:shd w:val="clear" w:color="auto" w:fill="C6EFCE"/>
            <w:noWrap/>
          </w:tcPr>
          <w:p w14:paraId="47285292" w14:textId="3FC6F591"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70F487F3" w14:textId="4EC7869A"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28" w:type="dxa"/>
            <w:tcBorders>
              <w:top w:val="single" w:sz="4" w:space="0" w:color="auto"/>
              <w:left w:val="nil"/>
              <w:bottom w:val="single" w:sz="4" w:space="0" w:color="auto"/>
              <w:right w:val="single" w:sz="4" w:space="0" w:color="auto"/>
            </w:tcBorders>
            <w:shd w:val="clear" w:color="auto" w:fill="C6EFCE"/>
            <w:noWrap/>
          </w:tcPr>
          <w:p w14:paraId="7010581B" w14:textId="5783B45C"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73" w:type="dxa"/>
            <w:tcBorders>
              <w:top w:val="single" w:sz="4" w:space="0" w:color="auto"/>
              <w:left w:val="nil"/>
              <w:bottom w:val="single" w:sz="4" w:space="0" w:color="auto"/>
              <w:right w:val="single" w:sz="4" w:space="0" w:color="auto"/>
            </w:tcBorders>
            <w:shd w:val="clear" w:color="auto" w:fill="C6EFCE"/>
            <w:noWrap/>
          </w:tcPr>
          <w:p w14:paraId="3E10F420" w14:textId="72AB1545"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2B725441" w14:textId="6B7BB6C3" w:rsidR="007D2EF7" w:rsidRPr="00DD6A04" w:rsidRDefault="007D2EF7" w:rsidP="1A371CD3">
            <w:pPr>
              <w:spacing w:before="0" w:after="0" w:line="240" w:lineRule="auto"/>
              <w:rPr>
                <w:rFonts w:eastAsia="Times New Roman"/>
                <w:noProof/>
                <w:color w:val="006100"/>
                <w:sz w:val="22"/>
              </w:rPr>
            </w:pPr>
            <w:r>
              <w:rPr>
                <w:noProof/>
                <w:color w:val="006100"/>
                <w:sz w:val="22"/>
              </w:rPr>
              <w:t>2025</w:t>
            </w:r>
          </w:p>
        </w:tc>
        <w:tc>
          <w:tcPr>
            <w:tcW w:w="3220" w:type="dxa"/>
            <w:tcBorders>
              <w:top w:val="single" w:sz="4" w:space="0" w:color="auto"/>
              <w:left w:val="nil"/>
              <w:bottom w:val="single" w:sz="4" w:space="0" w:color="auto"/>
              <w:right w:val="single" w:sz="4" w:space="0" w:color="auto"/>
            </w:tcBorders>
            <w:shd w:val="clear" w:color="auto" w:fill="C6EFCE"/>
            <w:noWrap/>
          </w:tcPr>
          <w:p w14:paraId="779011BC" w14:textId="041F455D" w:rsidR="007D2EF7" w:rsidRPr="00DD6A04" w:rsidRDefault="19543BDA" w:rsidP="30B14B47">
            <w:pPr>
              <w:spacing w:before="0" w:after="0" w:line="256" w:lineRule="auto"/>
              <w:rPr>
                <w:rFonts w:eastAsia="Times New Roman"/>
                <w:noProof/>
                <w:color w:val="006100"/>
                <w:sz w:val="22"/>
              </w:rPr>
            </w:pPr>
            <w:r>
              <w:rPr>
                <w:noProof/>
                <w:color w:val="006100"/>
                <w:sz w:val="22"/>
              </w:rPr>
              <w:t xml:space="preserve">Center bo vključeval vsaj 2 510 kvadratnih metrov površine. V njem se bodo izvajale raziskovalne in razvojne dejavnosti na področju gozdnega semenarstva, drevesničarstva in varstva gozdov. </w:t>
            </w:r>
          </w:p>
          <w:p w14:paraId="5C171947" w14:textId="6D05620A"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Potreba nove stavbe po primarni energiji bo vsaj 20 % nižja od tiste, ki se zahteva za stavbo s skoraj ničelno porabo energije v skladu z nacionalnimi pravili o gradnji takih stavb.</w:t>
            </w:r>
          </w:p>
        </w:tc>
      </w:tr>
      <w:tr w:rsidR="006B18FC" w:rsidRPr="00DD6A04" w14:paraId="4A078618"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58408A50" w14:textId="1DE7995D" w:rsidR="007D2EF7" w:rsidRPr="00DD6A04" w:rsidRDefault="007D2EF7" w:rsidP="007D2EF7">
            <w:pPr>
              <w:spacing w:before="0" w:after="0" w:line="240" w:lineRule="auto"/>
              <w:rPr>
                <w:rFonts w:eastAsia="Times New Roman"/>
                <w:noProof/>
                <w:color w:val="006100"/>
                <w:sz w:val="22"/>
              </w:rPr>
            </w:pPr>
            <w:r>
              <w:rPr>
                <w:noProof/>
                <w:color w:val="006100"/>
                <w:sz w:val="22"/>
              </w:rPr>
              <w:t>38</w:t>
            </w:r>
          </w:p>
        </w:tc>
        <w:tc>
          <w:tcPr>
            <w:tcW w:w="1559" w:type="dxa"/>
            <w:tcBorders>
              <w:top w:val="single" w:sz="4" w:space="0" w:color="auto"/>
              <w:left w:val="nil"/>
              <w:bottom w:val="single" w:sz="4" w:space="0" w:color="auto"/>
              <w:right w:val="single" w:sz="4" w:space="0" w:color="auto"/>
            </w:tcBorders>
            <w:shd w:val="clear" w:color="auto" w:fill="C6EFCE"/>
            <w:noWrap/>
          </w:tcPr>
          <w:p w14:paraId="3F070E08" w14:textId="58F33BB5" w:rsidR="007D2EF7" w:rsidRPr="00DD6A04" w:rsidRDefault="007D2EF7" w:rsidP="007D2EF7">
            <w:pPr>
              <w:spacing w:before="0" w:after="0" w:line="240" w:lineRule="auto"/>
              <w:rPr>
                <w:rFonts w:eastAsia="Times New Roman"/>
                <w:noProof/>
                <w:color w:val="006100"/>
                <w:sz w:val="22"/>
              </w:rPr>
            </w:pPr>
            <w:r>
              <w:rPr>
                <w:noProof/>
                <w:color w:val="006100"/>
                <w:sz w:val="22"/>
              </w:rPr>
              <w:t>H: Projekti odvajanja in čiščenja komunalne odpadne vode</w:t>
            </w:r>
          </w:p>
        </w:tc>
        <w:tc>
          <w:tcPr>
            <w:tcW w:w="1074" w:type="dxa"/>
            <w:tcBorders>
              <w:top w:val="single" w:sz="4" w:space="0" w:color="auto"/>
              <w:left w:val="nil"/>
              <w:bottom w:val="single" w:sz="4" w:space="0" w:color="auto"/>
              <w:right w:val="single" w:sz="4" w:space="0" w:color="auto"/>
            </w:tcBorders>
            <w:shd w:val="clear" w:color="auto" w:fill="C6EFCE"/>
            <w:noWrap/>
          </w:tcPr>
          <w:p w14:paraId="0CB22320" w14:textId="06466E11"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31" w:type="dxa"/>
            <w:tcBorders>
              <w:top w:val="single" w:sz="4" w:space="0" w:color="auto"/>
              <w:left w:val="nil"/>
              <w:bottom w:val="single" w:sz="4" w:space="0" w:color="auto"/>
              <w:right w:val="single" w:sz="4" w:space="0" w:color="auto"/>
            </w:tcBorders>
            <w:shd w:val="clear" w:color="auto" w:fill="C6EFCE"/>
            <w:noWrap/>
          </w:tcPr>
          <w:p w14:paraId="28FA2A6A" w14:textId="3EB4B144" w:rsidR="007D2EF7" w:rsidRPr="00DD6A04" w:rsidRDefault="007D2EF7" w:rsidP="007D2EF7">
            <w:pPr>
              <w:spacing w:before="0" w:after="0" w:line="240" w:lineRule="auto"/>
              <w:rPr>
                <w:rFonts w:eastAsia="Times New Roman"/>
                <w:noProof/>
                <w:color w:val="006100"/>
                <w:sz w:val="22"/>
              </w:rPr>
            </w:pPr>
            <w:r>
              <w:rPr>
                <w:noProof/>
                <w:color w:val="006100"/>
                <w:sz w:val="22"/>
              </w:rPr>
              <w:t>Izdaja sklepov o sofinanciranju za projekte odvajanja in čiščenja komunalne odpadne vode</w:t>
            </w:r>
          </w:p>
        </w:tc>
        <w:tc>
          <w:tcPr>
            <w:tcW w:w="1647" w:type="dxa"/>
            <w:tcBorders>
              <w:top w:val="single" w:sz="4" w:space="0" w:color="auto"/>
              <w:left w:val="nil"/>
              <w:bottom w:val="single" w:sz="4" w:space="0" w:color="auto"/>
              <w:right w:val="single" w:sz="4" w:space="0" w:color="auto"/>
            </w:tcBorders>
            <w:shd w:val="clear" w:color="auto" w:fill="C6EFCE"/>
            <w:noWrap/>
          </w:tcPr>
          <w:p w14:paraId="2039E94B" w14:textId="31D1163D" w:rsidR="007D2EF7" w:rsidRPr="00DD6A04" w:rsidRDefault="007D2EF7" w:rsidP="007D2EF7">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single" w:sz="4" w:space="0" w:color="auto"/>
              <w:left w:val="nil"/>
              <w:bottom w:val="single" w:sz="4" w:space="0" w:color="auto"/>
              <w:right w:val="single" w:sz="4" w:space="0" w:color="auto"/>
            </w:tcBorders>
            <w:shd w:val="clear" w:color="auto" w:fill="C6EFCE"/>
            <w:noWrap/>
          </w:tcPr>
          <w:p w14:paraId="68B7B258" w14:textId="3D4EE55F"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6A41BA79" w14:textId="16C244BB"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28" w:type="dxa"/>
            <w:tcBorders>
              <w:top w:val="single" w:sz="4" w:space="0" w:color="auto"/>
              <w:left w:val="nil"/>
              <w:bottom w:val="single" w:sz="4" w:space="0" w:color="auto"/>
              <w:right w:val="single" w:sz="4" w:space="0" w:color="auto"/>
            </w:tcBorders>
            <w:shd w:val="clear" w:color="auto" w:fill="C6EFCE"/>
            <w:noWrap/>
          </w:tcPr>
          <w:p w14:paraId="769BB25C" w14:textId="35D37DE5"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73" w:type="dxa"/>
            <w:tcBorders>
              <w:top w:val="single" w:sz="4" w:space="0" w:color="auto"/>
              <w:left w:val="nil"/>
              <w:bottom w:val="single" w:sz="4" w:space="0" w:color="auto"/>
              <w:right w:val="single" w:sz="4" w:space="0" w:color="auto"/>
            </w:tcBorders>
            <w:shd w:val="clear" w:color="auto" w:fill="C6EFCE"/>
            <w:noWrap/>
          </w:tcPr>
          <w:p w14:paraId="4E165DAB" w14:textId="0D918A5E"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4B1458D7" w14:textId="2375F943"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220" w:type="dxa"/>
            <w:tcBorders>
              <w:top w:val="single" w:sz="4" w:space="0" w:color="auto"/>
              <w:left w:val="nil"/>
              <w:bottom w:val="single" w:sz="4" w:space="0" w:color="auto"/>
              <w:right w:val="single" w:sz="4" w:space="0" w:color="auto"/>
            </w:tcBorders>
            <w:shd w:val="clear" w:color="auto" w:fill="C6EFCE"/>
            <w:noWrap/>
          </w:tcPr>
          <w:p w14:paraId="7FE85342" w14:textId="35014530" w:rsidR="007D2EF7" w:rsidRPr="00DD6A04" w:rsidRDefault="007D2EF7" w:rsidP="007D2EF7">
            <w:pPr>
              <w:spacing w:before="0" w:after="0" w:line="256" w:lineRule="auto"/>
              <w:rPr>
                <w:rFonts w:eastAsia="Times New Roman"/>
                <w:noProof/>
                <w:color w:val="006100"/>
                <w:sz w:val="22"/>
              </w:rPr>
            </w:pPr>
            <w:r>
              <w:rPr>
                <w:noProof/>
                <w:color w:val="006100"/>
                <w:sz w:val="22"/>
              </w:rPr>
              <w:t xml:space="preserve">Izdaja sklepov za sofinanciranje za 15 projektov odvajanja in čiščenja komunalne odpadne vode. Projekti bodo obravnavali rekonstrukcijo obstoječih sistemov, da se poveča energetska učinkovitost in zmanjša poraba električne energije za vsaj 10 %. Neto poraba energije novih sistemov bo nič. </w:t>
            </w:r>
          </w:p>
          <w:p w14:paraId="66A10346" w14:textId="0ECEF59A"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Projekti se bodo osredotočali na naravovarstvena območja.</w:t>
            </w:r>
          </w:p>
        </w:tc>
      </w:tr>
      <w:tr w:rsidR="006B18FC" w:rsidRPr="00DD6A04" w14:paraId="6ED882B8"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66F3B72B" w14:textId="34B0DAB4" w:rsidR="007D2EF7" w:rsidRPr="00DD6A04" w:rsidRDefault="007D2EF7" w:rsidP="007D2EF7">
            <w:pPr>
              <w:spacing w:before="0" w:after="0" w:line="240" w:lineRule="auto"/>
              <w:rPr>
                <w:rFonts w:eastAsia="Times New Roman"/>
                <w:noProof/>
                <w:color w:val="006100"/>
                <w:sz w:val="22"/>
              </w:rPr>
            </w:pPr>
            <w:r>
              <w:rPr>
                <w:noProof/>
                <w:color w:val="006100"/>
                <w:sz w:val="22"/>
              </w:rPr>
              <w:t>39</w:t>
            </w:r>
          </w:p>
        </w:tc>
        <w:tc>
          <w:tcPr>
            <w:tcW w:w="1559" w:type="dxa"/>
            <w:tcBorders>
              <w:top w:val="single" w:sz="4" w:space="0" w:color="auto"/>
              <w:left w:val="nil"/>
              <w:bottom w:val="single" w:sz="4" w:space="0" w:color="auto"/>
              <w:right w:val="single" w:sz="4" w:space="0" w:color="auto"/>
            </w:tcBorders>
            <w:shd w:val="clear" w:color="auto" w:fill="C6EFCE"/>
            <w:noWrap/>
          </w:tcPr>
          <w:p w14:paraId="2EC6E4CF" w14:textId="7FC30959" w:rsidR="007D2EF7" w:rsidRPr="00DD6A04" w:rsidRDefault="007D2EF7" w:rsidP="007D2EF7">
            <w:pPr>
              <w:spacing w:before="0" w:after="0" w:line="240" w:lineRule="auto"/>
              <w:rPr>
                <w:rFonts w:eastAsia="Times New Roman"/>
                <w:noProof/>
                <w:color w:val="006100"/>
                <w:sz w:val="22"/>
              </w:rPr>
            </w:pPr>
            <w:r>
              <w:rPr>
                <w:noProof/>
                <w:color w:val="006100"/>
                <w:sz w:val="22"/>
              </w:rPr>
              <w:t>H: Projekti odvajanja in čiščenja komunalne odpadne vode</w:t>
            </w:r>
          </w:p>
        </w:tc>
        <w:tc>
          <w:tcPr>
            <w:tcW w:w="1074" w:type="dxa"/>
            <w:tcBorders>
              <w:top w:val="single" w:sz="4" w:space="0" w:color="auto"/>
              <w:left w:val="nil"/>
              <w:bottom w:val="single" w:sz="4" w:space="0" w:color="auto"/>
              <w:right w:val="single" w:sz="4" w:space="0" w:color="auto"/>
            </w:tcBorders>
            <w:shd w:val="clear" w:color="auto" w:fill="C6EFCE"/>
            <w:noWrap/>
          </w:tcPr>
          <w:p w14:paraId="1F449A2A" w14:textId="784A92FD"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25DB033E" w14:textId="5FF5F742"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odvajanja in čiščenja komunalne odpadne vode </w:t>
            </w:r>
          </w:p>
        </w:tc>
        <w:tc>
          <w:tcPr>
            <w:tcW w:w="1647" w:type="dxa"/>
            <w:tcBorders>
              <w:top w:val="single" w:sz="4" w:space="0" w:color="auto"/>
              <w:left w:val="nil"/>
              <w:bottom w:val="single" w:sz="4" w:space="0" w:color="auto"/>
              <w:right w:val="single" w:sz="4" w:space="0" w:color="auto"/>
            </w:tcBorders>
            <w:shd w:val="clear" w:color="auto" w:fill="C6EFCE"/>
            <w:noWrap/>
          </w:tcPr>
          <w:p w14:paraId="5E182E06" w14:textId="77777777" w:rsidR="007D2EF7" w:rsidRPr="00DD6A04" w:rsidRDefault="007D2EF7" w:rsidP="007D2EF7">
            <w:pPr>
              <w:spacing w:before="0" w:after="0" w:line="240" w:lineRule="auto"/>
              <w:rPr>
                <w:rFonts w:eastAsia="Times New Roman"/>
                <w:noProof/>
                <w:color w:val="006100"/>
                <w:sz w:val="22"/>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60AA877A" w14:textId="7A1B88D9"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091C315C" w14:textId="0D5DDFED"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28" w:type="dxa"/>
            <w:tcBorders>
              <w:top w:val="single" w:sz="4" w:space="0" w:color="auto"/>
              <w:left w:val="nil"/>
              <w:bottom w:val="single" w:sz="4" w:space="0" w:color="auto"/>
              <w:right w:val="single" w:sz="4" w:space="0" w:color="auto"/>
            </w:tcBorders>
            <w:shd w:val="clear" w:color="auto" w:fill="C6EFCE"/>
            <w:noWrap/>
          </w:tcPr>
          <w:p w14:paraId="199E4854" w14:textId="65643A92" w:rsidR="007D2EF7" w:rsidRPr="00DD6A04" w:rsidRDefault="007D2EF7" w:rsidP="007D2EF7">
            <w:pPr>
              <w:spacing w:before="0" w:after="0" w:line="240" w:lineRule="auto"/>
              <w:rPr>
                <w:rFonts w:eastAsia="Times New Roman"/>
                <w:noProof/>
                <w:color w:val="006100"/>
                <w:sz w:val="22"/>
              </w:rPr>
            </w:pPr>
            <w:r>
              <w:rPr>
                <w:noProof/>
                <w:color w:val="006100"/>
                <w:sz w:val="22"/>
              </w:rPr>
              <w:t>5</w:t>
            </w:r>
          </w:p>
        </w:tc>
        <w:tc>
          <w:tcPr>
            <w:tcW w:w="873" w:type="dxa"/>
            <w:tcBorders>
              <w:top w:val="single" w:sz="4" w:space="0" w:color="auto"/>
              <w:left w:val="nil"/>
              <w:bottom w:val="single" w:sz="4" w:space="0" w:color="auto"/>
              <w:right w:val="single" w:sz="4" w:space="0" w:color="auto"/>
            </w:tcBorders>
            <w:shd w:val="clear" w:color="auto" w:fill="C6EFCE"/>
            <w:noWrap/>
          </w:tcPr>
          <w:p w14:paraId="684970F1" w14:textId="5127EB13"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647EB0C1" w14:textId="0372114C" w:rsidR="007D2EF7" w:rsidRPr="00DD6A04" w:rsidRDefault="007D2EF7" w:rsidP="007D2EF7">
            <w:pPr>
              <w:spacing w:before="0" w:after="0" w:line="240" w:lineRule="auto"/>
              <w:rPr>
                <w:rFonts w:eastAsia="Times New Roman"/>
                <w:noProof/>
                <w:color w:val="006100"/>
                <w:sz w:val="22"/>
              </w:rPr>
            </w:pPr>
            <w:r>
              <w:rPr>
                <w:noProof/>
                <w:color w:val="006100"/>
                <w:sz w:val="22"/>
              </w:rPr>
              <w:t>2024</w:t>
            </w:r>
          </w:p>
        </w:tc>
        <w:tc>
          <w:tcPr>
            <w:tcW w:w="3220" w:type="dxa"/>
            <w:tcBorders>
              <w:top w:val="single" w:sz="4" w:space="0" w:color="auto"/>
              <w:left w:val="nil"/>
              <w:bottom w:val="single" w:sz="4" w:space="0" w:color="auto"/>
              <w:right w:val="single" w:sz="4" w:space="0" w:color="auto"/>
            </w:tcBorders>
            <w:shd w:val="clear" w:color="auto" w:fill="C6EFCE"/>
            <w:noWrap/>
          </w:tcPr>
          <w:p w14:paraId="6B4FC8D5" w14:textId="4A0E3879"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Dokončani projekti v zvezi z rekonstrukcijo obstoječih sistemov, da se poveča energetska učinkovitost in zmanjša poraba električne energije, v skladu z zahtevami iz mejnika 38.</w:t>
            </w:r>
          </w:p>
        </w:tc>
      </w:tr>
      <w:tr w:rsidR="006B18FC" w:rsidRPr="00DD6A04" w14:paraId="6EC5420D"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7C3AD255" w14:textId="1E9945B6" w:rsidR="007D2EF7" w:rsidRPr="00DD6A04" w:rsidRDefault="007D2EF7" w:rsidP="007D2EF7">
            <w:pPr>
              <w:spacing w:before="0" w:after="0" w:line="240" w:lineRule="auto"/>
              <w:rPr>
                <w:rFonts w:eastAsia="Times New Roman"/>
                <w:noProof/>
                <w:color w:val="006100"/>
                <w:sz w:val="22"/>
              </w:rPr>
            </w:pPr>
            <w:r>
              <w:rPr>
                <w:noProof/>
                <w:color w:val="006100"/>
                <w:sz w:val="22"/>
              </w:rPr>
              <w:t>40</w:t>
            </w:r>
          </w:p>
        </w:tc>
        <w:tc>
          <w:tcPr>
            <w:tcW w:w="1559" w:type="dxa"/>
            <w:tcBorders>
              <w:top w:val="single" w:sz="4" w:space="0" w:color="auto"/>
              <w:left w:val="nil"/>
              <w:bottom w:val="single" w:sz="4" w:space="0" w:color="auto"/>
              <w:right w:val="single" w:sz="4" w:space="0" w:color="auto"/>
            </w:tcBorders>
            <w:shd w:val="clear" w:color="auto" w:fill="C6EFCE"/>
            <w:noWrap/>
          </w:tcPr>
          <w:p w14:paraId="77A3F2B3" w14:textId="79142317" w:rsidR="007D2EF7" w:rsidRPr="00DD6A04" w:rsidRDefault="007D2EF7" w:rsidP="007D2EF7">
            <w:pPr>
              <w:spacing w:before="0" w:after="0" w:line="240" w:lineRule="auto"/>
              <w:rPr>
                <w:rFonts w:eastAsia="Times New Roman"/>
                <w:noProof/>
                <w:color w:val="006100"/>
                <w:sz w:val="22"/>
              </w:rPr>
            </w:pPr>
            <w:r>
              <w:rPr>
                <w:noProof/>
                <w:color w:val="006100"/>
                <w:sz w:val="22"/>
              </w:rPr>
              <w:t>H: Projekti odvajanja in čiščenja komunalne odpadne vode</w:t>
            </w:r>
          </w:p>
        </w:tc>
        <w:tc>
          <w:tcPr>
            <w:tcW w:w="1074" w:type="dxa"/>
            <w:tcBorders>
              <w:top w:val="single" w:sz="4" w:space="0" w:color="auto"/>
              <w:left w:val="nil"/>
              <w:bottom w:val="single" w:sz="4" w:space="0" w:color="auto"/>
              <w:right w:val="single" w:sz="4" w:space="0" w:color="auto"/>
            </w:tcBorders>
            <w:shd w:val="clear" w:color="auto" w:fill="C6EFCE"/>
            <w:noWrap/>
          </w:tcPr>
          <w:p w14:paraId="67A2A58D" w14:textId="1493309B"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65B5FB0C" w14:textId="6DBC5889"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odvajanja in čiščenja komunalne odpadne vode </w:t>
            </w:r>
          </w:p>
        </w:tc>
        <w:tc>
          <w:tcPr>
            <w:tcW w:w="1647" w:type="dxa"/>
            <w:tcBorders>
              <w:top w:val="single" w:sz="4" w:space="0" w:color="auto"/>
              <w:left w:val="nil"/>
              <w:bottom w:val="single" w:sz="4" w:space="0" w:color="auto"/>
              <w:right w:val="single" w:sz="4" w:space="0" w:color="auto"/>
            </w:tcBorders>
            <w:shd w:val="clear" w:color="auto" w:fill="C6EFCE"/>
            <w:noWrap/>
          </w:tcPr>
          <w:p w14:paraId="116CD99F" w14:textId="77777777" w:rsidR="007D2EF7" w:rsidRPr="00DD6A04" w:rsidRDefault="007D2EF7" w:rsidP="007D2EF7">
            <w:pPr>
              <w:spacing w:before="0" w:after="0" w:line="240" w:lineRule="auto"/>
              <w:rPr>
                <w:rFonts w:eastAsia="Times New Roman"/>
                <w:noProof/>
                <w:color w:val="006100"/>
                <w:sz w:val="22"/>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17E56F92" w14:textId="6D9D82BE"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57F60077" w14:textId="4EADA058" w:rsidR="007D2EF7" w:rsidRPr="00DD6A04" w:rsidRDefault="007D2EF7" w:rsidP="007D2EF7">
            <w:pPr>
              <w:spacing w:before="0" w:after="0" w:line="240" w:lineRule="auto"/>
              <w:rPr>
                <w:rFonts w:eastAsia="Times New Roman"/>
                <w:noProof/>
                <w:color w:val="006100"/>
                <w:sz w:val="22"/>
              </w:rPr>
            </w:pPr>
            <w:r>
              <w:rPr>
                <w:noProof/>
                <w:color w:val="006100"/>
                <w:sz w:val="22"/>
              </w:rPr>
              <w:t>5</w:t>
            </w:r>
          </w:p>
        </w:tc>
        <w:tc>
          <w:tcPr>
            <w:tcW w:w="828" w:type="dxa"/>
            <w:tcBorders>
              <w:top w:val="single" w:sz="4" w:space="0" w:color="auto"/>
              <w:left w:val="nil"/>
              <w:bottom w:val="single" w:sz="4" w:space="0" w:color="auto"/>
              <w:right w:val="single" w:sz="4" w:space="0" w:color="auto"/>
            </w:tcBorders>
            <w:shd w:val="clear" w:color="auto" w:fill="C6EFCE"/>
            <w:noWrap/>
          </w:tcPr>
          <w:p w14:paraId="137CB990" w14:textId="75ED2A67" w:rsidR="007D2EF7" w:rsidRPr="00DD6A04" w:rsidRDefault="007D2EF7" w:rsidP="007D2EF7">
            <w:pPr>
              <w:spacing w:before="0" w:after="0" w:line="240" w:lineRule="auto"/>
              <w:rPr>
                <w:rFonts w:eastAsia="Times New Roman"/>
                <w:noProof/>
                <w:color w:val="006100"/>
                <w:sz w:val="22"/>
              </w:rPr>
            </w:pPr>
            <w:r>
              <w:rPr>
                <w:noProof/>
                <w:color w:val="006100"/>
                <w:sz w:val="22"/>
              </w:rPr>
              <w:t>12</w:t>
            </w:r>
          </w:p>
        </w:tc>
        <w:tc>
          <w:tcPr>
            <w:tcW w:w="873" w:type="dxa"/>
            <w:tcBorders>
              <w:top w:val="single" w:sz="4" w:space="0" w:color="auto"/>
              <w:left w:val="nil"/>
              <w:bottom w:val="single" w:sz="4" w:space="0" w:color="auto"/>
              <w:right w:val="single" w:sz="4" w:space="0" w:color="auto"/>
            </w:tcBorders>
            <w:shd w:val="clear" w:color="auto" w:fill="C6EFCE"/>
            <w:noWrap/>
          </w:tcPr>
          <w:p w14:paraId="32E7851B" w14:textId="2680BAD7"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76EA34B2" w14:textId="338C82AD"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220" w:type="dxa"/>
            <w:tcBorders>
              <w:top w:val="single" w:sz="4" w:space="0" w:color="auto"/>
              <w:left w:val="nil"/>
              <w:bottom w:val="single" w:sz="4" w:space="0" w:color="auto"/>
              <w:right w:val="single" w:sz="4" w:space="0" w:color="auto"/>
            </w:tcBorders>
            <w:shd w:val="clear" w:color="auto" w:fill="C6EFCE"/>
            <w:noWrap/>
          </w:tcPr>
          <w:p w14:paraId="11F49358" w14:textId="307E0602"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Dokončani projekti v zvezi z rekonstrukcijo obstoječih sistemov, da se poveča energetska učinkovitost in zmanjša poraba električne energije, v skladu z zahtevami iz mejnika 38.</w:t>
            </w:r>
          </w:p>
        </w:tc>
      </w:tr>
      <w:tr w:rsidR="006B18FC" w:rsidRPr="00DD6A04" w14:paraId="2399C6CF"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05928ECC" w14:textId="6DB9486D" w:rsidR="007D2EF7" w:rsidRPr="00DD6A04" w:rsidRDefault="007D2EF7" w:rsidP="007D2EF7">
            <w:pPr>
              <w:spacing w:before="0" w:after="0" w:line="240" w:lineRule="auto"/>
              <w:rPr>
                <w:rFonts w:eastAsia="Times New Roman"/>
                <w:noProof/>
                <w:color w:val="006100"/>
                <w:sz w:val="22"/>
              </w:rPr>
            </w:pPr>
            <w:r>
              <w:rPr>
                <w:noProof/>
                <w:color w:val="006100"/>
                <w:sz w:val="22"/>
              </w:rPr>
              <w:t>41</w:t>
            </w:r>
          </w:p>
        </w:tc>
        <w:tc>
          <w:tcPr>
            <w:tcW w:w="1559" w:type="dxa"/>
            <w:tcBorders>
              <w:top w:val="single" w:sz="4" w:space="0" w:color="auto"/>
              <w:left w:val="nil"/>
              <w:bottom w:val="single" w:sz="4" w:space="0" w:color="auto"/>
              <w:right w:val="single" w:sz="4" w:space="0" w:color="auto"/>
            </w:tcBorders>
            <w:shd w:val="clear" w:color="auto" w:fill="C6EFCE"/>
            <w:noWrap/>
          </w:tcPr>
          <w:p w14:paraId="627CC8A0" w14:textId="781C654C" w:rsidR="007D2EF7" w:rsidRPr="00DD6A04" w:rsidRDefault="007D2EF7" w:rsidP="007D2EF7">
            <w:pPr>
              <w:spacing w:before="0" w:after="0" w:line="240" w:lineRule="auto"/>
              <w:rPr>
                <w:rFonts w:eastAsia="Times New Roman"/>
                <w:noProof/>
                <w:color w:val="006100"/>
                <w:sz w:val="22"/>
              </w:rPr>
            </w:pPr>
            <w:r>
              <w:rPr>
                <w:noProof/>
                <w:color w:val="006100"/>
                <w:sz w:val="22"/>
              </w:rPr>
              <w:t>H: Projekti odvajanja in čiščenja komunalne odpadne vode</w:t>
            </w:r>
          </w:p>
        </w:tc>
        <w:tc>
          <w:tcPr>
            <w:tcW w:w="1074" w:type="dxa"/>
            <w:tcBorders>
              <w:top w:val="single" w:sz="4" w:space="0" w:color="auto"/>
              <w:left w:val="nil"/>
              <w:bottom w:val="single" w:sz="4" w:space="0" w:color="auto"/>
              <w:right w:val="single" w:sz="4" w:space="0" w:color="auto"/>
            </w:tcBorders>
            <w:shd w:val="clear" w:color="auto" w:fill="C6EFCE"/>
            <w:noWrap/>
          </w:tcPr>
          <w:p w14:paraId="68299BE2" w14:textId="7466FD6E"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1F4E0D50" w14:textId="2E1569A9"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odvajanja in čiščenja komunalne odpadne vode </w:t>
            </w:r>
          </w:p>
        </w:tc>
        <w:tc>
          <w:tcPr>
            <w:tcW w:w="1647" w:type="dxa"/>
            <w:tcBorders>
              <w:top w:val="single" w:sz="4" w:space="0" w:color="auto"/>
              <w:left w:val="nil"/>
              <w:bottom w:val="single" w:sz="4" w:space="0" w:color="auto"/>
              <w:right w:val="single" w:sz="4" w:space="0" w:color="auto"/>
            </w:tcBorders>
            <w:shd w:val="clear" w:color="auto" w:fill="C6EFCE"/>
            <w:noWrap/>
          </w:tcPr>
          <w:p w14:paraId="1061723C" w14:textId="06834640"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056815CF" w14:textId="752AAE28"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0519478C" w14:textId="01683B7B" w:rsidR="007D2EF7" w:rsidRPr="00DD6A04" w:rsidRDefault="007D2EF7" w:rsidP="007D2EF7">
            <w:pPr>
              <w:spacing w:before="0" w:after="0" w:line="240" w:lineRule="auto"/>
              <w:rPr>
                <w:rFonts w:eastAsia="Times New Roman"/>
                <w:noProof/>
                <w:color w:val="006100"/>
                <w:sz w:val="22"/>
              </w:rPr>
            </w:pPr>
            <w:r>
              <w:rPr>
                <w:noProof/>
                <w:color w:val="006100"/>
                <w:sz w:val="22"/>
              </w:rPr>
              <w:t>12</w:t>
            </w:r>
          </w:p>
        </w:tc>
        <w:tc>
          <w:tcPr>
            <w:tcW w:w="828" w:type="dxa"/>
            <w:tcBorders>
              <w:top w:val="single" w:sz="4" w:space="0" w:color="auto"/>
              <w:left w:val="nil"/>
              <w:bottom w:val="single" w:sz="4" w:space="0" w:color="auto"/>
              <w:right w:val="single" w:sz="4" w:space="0" w:color="auto"/>
            </w:tcBorders>
            <w:shd w:val="clear" w:color="auto" w:fill="C6EFCE"/>
            <w:noWrap/>
          </w:tcPr>
          <w:p w14:paraId="35DA72D1" w14:textId="16BE9668" w:rsidR="007D2EF7" w:rsidRPr="00DD6A04" w:rsidRDefault="007D2EF7" w:rsidP="007D2EF7">
            <w:pPr>
              <w:spacing w:before="0" w:after="0" w:line="240" w:lineRule="auto"/>
              <w:rPr>
                <w:rFonts w:eastAsia="Times New Roman"/>
                <w:noProof/>
                <w:color w:val="006100"/>
                <w:sz w:val="22"/>
              </w:rPr>
            </w:pPr>
            <w:r>
              <w:rPr>
                <w:noProof/>
                <w:color w:val="006100"/>
                <w:sz w:val="22"/>
              </w:rPr>
              <w:t>15</w:t>
            </w:r>
          </w:p>
        </w:tc>
        <w:tc>
          <w:tcPr>
            <w:tcW w:w="873" w:type="dxa"/>
            <w:tcBorders>
              <w:top w:val="single" w:sz="4" w:space="0" w:color="auto"/>
              <w:left w:val="nil"/>
              <w:bottom w:val="single" w:sz="4" w:space="0" w:color="auto"/>
              <w:right w:val="single" w:sz="4" w:space="0" w:color="auto"/>
            </w:tcBorders>
            <w:shd w:val="clear" w:color="auto" w:fill="C6EFCE"/>
            <w:noWrap/>
          </w:tcPr>
          <w:p w14:paraId="1873952B" w14:textId="289CDA84"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851" w:type="dxa"/>
            <w:tcBorders>
              <w:top w:val="single" w:sz="4" w:space="0" w:color="auto"/>
              <w:left w:val="nil"/>
              <w:bottom w:val="single" w:sz="4" w:space="0" w:color="auto"/>
              <w:right w:val="single" w:sz="4" w:space="0" w:color="auto"/>
            </w:tcBorders>
            <w:shd w:val="clear" w:color="auto" w:fill="C6EFCE"/>
            <w:noWrap/>
          </w:tcPr>
          <w:p w14:paraId="252E52E9" w14:textId="2477CAEA" w:rsidR="007D2EF7" w:rsidRPr="00DD6A04" w:rsidRDefault="007D2EF7" w:rsidP="007D2EF7">
            <w:pPr>
              <w:spacing w:before="0" w:after="0" w:line="240" w:lineRule="auto"/>
              <w:rPr>
                <w:rFonts w:eastAsia="Times New Roman"/>
                <w:noProof/>
                <w:color w:val="006100"/>
                <w:sz w:val="22"/>
              </w:rPr>
            </w:pPr>
            <w:r>
              <w:rPr>
                <w:noProof/>
                <w:color w:val="006100"/>
                <w:sz w:val="22"/>
              </w:rPr>
              <w:t>2026</w:t>
            </w:r>
          </w:p>
        </w:tc>
        <w:tc>
          <w:tcPr>
            <w:tcW w:w="3220" w:type="dxa"/>
            <w:tcBorders>
              <w:top w:val="single" w:sz="4" w:space="0" w:color="auto"/>
              <w:left w:val="nil"/>
              <w:bottom w:val="single" w:sz="4" w:space="0" w:color="auto"/>
              <w:right w:val="single" w:sz="4" w:space="0" w:color="auto"/>
            </w:tcBorders>
            <w:shd w:val="clear" w:color="auto" w:fill="C6EFCE"/>
            <w:noWrap/>
          </w:tcPr>
          <w:p w14:paraId="7D2F88A3" w14:textId="22B043BF"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Dokončani projekti v zvezi z rekonstrukcijo obstoječih sistemov, da se poveča energetska učinkovitost in zmanjša poraba električne energije, v skladu z zahtevami iz mejnika 38.</w:t>
            </w:r>
          </w:p>
        </w:tc>
      </w:tr>
      <w:tr w:rsidR="006B18FC" w:rsidRPr="00DD6A04" w14:paraId="7D0BDDFD"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46386928" w14:textId="5F23B237" w:rsidR="007D2EF7" w:rsidRPr="00DD6A04" w:rsidRDefault="007D2EF7" w:rsidP="007D2EF7">
            <w:pPr>
              <w:spacing w:before="0" w:after="0" w:line="240" w:lineRule="auto"/>
              <w:rPr>
                <w:rFonts w:eastAsia="Times New Roman"/>
                <w:noProof/>
                <w:color w:val="006100"/>
                <w:sz w:val="22"/>
              </w:rPr>
            </w:pPr>
            <w:r>
              <w:rPr>
                <w:noProof/>
                <w:color w:val="006100"/>
                <w:sz w:val="22"/>
              </w:rPr>
              <w:t>42</w:t>
            </w:r>
          </w:p>
        </w:tc>
        <w:tc>
          <w:tcPr>
            <w:tcW w:w="1559" w:type="dxa"/>
            <w:tcBorders>
              <w:top w:val="single" w:sz="4" w:space="0" w:color="auto"/>
              <w:left w:val="nil"/>
              <w:bottom w:val="single" w:sz="4" w:space="0" w:color="auto"/>
              <w:right w:val="single" w:sz="4" w:space="0" w:color="auto"/>
            </w:tcBorders>
            <w:shd w:val="clear" w:color="auto" w:fill="C6EFCE"/>
            <w:noWrap/>
          </w:tcPr>
          <w:p w14:paraId="7D26F5F3" w14:textId="7778D689" w:rsidR="007D2EF7" w:rsidRPr="00DD6A04" w:rsidRDefault="007D2EF7" w:rsidP="007D2EF7">
            <w:pPr>
              <w:spacing w:before="0" w:after="0" w:line="240" w:lineRule="auto"/>
              <w:rPr>
                <w:rFonts w:eastAsia="Times New Roman"/>
                <w:noProof/>
                <w:color w:val="006100"/>
                <w:sz w:val="22"/>
              </w:rPr>
            </w:pPr>
            <w:r>
              <w:rPr>
                <w:noProof/>
                <w:color w:val="006100"/>
                <w:sz w:val="22"/>
              </w:rPr>
              <w:t>I: Projekti oskrbe in varčevanja s pitno vodo</w:t>
            </w:r>
          </w:p>
        </w:tc>
        <w:tc>
          <w:tcPr>
            <w:tcW w:w="1074" w:type="dxa"/>
            <w:tcBorders>
              <w:top w:val="single" w:sz="4" w:space="0" w:color="auto"/>
              <w:left w:val="nil"/>
              <w:bottom w:val="single" w:sz="4" w:space="0" w:color="auto"/>
              <w:right w:val="single" w:sz="4" w:space="0" w:color="auto"/>
            </w:tcBorders>
            <w:shd w:val="clear" w:color="auto" w:fill="C6EFCE"/>
            <w:noWrap/>
          </w:tcPr>
          <w:p w14:paraId="5AB663FC" w14:textId="71CB332A"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31" w:type="dxa"/>
            <w:tcBorders>
              <w:top w:val="single" w:sz="4" w:space="0" w:color="auto"/>
              <w:left w:val="nil"/>
              <w:bottom w:val="single" w:sz="4" w:space="0" w:color="auto"/>
              <w:right w:val="single" w:sz="4" w:space="0" w:color="auto"/>
            </w:tcBorders>
            <w:shd w:val="clear" w:color="auto" w:fill="C6EFCE"/>
            <w:noWrap/>
          </w:tcPr>
          <w:p w14:paraId="2226AC5D" w14:textId="0CC800DB" w:rsidR="007D2EF7" w:rsidRPr="00DD6A04" w:rsidRDefault="007D2EF7" w:rsidP="007D2EF7">
            <w:pPr>
              <w:spacing w:before="0" w:after="0" w:line="240" w:lineRule="auto"/>
              <w:rPr>
                <w:rFonts w:eastAsia="Times New Roman"/>
                <w:noProof/>
                <w:color w:val="006100"/>
                <w:sz w:val="22"/>
              </w:rPr>
            </w:pPr>
            <w:r>
              <w:rPr>
                <w:noProof/>
                <w:color w:val="006100"/>
                <w:sz w:val="22"/>
              </w:rPr>
              <w:t>Izdaja sklepov o sofinanciranju za projekte oskrbe s pitno vodo</w:t>
            </w:r>
          </w:p>
        </w:tc>
        <w:tc>
          <w:tcPr>
            <w:tcW w:w="1647" w:type="dxa"/>
            <w:tcBorders>
              <w:top w:val="single" w:sz="4" w:space="0" w:color="auto"/>
              <w:left w:val="nil"/>
              <w:bottom w:val="single" w:sz="4" w:space="0" w:color="auto"/>
              <w:right w:val="single" w:sz="4" w:space="0" w:color="auto"/>
            </w:tcBorders>
            <w:shd w:val="clear" w:color="auto" w:fill="C6EFCE"/>
            <w:noWrap/>
          </w:tcPr>
          <w:p w14:paraId="40AF4241" w14:textId="33D47FE6" w:rsidR="007D2EF7" w:rsidRPr="00DD6A04" w:rsidRDefault="007D2EF7" w:rsidP="007D2EF7">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single" w:sz="4" w:space="0" w:color="auto"/>
              <w:left w:val="nil"/>
              <w:bottom w:val="single" w:sz="4" w:space="0" w:color="auto"/>
              <w:right w:val="single" w:sz="4" w:space="0" w:color="auto"/>
            </w:tcBorders>
            <w:shd w:val="clear" w:color="auto" w:fill="C6EFCE"/>
            <w:noWrap/>
          </w:tcPr>
          <w:p w14:paraId="1E8D829E" w14:textId="7A3B5E70"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35D8BA6C" w14:textId="52A2DE41"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28" w:type="dxa"/>
            <w:tcBorders>
              <w:top w:val="single" w:sz="4" w:space="0" w:color="auto"/>
              <w:left w:val="nil"/>
              <w:bottom w:val="single" w:sz="4" w:space="0" w:color="auto"/>
              <w:right w:val="single" w:sz="4" w:space="0" w:color="auto"/>
            </w:tcBorders>
            <w:shd w:val="clear" w:color="auto" w:fill="C6EFCE"/>
            <w:noWrap/>
          </w:tcPr>
          <w:p w14:paraId="56747E99" w14:textId="4D354F49"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73" w:type="dxa"/>
            <w:tcBorders>
              <w:top w:val="single" w:sz="4" w:space="0" w:color="auto"/>
              <w:left w:val="nil"/>
              <w:bottom w:val="single" w:sz="4" w:space="0" w:color="auto"/>
              <w:right w:val="single" w:sz="4" w:space="0" w:color="auto"/>
            </w:tcBorders>
            <w:shd w:val="clear" w:color="auto" w:fill="C6EFCE"/>
            <w:noWrap/>
          </w:tcPr>
          <w:p w14:paraId="4E29AAB8" w14:textId="112F7E09"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2F872757" w14:textId="6602E2EE"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220" w:type="dxa"/>
            <w:tcBorders>
              <w:top w:val="single" w:sz="4" w:space="0" w:color="auto"/>
              <w:left w:val="nil"/>
              <w:bottom w:val="single" w:sz="4" w:space="0" w:color="auto"/>
              <w:right w:val="single" w:sz="4" w:space="0" w:color="auto"/>
            </w:tcBorders>
            <w:shd w:val="clear" w:color="auto" w:fill="C6EFCE"/>
            <w:noWrap/>
          </w:tcPr>
          <w:p w14:paraId="6EFD0DEB" w14:textId="6FD590CC"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 xml:space="preserve">Izdaja sklepov o sofinanciranju za projekte oskrbe s pitno vodo Projekti bodo obravnavali rekonstrukcijo obstoječih sistemov, da se poveča energetska učinkovitost in zmanjša poraba električne energije za vsaj 10 % ter da se zagotovi, da bo povprečna poraba energije novih sistemov največ 0,5 kWh ali da bo njihov infrastrukturni indeks izgub največ 1,5. </w:t>
            </w:r>
          </w:p>
        </w:tc>
      </w:tr>
      <w:tr w:rsidR="006B18FC" w:rsidRPr="00DD6A04" w14:paraId="6BD93091"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139C0959" w14:textId="068D603A" w:rsidR="007D2EF7" w:rsidRPr="00DD6A04" w:rsidRDefault="007D2EF7" w:rsidP="007D2EF7">
            <w:pPr>
              <w:spacing w:before="0" w:after="0" w:line="240" w:lineRule="auto"/>
              <w:rPr>
                <w:rFonts w:eastAsia="Times New Roman"/>
                <w:noProof/>
                <w:color w:val="006100"/>
                <w:sz w:val="22"/>
              </w:rPr>
            </w:pPr>
            <w:r>
              <w:rPr>
                <w:noProof/>
                <w:color w:val="006100"/>
                <w:sz w:val="22"/>
              </w:rPr>
              <w:t>43</w:t>
            </w:r>
          </w:p>
        </w:tc>
        <w:tc>
          <w:tcPr>
            <w:tcW w:w="1559" w:type="dxa"/>
            <w:tcBorders>
              <w:top w:val="single" w:sz="4" w:space="0" w:color="auto"/>
              <w:left w:val="nil"/>
              <w:bottom w:val="single" w:sz="4" w:space="0" w:color="auto"/>
              <w:right w:val="single" w:sz="4" w:space="0" w:color="auto"/>
            </w:tcBorders>
            <w:shd w:val="clear" w:color="auto" w:fill="C6EFCE"/>
            <w:noWrap/>
          </w:tcPr>
          <w:p w14:paraId="641F45BD" w14:textId="78B13D20" w:rsidR="007D2EF7" w:rsidRPr="00DD6A04" w:rsidRDefault="007D2EF7" w:rsidP="007D2EF7">
            <w:pPr>
              <w:spacing w:before="0" w:after="0" w:line="240" w:lineRule="auto"/>
              <w:rPr>
                <w:rFonts w:eastAsia="Times New Roman"/>
                <w:noProof/>
                <w:color w:val="006100"/>
                <w:sz w:val="22"/>
              </w:rPr>
            </w:pPr>
            <w:r>
              <w:rPr>
                <w:noProof/>
                <w:color w:val="006100"/>
                <w:sz w:val="22"/>
              </w:rPr>
              <w:t>I: Projekti oskrbe in varčevanja s pitno vodo</w:t>
            </w:r>
          </w:p>
        </w:tc>
        <w:tc>
          <w:tcPr>
            <w:tcW w:w="1074" w:type="dxa"/>
            <w:tcBorders>
              <w:top w:val="single" w:sz="4" w:space="0" w:color="auto"/>
              <w:left w:val="nil"/>
              <w:bottom w:val="single" w:sz="4" w:space="0" w:color="auto"/>
              <w:right w:val="single" w:sz="4" w:space="0" w:color="auto"/>
            </w:tcBorders>
            <w:shd w:val="clear" w:color="auto" w:fill="C6EFCE"/>
            <w:noWrap/>
          </w:tcPr>
          <w:p w14:paraId="1EC35C86" w14:textId="4282ED56"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47C133A1" w14:textId="33D7C7B2"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oskrbe s pitno vodo </w:t>
            </w:r>
          </w:p>
        </w:tc>
        <w:tc>
          <w:tcPr>
            <w:tcW w:w="1647" w:type="dxa"/>
            <w:tcBorders>
              <w:top w:val="single" w:sz="4" w:space="0" w:color="auto"/>
              <w:left w:val="nil"/>
              <w:bottom w:val="single" w:sz="4" w:space="0" w:color="auto"/>
              <w:right w:val="single" w:sz="4" w:space="0" w:color="auto"/>
            </w:tcBorders>
            <w:shd w:val="clear" w:color="auto" w:fill="C6EFCE"/>
            <w:noWrap/>
          </w:tcPr>
          <w:p w14:paraId="59E6951B" w14:textId="7814CE21"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7DF3230B" w14:textId="5134B95B"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73944EF6" w14:textId="6EB7AB27"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28" w:type="dxa"/>
            <w:tcBorders>
              <w:top w:val="single" w:sz="4" w:space="0" w:color="auto"/>
              <w:left w:val="nil"/>
              <w:bottom w:val="single" w:sz="4" w:space="0" w:color="auto"/>
              <w:right w:val="single" w:sz="4" w:space="0" w:color="auto"/>
            </w:tcBorders>
            <w:shd w:val="clear" w:color="auto" w:fill="C6EFCE"/>
            <w:noWrap/>
          </w:tcPr>
          <w:p w14:paraId="1BA617D9" w14:textId="172DE1DE" w:rsidR="007D2EF7" w:rsidRPr="00DD6A04" w:rsidRDefault="007D2EF7" w:rsidP="007D2EF7">
            <w:pPr>
              <w:spacing w:before="0" w:after="0" w:line="240" w:lineRule="auto"/>
              <w:rPr>
                <w:rFonts w:eastAsia="Times New Roman"/>
                <w:noProof/>
                <w:color w:val="006100"/>
                <w:sz w:val="22"/>
              </w:rPr>
            </w:pPr>
            <w:r>
              <w:rPr>
                <w:noProof/>
                <w:color w:val="006100"/>
                <w:sz w:val="22"/>
              </w:rPr>
              <w:t>5</w:t>
            </w:r>
          </w:p>
        </w:tc>
        <w:tc>
          <w:tcPr>
            <w:tcW w:w="873" w:type="dxa"/>
            <w:tcBorders>
              <w:top w:val="single" w:sz="4" w:space="0" w:color="auto"/>
              <w:left w:val="nil"/>
              <w:bottom w:val="single" w:sz="4" w:space="0" w:color="auto"/>
              <w:right w:val="single" w:sz="4" w:space="0" w:color="auto"/>
            </w:tcBorders>
            <w:shd w:val="clear" w:color="auto" w:fill="C6EFCE"/>
            <w:noWrap/>
          </w:tcPr>
          <w:p w14:paraId="4DEDA9A3" w14:textId="563ECE4D"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3191A8D5" w14:textId="427D32D8" w:rsidR="007D2EF7" w:rsidRPr="00DD6A04" w:rsidRDefault="007D2EF7" w:rsidP="007D2EF7">
            <w:pPr>
              <w:spacing w:before="0" w:after="0" w:line="240" w:lineRule="auto"/>
              <w:rPr>
                <w:rFonts w:eastAsia="Times New Roman"/>
                <w:noProof/>
                <w:color w:val="006100"/>
                <w:sz w:val="22"/>
              </w:rPr>
            </w:pPr>
            <w:r>
              <w:rPr>
                <w:noProof/>
                <w:color w:val="006100"/>
                <w:sz w:val="22"/>
              </w:rPr>
              <w:t>2024</w:t>
            </w:r>
          </w:p>
        </w:tc>
        <w:tc>
          <w:tcPr>
            <w:tcW w:w="3220" w:type="dxa"/>
            <w:tcBorders>
              <w:top w:val="single" w:sz="4" w:space="0" w:color="auto"/>
              <w:left w:val="nil"/>
              <w:bottom w:val="single" w:sz="4" w:space="0" w:color="auto"/>
              <w:right w:val="single" w:sz="4" w:space="0" w:color="auto"/>
            </w:tcBorders>
            <w:shd w:val="clear" w:color="auto" w:fill="C6EFCE"/>
            <w:noWrap/>
          </w:tcPr>
          <w:p w14:paraId="3C06CC52" w14:textId="58145E43"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Dokončani projekti v zvezi z rekonstrukcijo obstoječih sistemov, da se poveča energetska učinkovitost in zmanjša poraba električne energije, v skladu z zahtevami iz mejnika 42.</w:t>
            </w:r>
          </w:p>
        </w:tc>
      </w:tr>
      <w:tr w:rsidR="006B18FC" w:rsidRPr="00DD6A04" w14:paraId="4B6092CD"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4457FA7D" w14:textId="2071095B" w:rsidR="007D2EF7" w:rsidRPr="00DD6A04" w:rsidRDefault="007D2EF7" w:rsidP="007D2EF7">
            <w:pPr>
              <w:spacing w:before="0" w:after="0" w:line="240" w:lineRule="auto"/>
              <w:rPr>
                <w:rFonts w:eastAsia="Times New Roman"/>
                <w:noProof/>
                <w:color w:val="006100"/>
                <w:sz w:val="22"/>
              </w:rPr>
            </w:pPr>
            <w:r>
              <w:rPr>
                <w:noProof/>
                <w:color w:val="006100"/>
                <w:sz w:val="22"/>
              </w:rPr>
              <w:t>44</w:t>
            </w:r>
          </w:p>
        </w:tc>
        <w:tc>
          <w:tcPr>
            <w:tcW w:w="1559" w:type="dxa"/>
            <w:tcBorders>
              <w:top w:val="single" w:sz="4" w:space="0" w:color="auto"/>
              <w:left w:val="nil"/>
              <w:bottom w:val="single" w:sz="4" w:space="0" w:color="auto"/>
              <w:right w:val="single" w:sz="4" w:space="0" w:color="auto"/>
            </w:tcBorders>
            <w:shd w:val="clear" w:color="auto" w:fill="C6EFCE"/>
            <w:noWrap/>
          </w:tcPr>
          <w:p w14:paraId="7E315B2F" w14:textId="2B80B9CF" w:rsidR="007D2EF7" w:rsidRPr="00DD6A04" w:rsidRDefault="007D2EF7" w:rsidP="007D2EF7">
            <w:pPr>
              <w:spacing w:before="0" w:after="0" w:line="240" w:lineRule="auto"/>
              <w:rPr>
                <w:rFonts w:eastAsia="Times New Roman"/>
                <w:noProof/>
                <w:color w:val="006100"/>
                <w:sz w:val="22"/>
              </w:rPr>
            </w:pPr>
            <w:r>
              <w:rPr>
                <w:noProof/>
                <w:color w:val="006100"/>
                <w:sz w:val="22"/>
              </w:rPr>
              <w:t>I: Projekti oskrbe in varčevanja s pitno vodo</w:t>
            </w:r>
          </w:p>
        </w:tc>
        <w:tc>
          <w:tcPr>
            <w:tcW w:w="1074" w:type="dxa"/>
            <w:tcBorders>
              <w:top w:val="single" w:sz="4" w:space="0" w:color="auto"/>
              <w:left w:val="nil"/>
              <w:bottom w:val="single" w:sz="4" w:space="0" w:color="auto"/>
              <w:right w:val="single" w:sz="4" w:space="0" w:color="auto"/>
            </w:tcBorders>
            <w:shd w:val="clear" w:color="auto" w:fill="C6EFCE"/>
            <w:noWrap/>
          </w:tcPr>
          <w:p w14:paraId="468408BE" w14:textId="0464F433"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525045CD" w14:textId="2FF8EC45"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oskrbe s pitno vodo </w:t>
            </w:r>
          </w:p>
        </w:tc>
        <w:tc>
          <w:tcPr>
            <w:tcW w:w="1647" w:type="dxa"/>
            <w:tcBorders>
              <w:top w:val="single" w:sz="4" w:space="0" w:color="auto"/>
              <w:left w:val="nil"/>
              <w:bottom w:val="single" w:sz="4" w:space="0" w:color="auto"/>
              <w:right w:val="single" w:sz="4" w:space="0" w:color="auto"/>
            </w:tcBorders>
            <w:shd w:val="clear" w:color="auto" w:fill="C6EFCE"/>
            <w:noWrap/>
          </w:tcPr>
          <w:p w14:paraId="6C92AF13" w14:textId="7B8CDF31"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5253516E" w14:textId="665B499E"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6167C798" w14:textId="5724251D" w:rsidR="007D2EF7" w:rsidRPr="00DD6A04" w:rsidRDefault="007D2EF7" w:rsidP="007D2EF7">
            <w:pPr>
              <w:spacing w:before="0" w:after="0" w:line="240" w:lineRule="auto"/>
              <w:rPr>
                <w:rFonts w:eastAsia="Times New Roman"/>
                <w:noProof/>
                <w:color w:val="006100"/>
                <w:sz w:val="22"/>
              </w:rPr>
            </w:pPr>
            <w:r>
              <w:rPr>
                <w:noProof/>
                <w:color w:val="006100"/>
                <w:sz w:val="22"/>
              </w:rPr>
              <w:t>5</w:t>
            </w:r>
          </w:p>
        </w:tc>
        <w:tc>
          <w:tcPr>
            <w:tcW w:w="828" w:type="dxa"/>
            <w:tcBorders>
              <w:top w:val="single" w:sz="4" w:space="0" w:color="auto"/>
              <w:left w:val="nil"/>
              <w:bottom w:val="single" w:sz="4" w:space="0" w:color="auto"/>
              <w:right w:val="single" w:sz="4" w:space="0" w:color="auto"/>
            </w:tcBorders>
            <w:shd w:val="clear" w:color="auto" w:fill="C6EFCE"/>
            <w:noWrap/>
          </w:tcPr>
          <w:p w14:paraId="6560FBDE" w14:textId="20B0A6E6" w:rsidR="007D2EF7" w:rsidRPr="00DD6A04" w:rsidRDefault="007D2EF7" w:rsidP="007D2EF7">
            <w:pPr>
              <w:spacing w:before="0" w:after="0" w:line="240" w:lineRule="auto"/>
              <w:rPr>
                <w:rFonts w:eastAsia="Times New Roman"/>
                <w:noProof/>
                <w:color w:val="006100"/>
                <w:sz w:val="22"/>
              </w:rPr>
            </w:pPr>
            <w:r>
              <w:rPr>
                <w:noProof/>
                <w:color w:val="006100"/>
                <w:sz w:val="22"/>
              </w:rPr>
              <w:t>12</w:t>
            </w:r>
          </w:p>
        </w:tc>
        <w:tc>
          <w:tcPr>
            <w:tcW w:w="873" w:type="dxa"/>
            <w:tcBorders>
              <w:top w:val="single" w:sz="4" w:space="0" w:color="auto"/>
              <w:left w:val="nil"/>
              <w:bottom w:val="single" w:sz="4" w:space="0" w:color="auto"/>
              <w:right w:val="single" w:sz="4" w:space="0" w:color="auto"/>
            </w:tcBorders>
            <w:shd w:val="clear" w:color="auto" w:fill="C6EFCE"/>
            <w:noWrap/>
          </w:tcPr>
          <w:p w14:paraId="54AB51D5" w14:textId="33FF8578"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4B6F3E95" w14:textId="6CB0241C"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220" w:type="dxa"/>
            <w:tcBorders>
              <w:top w:val="single" w:sz="4" w:space="0" w:color="auto"/>
              <w:left w:val="nil"/>
              <w:bottom w:val="single" w:sz="4" w:space="0" w:color="auto"/>
              <w:right w:val="single" w:sz="4" w:space="0" w:color="auto"/>
            </w:tcBorders>
            <w:shd w:val="clear" w:color="auto" w:fill="C6EFCE"/>
            <w:noWrap/>
          </w:tcPr>
          <w:p w14:paraId="05C0AAAE" w14:textId="3C662601"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Dokončani projekti v zvezi z rekonstrukcijo obstoječih sistemov, da se poveča energetska učinkovitost in zmanjša poraba električne energije, v skladu z zahtevami iz mejnika 42.</w:t>
            </w:r>
          </w:p>
        </w:tc>
      </w:tr>
      <w:tr w:rsidR="006B18FC" w:rsidRPr="00DD6A04" w14:paraId="2DE9910F" w14:textId="77777777" w:rsidTr="00BE4788">
        <w:trPr>
          <w:trHeight w:val="2110"/>
          <w:jc w:val="center"/>
        </w:trPr>
        <w:tc>
          <w:tcPr>
            <w:tcW w:w="1409" w:type="dxa"/>
            <w:tcBorders>
              <w:top w:val="single" w:sz="4" w:space="0" w:color="auto"/>
              <w:left w:val="single" w:sz="4" w:space="0" w:color="auto"/>
              <w:bottom w:val="single" w:sz="4" w:space="0" w:color="auto"/>
              <w:right w:val="single" w:sz="4" w:space="0" w:color="auto"/>
            </w:tcBorders>
            <w:shd w:val="clear" w:color="auto" w:fill="C6EFCE"/>
            <w:noWrap/>
          </w:tcPr>
          <w:p w14:paraId="20431B67" w14:textId="35CCDA7E" w:rsidR="007D2EF7" w:rsidRPr="00DD6A04" w:rsidRDefault="007D2EF7" w:rsidP="007D2EF7">
            <w:pPr>
              <w:spacing w:before="0" w:after="0" w:line="240" w:lineRule="auto"/>
              <w:rPr>
                <w:rFonts w:eastAsia="Times New Roman"/>
                <w:noProof/>
                <w:color w:val="006100"/>
                <w:sz w:val="22"/>
              </w:rPr>
            </w:pPr>
            <w:r>
              <w:rPr>
                <w:noProof/>
                <w:color w:val="006100"/>
                <w:sz w:val="22"/>
              </w:rPr>
              <w:t>45</w:t>
            </w:r>
          </w:p>
        </w:tc>
        <w:tc>
          <w:tcPr>
            <w:tcW w:w="1559" w:type="dxa"/>
            <w:tcBorders>
              <w:top w:val="single" w:sz="4" w:space="0" w:color="auto"/>
              <w:left w:val="nil"/>
              <w:bottom w:val="single" w:sz="4" w:space="0" w:color="auto"/>
              <w:right w:val="single" w:sz="4" w:space="0" w:color="auto"/>
            </w:tcBorders>
            <w:shd w:val="clear" w:color="auto" w:fill="C6EFCE"/>
            <w:noWrap/>
          </w:tcPr>
          <w:p w14:paraId="497EF57D" w14:textId="0EE6DD5B" w:rsidR="007D2EF7" w:rsidRPr="00DD6A04" w:rsidRDefault="007D2EF7" w:rsidP="007D2EF7">
            <w:pPr>
              <w:spacing w:before="0" w:after="0" w:line="240" w:lineRule="auto"/>
              <w:rPr>
                <w:rFonts w:eastAsia="Times New Roman"/>
                <w:noProof/>
                <w:color w:val="006100"/>
                <w:sz w:val="22"/>
              </w:rPr>
            </w:pPr>
            <w:r>
              <w:rPr>
                <w:noProof/>
                <w:color w:val="006100"/>
                <w:sz w:val="22"/>
              </w:rPr>
              <w:t>I: Projekti oskrbe in varčevanja s pitno vodo</w:t>
            </w:r>
          </w:p>
        </w:tc>
        <w:tc>
          <w:tcPr>
            <w:tcW w:w="1074" w:type="dxa"/>
            <w:tcBorders>
              <w:top w:val="single" w:sz="4" w:space="0" w:color="auto"/>
              <w:left w:val="nil"/>
              <w:bottom w:val="single" w:sz="4" w:space="0" w:color="auto"/>
              <w:right w:val="single" w:sz="4" w:space="0" w:color="auto"/>
            </w:tcBorders>
            <w:shd w:val="clear" w:color="auto" w:fill="C6EFCE"/>
            <w:noWrap/>
          </w:tcPr>
          <w:p w14:paraId="269CA9A8" w14:textId="49C6ADC5"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31" w:type="dxa"/>
            <w:tcBorders>
              <w:top w:val="single" w:sz="4" w:space="0" w:color="auto"/>
              <w:left w:val="nil"/>
              <w:bottom w:val="single" w:sz="4" w:space="0" w:color="auto"/>
              <w:right w:val="single" w:sz="4" w:space="0" w:color="auto"/>
            </w:tcBorders>
            <w:shd w:val="clear" w:color="auto" w:fill="C6EFCE"/>
            <w:noWrap/>
          </w:tcPr>
          <w:p w14:paraId="6325656D" w14:textId="660543DE"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oskrbe s pitno vodo </w:t>
            </w:r>
          </w:p>
        </w:tc>
        <w:tc>
          <w:tcPr>
            <w:tcW w:w="1647" w:type="dxa"/>
            <w:tcBorders>
              <w:top w:val="single" w:sz="4" w:space="0" w:color="auto"/>
              <w:left w:val="nil"/>
              <w:bottom w:val="single" w:sz="4" w:space="0" w:color="auto"/>
              <w:right w:val="single" w:sz="4" w:space="0" w:color="auto"/>
            </w:tcBorders>
            <w:shd w:val="clear" w:color="auto" w:fill="C6EFCE"/>
            <w:noWrap/>
          </w:tcPr>
          <w:p w14:paraId="2CB0E6CF" w14:textId="73098BAA"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19934F5F" w14:textId="503FE7CD"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43589D85" w14:textId="3EAC84CE" w:rsidR="007D2EF7" w:rsidRPr="00DD6A04" w:rsidRDefault="007D2EF7" w:rsidP="007D2EF7">
            <w:pPr>
              <w:spacing w:before="0" w:after="0" w:line="240" w:lineRule="auto"/>
              <w:rPr>
                <w:rFonts w:eastAsia="Times New Roman"/>
                <w:noProof/>
                <w:color w:val="006100"/>
                <w:sz w:val="22"/>
              </w:rPr>
            </w:pPr>
            <w:r>
              <w:rPr>
                <w:noProof/>
                <w:color w:val="006100"/>
                <w:sz w:val="22"/>
              </w:rPr>
              <w:t>12</w:t>
            </w:r>
          </w:p>
        </w:tc>
        <w:tc>
          <w:tcPr>
            <w:tcW w:w="828" w:type="dxa"/>
            <w:tcBorders>
              <w:top w:val="single" w:sz="4" w:space="0" w:color="auto"/>
              <w:left w:val="nil"/>
              <w:bottom w:val="single" w:sz="4" w:space="0" w:color="auto"/>
              <w:right w:val="single" w:sz="4" w:space="0" w:color="auto"/>
            </w:tcBorders>
            <w:shd w:val="clear" w:color="auto" w:fill="C6EFCE"/>
            <w:noWrap/>
          </w:tcPr>
          <w:p w14:paraId="399FBF06" w14:textId="7B6FAACC" w:rsidR="007D2EF7" w:rsidRPr="00DD6A04" w:rsidRDefault="007D2EF7" w:rsidP="007D2EF7">
            <w:pPr>
              <w:spacing w:before="0" w:after="0" w:line="240" w:lineRule="auto"/>
              <w:rPr>
                <w:rFonts w:eastAsia="Times New Roman"/>
                <w:noProof/>
                <w:color w:val="006100"/>
                <w:sz w:val="22"/>
              </w:rPr>
            </w:pPr>
            <w:r>
              <w:rPr>
                <w:noProof/>
                <w:color w:val="006100"/>
                <w:sz w:val="22"/>
              </w:rPr>
              <w:t>15</w:t>
            </w:r>
          </w:p>
        </w:tc>
        <w:tc>
          <w:tcPr>
            <w:tcW w:w="873" w:type="dxa"/>
            <w:tcBorders>
              <w:top w:val="single" w:sz="4" w:space="0" w:color="auto"/>
              <w:left w:val="nil"/>
              <w:bottom w:val="single" w:sz="4" w:space="0" w:color="auto"/>
              <w:right w:val="single" w:sz="4" w:space="0" w:color="auto"/>
            </w:tcBorders>
            <w:shd w:val="clear" w:color="auto" w:fill="C6EFCE"/>
            <w:noWrap/>
          </w:tcPr>
          <w:p w14:paraId="40701C80" w14:textId="05F85DC2"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851" w:type="dxa"/>
            <w:tcBorders>
              <w:top w:val="single" w:sz="4" w:space="0" w:color="auto"/>
              <w:left w:val="nil"/>
              <w:bottom w:val="single" w:sz="4" w:space="0" w:color="auto"/>
              <w:right w:val="single" w:sz="4" w:space="0" w:color="auto"/>
            </w:tcBorders>
            <w:shd w:val="clear" w:color="auto" w:fill="C6EFCE"/>
            <w:noWrap/>
          </w:tcPr>
          <w:p w14:paraId="280233BE" w14:textId="24318284" w:rsidR="007D2EF7" w:rsidRPr="00DD6A04" w:rsidRDefault="007D2EF7" w:rsidP="007D2EF7">
            <w:pPr>
              <w:spacing w:before="0" w:after="0" w:line="240" w:lineRule="auto"/>
              <w:rPr>
                <w:rFonts w:eastAsia="Times New Roman"/>
                <w:noProof/>
                <w:color w:val="006100"/>
                <w:sz w:val="22"/>
              </w:rPr>
            </w:pPr>
            <w:r>
              <w:rPr>
                <w:noProof/>
                <w:color w:val="006100"/>
                <w:sz w:val="22"/>
              </w:rPr>
              <w:t>2026</w:t>
            </w:r>
          </w:p>
        </w:tc>
        <w:tc>
          <w:tcPr>
            <w:tcW w:w="3220" w:type="dxa"/>
            <w:tcBorders>
              <w:top w:val="single" w:sz="4" w:space="0" w:color="auto"/>
              <w:left w:val="nil"/>
              <w:bottom w:val="single" w:sz="4" w:space="0" w:color="auto"/>
              <w:right w:val="single" w:sz="4" w:space="0" w:color="auto"/>
            </w:tcBorders>
            <w:shd w:val="clear" w:color="auto" w:fill="C6EFCE"/>
            <w:noWrap/>
          </w:tcPr>
          <w:p w14:paraId="7787C04F" w14:textId="1A68CDC8"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Dokončani projekti v zvezi z rekonstrukcijo obstoječih sistemov, da se poveča energetska učinkovitost in zmanjša poraba električne energije, v skladu z zahtevami iz mejnika 42.</w:t>
            </w:r>
          </w:p>
        </w:tc>
      </w:tr>
    </w:tbl>
    <w:p w14:paraId="43A978A5" w14:textId="57862F61" w:rsidR="007D2EF7" w:rsidRPr="00DD6A04" w:rsidRDefault="007D2EF7" w:rsidP="003C6015">
      <w:pPr>
        <w:spacing w:line="240" w:lineRule="auto"/>
        <w:ind w:left="850"/>
        <w:jc w:val="both"/>
        <w:rPr>
          <w:b/>
          <w:noProof/>
          <w:u w:val="single"/>
          <w:lang w:val="en-GB"/>
        </w:rPr>
      </w:pPr>
    </w:p>
    <w:p w14:paraId="07869C6D" w14:textId="77777777" w:rsidR="003C6015" w:rsidRPr="00DD6A04" w:rsidRDefault="003C6015" w:rsidP="007D2EF7">
      <w:pPr>
        <w:spacing w:line="240" w:lineRule="auto"/>
        <w:jc w:val="both"/>
        <w:rPr>
          <w:noProof/>
          <w:szCs w:val="24"/>
          <w:lang w:val="en-GB"/>
        </w:rPr>
      </w:pPr>
    </w:p>
    <w:p w14:paraId="522BBB97" w14:textId="77777777" w:rsidR="003C6015" w:rsidRPr="00DD6A04" w:rsidRDefault="003C6015" w:rsidP="003C6015">
      <w:pPr>
        <w:spacing w:before="0" w:after="0" w:line="240" w:lineRule="auto"/>
        <w:rPr>
          <w:noProof/>
          <w:lang w:val="en-GB"/>
        </w:rPr>
        <w:sectPr w:rsidR="003C6015" w:rsidRPr="00DD6A04" w:rsidSect="00073927">
          <w:headerReference w:type="even" r:id="rId72"/>
          <w:headerReference w:type="default" r:id="rId73"/>
          <w:footerReference w:type="even" r:id="rId74"/>
          <w:footerReference w:type="default" r:id="rId75"/>
          <w:headerReference w:type="first" r:id="rId76"/>
          <w:footerReference w:type="first" r:id="rId77"/>
          <w:pgSz w:w="16839" w:h="11907" w:orient="landscape"/>
          <w:pgMar w:top="1134" w:right="1134" w:bottom="1134" w:left="1134" w:header="567" w:footer="567" w:gutter="0"/>
          <w:cols w:space="720"/>
          <w:docGrid w:linePitch="326"/>
        </w:sectPr>
      </w:pPr>
    </w:p>
    <w:p w14:paraId="72C88052" w14:textId="69DAC09C" w:rsidR="003C6015" w:rsidRPr="00DD6A04" w:rsidRDefault="003C6015" w:rsidP="003C6015">
      <w:pPr>
        <w:spacing w:line="240" w:lineRule="auto"/>
        <w:jc w:val="both"/>
        <w:rPr>
          <w:b/>
          <w:i/>
          <w:noProof/>
          <w:color w:val="4F81BD"/>
        </w:rPr>
      </w:pPr>
      <w:r>
        <w:rPr>
          <w:b/>
          <w:noProof/>
        </w:rPr>
        <w:t xml:space="preserve">C.3 </w:t>
      </w:r>
      <w:r>
        <w:rPr>
          <w:noProof/>
        </w:rPr>
        <w:tab/>
      </w:r>
      <w:r>
        <w:rPr>
          <w:b/>
          <w:noProof/>
        </w:rPr>
        <w:t xml:space="preserve">Opis reform in naložb za pridobitev posojila </w:t>
      </w:r>
    </w:p>
    <w:p w14:paraId="10EFBC48" w14:textId="77777777" w:rsidR="003C6015" w:rsidRPr="00DD6A04" w:rsidRDefault="003C6015" w:rsidP="003C6015">
      <w:pPr>
        <w:spacing w:line="240" w:lineRule="auto"/>
        <w:jc w:val="both"/>
        <w:rPr>
          <w:noProof/>
          <w:u w:val="single"/>
        </w:rPr>
      </w:pPr>
      <w:r>
        <w:rPr>
          <w:noProof/>
          <w:u w:val="single"/>
        </w:rPr>
        <w:t>Reforma B. Krepitev preventive za dvig protipoplavne varnosti</w:t>
      </w:r>
    </w:p>
    <w:p w14:paraId="5816DE9C" w14:textId="77777777" w:rsidR="003C6015" w:rsidRPr="00DD6A04" w:rsidRDefault="003C6015" w:rsidP="003C6015">
      <w:pPr>
        <w:spacing w:line="240" w:lineRule="auto"/>
        <w:jc w:val="both"/>
        <w:rPr>
          <w:noProof/>
        </w:rPr>
      </w:pPr>
      <w:r>
        <w:rPr>
          <w:noProof/>
        </w:rPr>
        <w:t xml:space="preserve">Reforma izrecno obravnava poplavno ogroženost, ki je za Slovenijo eno najpomembnejših tveganj, povezanih s podnebnimi spremembami. </w:t>
      </w:r>
    </w:p>
    <w:p w14:paraId="0066F951" w14:textId="6F20C7A2" w:rsidR="003C6015" w:rsidRPr="00DD6A04" w:rsidRDefault="003C6015" w:rsidP="003C6015">
      <w:pPr>
        <w:spacing w:line="240" w:lineRule="auto"/>
        <w:jc w:val="both"/>
        <w:rPr>
          <w:noProof/>
        </w:rPr>
      </w:pPr>
      <w:r>
        <w:rPr>
          <w:noProof/>
        </w:rPr>
        <w:t xml:space="preserve">Z začetkom veljavnosti novega načrta zmanjševanja poplavne ogroženosti se bo pospešilo načrtovanje in izvajanje ukrepov in projektov, ki prispevajo k preprečevanju posledic poplav. Ključna elementa reforme bosta ustanovitev rečne nadzorne službe in uvedba avtomatiziranih rešitev za nadzorne sisteme. Direkcija Republike Slovenije za vode bo reorganizirana, da se doseže decentralizacija in optimizacija postopkov. </w:t>
      </w:r>
    </w:p>
    <w:p w14:paraId="09774875" w14:textId="6D82EC8E" w:rsidR="003C6015" w:rsidRPr="00DD6A04" w:rsidRDefault="003C6015" w:rsidP="003C6015">
      <w:pPr>
        <w:spacing w:line="240" w:lineRule="auto"/>
        <w:jc w:val="both"/>
        <w:rPr>
          <w:noProof/>
        </w:rPr>
      </w:pPr>
      <w:r>
        <w:rPr>
          <w:noProof/>
        </w:rPr>
        <w:t xml:space="preserve">Načrt zmanjševanja poplavne ogroženosti za obdobje 2022–2026 bo začel veljati najpozneje 31. decembra 2022 in bo zagotovil, da obvladovanje poplavne ogroženosti postane stalna naloga z namenskimi sredstvi iz nacionalnega proračuna. Reforma bo spodbujala prihodnje investicije z rešitvami, ki temeljijo na naravi, in zelenimi infrastrukturami. </w:t>
      </w:r>
    </w:p>
    <w:p w14:paraId="4023748A" w14:textId="77777777" w:rsidR="003C6015" w:rsidRPr="00DD6A04" w:rsidRDefault="003C6015" w:rsidP="003C6015">
      <w:pPr>
        <w:spacing w:line="240" w:lineRule="auto"/>
        <w:jc w:val="both"/>
        <w:rPr>
          <w:noProof/>
          <w:u w:val="single"/>
        </w:rPr>
      </w:pPr>
      <w:r>
        <w:rPr>
          <w:noProof/>
          <w:u w:val="single"/>
        </w:rPr>
        <w:t>Reforma D. Povečanje učinkovitosti delovanja javnih služb varstva okolja</w:t>
      </w:r>
    </w:p>
    <w:p w14:paraId="2B3AB7A7" w14:textId="77777777" w:rsidR="003C6015" w:rsidRPr="00DD6A04" w:rsidRDefault="003C6015" w:rsidP="003C6015">
      <w:pPr>
        <w:spacing w:line="240" w:lineRule="auto"/>
        <w:jc w:val="both"/>
        <w:rPr>
          <w:noProof/>
        </w:rPr>
      </w:pPr>
      <w:r>
        <w:rPr>
          <w:noProof/>
        </w:rPr>
        <w:t xml:space="preserve">Reforma z izboljšanjem organizacije in nadzora javne službe ter zagotavljanjem vzdržnosti financiranja nadgradenj infrastrukture obravnava ključni izziv izgub pri gospodarjenju z vodami v Sloveniji. Z njo bo nadgrajen standard za izvajanje javne službe, da se poveča učinkovitost gospodarjenja z vodami in omogoči uporaba sistemov za ponovno uporabo. </w:t>
      </w:r>
    </w:p>
    <w:p w14:paraId="06A450F2" w14:textId="77777777" w:rsidR="003C6015" w:rsidRPr="00DD6A04" w:rsidRDefault="003C6015" w:rsidP="003C6015">
      <w:pPr>
        <w:spacing w:line="240" w:lineRule="auto"/>
        <w:jc w:val="both"/>
        <w:rPr>
          <w:noProof/>
        </w:rPr>
      </w:pPr>
      <w:r>
        <w:rPr>
          <w:noProof/>
        </w:rPr>
        <w:t>Reforma bo s pregledom stroškovne učinkovitosti pristojbin in dajatev za rabo vode zagotovila dolgoročno vzdržnost financiranja investicij v infrastrukturo. Eden od njenih ključnih ciljev je tudi nadgradnja informacijskega sistema za spremljanje dejavnosti izvajalcev javne službe in poročanje o njih.</w:t>
      </w:r>
    </w:p>
    <w:p w14:paraId="68C20E22" w14:textId="1D7090CA" w:rsidR="003C6015" w:rsidRPr="00DD6A04" w:rsidRDefault="003C6015" w:rsidP="003C6015">
      <w:pPr>
        <w:spacing w:line="240" w:lineRule="auto"/>
        <w:jc w:val="both"/>
        <w:rPr>
          <w:noProof/>
        </w:rPr>
      </w:pPr>
      <w:r>
        <w:rPr>
          <w:noProof/>
        </w:rPr>
        <w:t>Reforma bo izvedena do 31. decembra 2023, in sicer s spremembo predpisov o izvajanju javnih služb in začetkom veljavnosti novega Zakona o gospodarskih javnih službah varstva okolja.</w:t>
      </w:r>
      <w:r w:rsidR="00037751">
        <w:rPr>
          <w:noProof/>
        </w:rPr>
        <w:t xml:space="preserve"> </w:t>
      </w:r>
    </w:p>
    <w:p w14:paraId="77A50D5C" w14:textId="3DB8D934" w:rsidR="003C6015" w:rsidRPr="00DD6A04" w:rsidRDefault="003C6015" w:rsidP="003C6015">
      <w:pPr>
        <w:spacing w:line="240" w:lineRule="auto"/>
        <w:jc w:val="both"/>
        <w:rPr>
          <w:noProof/>
          <w:u w:val="single"/>
        </w:rPr>
      </w:pPr>
      <w:r>
        <w:rPr>
          <w:noProof/>
          <w:u w:val="single"/>
        </w:rPr>
        <w:t>Investicija F. Nadaljnje zmanjševanje poplavne ogroženosti ter zmanjševanje tveganja za druge podnebno pogojene nesreče</w:t>
      </w:r>
    </w:p>
    <w:p w14:paraId="11FE688D" w14:textId="77777777" w:rsidR="003C6015" w:rsidRPr="00DD6A04" w:rsidRDefault="003C6015" w:rsidP="003C6015">
      <w:pPr>
        <w:spacing w:line="240" w:lineRule="auto"/>
        <w:jc w:val="both"/>
        <w:rPr>
          <w:noProof/>
        </w:rPr>
      </w:pPr>
      <w:r>
        <w:rPr>
          <w:noProof/>
        </w:rPr>
        <w:t xml:space="preserve">Glede na veliko investicijsko vrzel komponenta vključuje dodatne investicije za preprečevanje poplavne ogroženosti. </w:t>
      </w:r>
    </w:p>
    <w:p w14:paraId="67FDB2E0" w14:textId="0609439B" w:rsidR="003C6015" w:rsidRPr="00DD6A04" w:rsidRDefault="003C6015" w:rsidP="6B3B27EA">
      <w:pPr>
        <w:spacing w:line="240" w:lineRule="auto"/>
        <w:jc w:val="both"/>
        <w:rPr>
          <w:noProof/>
        </w:rPr>
      </w:pPr>
      <w:r>
        <w:rPr>
          <w:noProof/>
        </w:rPr>
        <w:t xml:space="preserve">Investicije za preprečevanje poplavne ogroženosti bodo vključevale zaščitne ukrepe, kot so sistemi za zadrževanje vode in širjenje obstoječih razlivnih površin, kjer je to izvedljivo, ter bodo čim bolj dajale prednost rešitvam, ki temeljijo na naravi, in zelenim infrastrukturam. Rešitve, ki temeljijo na naravi, bodo vključene med merila za izbor projektov in bodo imele prednost, kjer so izvedljive. </w:t>
      </w:r>
    </w:p>
    <w:p w14:paraId="0AC42A6C" w14:textId="60B32486" w:rsidR="003C6015" w:rsidRPr="00DD6A04" w:rsidRDefault="003C6015" w:rsidP="003C6015">
      <w:pPr>
        <w:spacing w:line="240" w:lineRule="auto"/>
        <w:jc w:val="both"/>
        <w:rPr>
          <w:noProof/>
        </w:rPr>
      </w:pPr>
      <w:r>
        <w:rPr>
          <w:noProof/>
        </w:rPr>
        <w:t xml:space="preserve">Projekti bodo skladni z ustreznimi prilogami k veljavnim delegiranim uredbam Komisije, ki dopolnjujejo Uredbo o taksonomiji (EU) 2020/852. </w:t>
      </w:r>
    </w:p>
    <w:p w14:paraId="5C52DF1D" w14:textId="538D151A" w:rsidR="003C6015" w:rsidRPr="00DD6A04" w:rsidRDefault="003C6015" w:rsidP="003C6015">
      <w:pPr>
        <w:spacing w:line="240" w:lineRule="auto"/>
        <w:jc w:val="both"/>
        <w:rPr>
          <w:noProof/>
        </w:rPr>
      </w:pPr>
      <w:r>
        <w:rPr>
          <w:noProof/>
        </w:rPr>
        <w:t>Glede na opis ukrepa ter mejnike in cilje, ki jih mora Slovenija doseči, ta ukrep naj ne bi bistveno škodoval okoljskim ciljem v smislu člena 17 Uredbe (EU) 2020/852. Zlasti bo dokazana popolna in vsebinska skladnost z veljavnimi pravnimi določbami.</w:t>
      </w:r>
    </w:p>
    <w:p w14:paraId="7246470E" w14:textId="58D94D2F" w:rsidR="003C6015" w:rsidRPr="00DD6A04" w:rsidRDefault="003C6015" w:rsidP="003C6015">
      <w:pPr>
        <w:spacing w:line="240" w:lineRule="auto"/>
        <w:jc w:val="both"/>
        <w:rPr>
          <w:noProof/>
        </w:rPr>
      </w:pPr>
      <w:r>
        <w:rPr>
          <w:noProof/>
        </w:rPr>
        <w:t xml:space="preserve">Investicija bo dokončana do 30. junija 2026. </w:t>
      </w:r>
    </w:p>
    <w:p w14:paraId="0D20D708" w14:textId="77777777" w:rsidR="003C6015" w:rsidRPr="00DD6A04" w:rsidRDefault="003C6015" w:rsidP="003C6015">
      <w:pPr>
        <w:spacing w:line="240" w:lineRule="auto"/>
        <w:jc w:val="both"/>
        <w:rPr>
          <w:noProof/>
          <w:u w:val="single"/>
        </w:rPr>
      </w:pPr>
      <w:r>
        <w:rPr>
          <w:noProof/>
          <w:u w:val="single"/>
        </w:rPr>
        <w:t>Investicija H. Nadaljnji projekti odvajanja in čiščenja komunalne odpadne vode ter njene ponovne rabe</w:t>
      </w:r>
    </w:p>
    <w:p w14:paraId="3FE5F398" w14:textId="77777777" w:rsidR="003C6015" w:rsidRPr="00DD6A04" w:rsidRDefault="003C6015" w:rsidP="003C6015">
      <w:pPr>
        <w:spacing w:line="240" w:lineRule="auto"/>
        <w:jc w:val="both"/>
        <w:rPr>
          <w:noProof/>
        </w:rPr>
      </w:pPr>
      <w:r>
        <w:rPr>
          <w:noProof/>
        </w:rPr>
        <w:t>Z investicijo se bosta financirali izgradnja dodatnih sistemov za odpadno vodo od začetka do konca, pri katerih bo neto poraba energije enaka nič, in prenova dodatnega sistema za odpadno vodo od začetka do konca, da se povprečna poraba energije zmanjša za vsaj 10 % (izključno z ukrepi za energetsko učinkovitost in ne s spremembami materialov ali spremembami v obremenitvi). Investicije se bodo osredotočale na projekte v zvezi s sistemi za odpadno vodo, ki prispevajo k območjem Natura 2000 in vodovarstvenim območjem.</w:t>
      </w:r>
    </w:p>
    <w:p w14:paraId="73BEF611" w14:textId="36D3A5A6" w:rsidR="003C6015" w:rsidRPr="00DD6A04" w:rsidRDefault="003C6015" w:rsidP="003C6015">
      <w:pPr>
        <w:spacing w:line="240" w:lineRule="auto"/>
        <w:jc w:val="both"/>
        <w:rPr>
          <w:noProof/>
        </w:rPr>
      </w:pPr>
      <w:r>
        <w:rPr>
          <w:noProof/>
        </w:rPr>
        <w:t xml:space="preserve">Investicija bo izvedena z dolgoročnimi posojili po ugodnih obrestnih merah za občine za projekte, ki jih bo s posebnim razpisom za projekte izbralo Ministrstvo za okolje in prostor. </w:t>
      </w:r>
    </w:p>
    <w:p w14:paraId="7FF2E0EF" w14:textId="77777777" w:rsidR="003C6015" w:rsidRPr="00DD6A04" w:rsidRDefault="003C6015" w:rsidP="003C6015">
      <w:pPr>
        <w:spacing w:line="240" w:lineRule="auto"/>
        <w:jc w:val="both"/>
        <w:rPr>
          <w:noProof/>
        </w:rPr>
      </w:pPr>
      <w:r>
        <w:rPr>
          <w:noProof/>
        </w:rPr>
        <w:t>Investicija bo dokončana do 30. junija 2026.</w:t>
      </w:r>
    </w:p>
    <w:p w14:paraId="23AC2D48" w14:textId="77777777" w:rsidR="003C6015" w:rsidRPr="00DD6A04" w:rsidRDefault="003C6015" w:rsidP="003C6015">
      <w:pPr>
        <w:spacing w:line="240" w:lineRule="auto"/>
        <w:jc w:val="both"/>
        <w:rPr>
          <w:noProof/>
          <w:u w:val="single"/>
        </w:rPr>
      </w:pPr>
      <w:r>
        <w:rPr>
          <w:noProof/>
          <w:u w:val="single"/>
        </w:rPr>
        <w:t>Investicija I. Nadaljnji projekti oskrbe in varčevanja s pitno vodo</w:t>
      </w:r>
    </w:p>
    <w:p w14:paraId="1F51F1C2" w14:textId="0375E426" w:rsidR="003C6015" w:rsidRPr="00DD6A04" w:rsidRDefault="003C6015" w:rsidP="003C6015">
      <w:pPr>
        <w:spacing w:line="240" w:lineRule="auto"/>
        <w:jc w:val="both"/>
        <w:rPr>
          <w:noProof/>
        </w:rPr>
      </w:pPr>
      <w:r>
        <w:rPr>
          <w:noProof/>
        </w:rPr>
        <w:t>Z investicijo se bodo zgradili dodatni sistemi za oskrbo s pitno vodo s povprečno porabo energije ≤</w:t>
      </w:r>
      <w:r w:rsidR="009F5B52">
        <w:rPr>
          <w:noProof/>
        </w:rPr>
        <w:t> </w:t>
      </w:r>
      <w:r>
        <w:rPr>
          <w:noProof/>
        </w:rPr>
        <w:t>0,5 kWh ali infrastrukturnim indeksom izgub ≤</w:t>
      </w:r>
      <w:r w:rsidR="009F5B52">
        <w:rPr>
          <w:noProof/>
        </w:rPr>
        <w:t> </w:t>
      </w:r>
      <w:r>
        <w:rPr>
          <w:noProof/>
        </w:rPr>
        <w:t>1,5 ter prenovili obstoječi sistemi za oskrbo s pitno vodo, da se povprečna poraba energije zmanjša za več kot 20 % ali da se izgube vode zmanjšajo za več kot 20 %.</w:t>
      </w:r>
      <w:r w:rsidR="00037751">
        <w:rPr>
          <w:noProof/>
        </w:rPr>
        <w:t xml:space="preserve"> </w:t>
      </w:r>
    </w:p>
    <w:p w14:paraId="25B467B6" w14:textId="4CBAA5F4" w:rsidR="003C6015" w:rsidRPr="00DD6A04" w:rsidRDefault="003C6015" w:rsidP="003C6015">
      <w:pPr>
        <w:spacing w:line="240" w:lineRule="auto"/>
        <w:jc w:val="both"/>
        <w:rPr>
          <w:noProof/>
        </w:rPr>
      </w:pPr>
      <w:r>
        <w:rPr>
          <w:noProof/>
        </w:rPr>
        <w:t xml:space="preserve">Investicijo bodo izvedle občine za projekte, ki jih bo s posebnim razpisom za projekte izbralo Ministrstvo za okolje in prostor. </w:t>
      </w:r>
    </w:p>
    <w:p w14:paraId="14FB687E" w14:textId="77777777" w:rsidR="003C6015" w:rsidRPr="00DD6A04" w:rsidRDefault="003C6015" w:rsidP="003C6015">
      <w:pPr>
        <w:spacing w:line="240" w:lineRule="auto"/>
        <w:rPr>
          <w:noProof/>
        </w:rPr>
        <w:sectPr w:rsidR="003C6015" w:rsidRPr="00DD6A04" w:rsidSect="00073927">
          <w:headerReference w:type="even" r:id="rId78"/>
          <w:headerReference w:type="default" r:id="rId79"/>
          <w:footerReference w:type="even" r:id="rId80"/>
          <w:footerReference w:type="default" r:id="rId81"/>
          <w:headerReference w:type="first" r:id="rId82"/>
          <w:footerReference w:type="first" r:id="rId83"/>
          <w:pgSz w:w="11907" w:h="16839"/>
          <w:pgMar w:top="1134" w:right="1134" w:bottom="1134" w:left="1134" w:header="567" w:footer="567" w:gutter="0"/>
          <w:cols w:space="720"/>
          <w:docGrid w:linePitch="326"/>
        </w:sectPr>
      </w:pPr>
      <w:r>
        <w:rPr>
          <w:noProof/>
        </w:rPr>
        <w:t>Investicija bo dokončana do 30. junija 2026.</w:t>
      </w:r>
    </w:p>
    <w:p w14:paraId="0BE4662B" w14:textId="77777777" w:rsidR="003C6015" w:rsidRPr="00DD6A04" w:rsidRDefault="003C6015" w:rsidP="003C6015">
      <w:pPr>
        <w:spacing w:line="240" w:lineRule="auto"/>
        <w:ind w:left="850"/>
        <w:jc w:val="both"/>
        <w:rPr>
          <w:b/>
          <w:noProof/>
          <w:u w:val="single"/>
        </w:rPr>
      </w:pPr>
      <w:r>
        <w:rPr>
          <w:b/>
          <w:noProof/>
          <w:u w:val="single"/>
        </w:rPr>
        <w:t xml:space="preserve">C.4 </w:t>
      </w:r>
      <w:r>
        <w:rPr>
          <w:b/>
          <w:noProof/>
          <w:u w:val="single"/>
        </w:rPr>
        <w:tab/>
        <w:t xml:space="preserve">Mejniki, cilji, kazalniki in časovni razpored za spremljanje in izvajanje posojila </w:t>
      </w:r>
    </w:p>
    <w:tbl>
      <w:tblPr>
        <w:tblW w:w="15685" w:type="dxa"/>
        <w:jc w:val="center"/>
        <w:tblLayout w:type="fixed"/>
        <w:tblLook w:val="04A0" w:firstRow="1" w:lastRow="0" w:firstColumn="1" w:lastColumn="0" w:noHBand="0" w:noVBand="1"/>
      </w:tblPr>
      <w:tblGrid>
        <w:gridCol w:w="1408"/>
        <w:gridCol w:w="1559"/>
        <w:gridCol w:w="992"/>
        <w:gridCol w:w="1843"/>
        <w:gridCol w:w="1701"/>
        <w:gridCol w:w="1134"/>
        <w:gridCol w:w="1276"/>
        <w:gridCol w:w="850"/>
        <w:gridCol w:w="851"/>
        <w:gridCol w:w="850"/>
        <w:gridCol w:w="3221"/>
      </w:tblGrid>
      <w:tr w:rsidR="00BE4788" w:rsidRPr="00DD6A04" w14:paraId="42E42313" w14:textId="77777777" w:rsidTr="00BE4788">
        <w:trPr>
          <w:trHeight w:val="740"/>
          <w:tblHeader/>
          <w:jc w:val="center"/>
        </w:trPr>
        <w:tc>
          <w:tcPr>
            <w:tcW w:w="14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287E2F" w14:textId="77777777" w:rsidR="007D2EF7" w:rsidRPr="00DD6A04" w:rsidRDefault="007D2EF7" w:rsidP="007D2EF7">
            <w:pPr>
              <w:spacing w:before="0" w:after="0" w:line="240" w:lineRule="auto"/>
              <w:jc w:val="center"/>
              <w:rPr>
                <w:rFonts w:eastAsia="Times New Roman"/>
                <w:b/>
                <w:noProof/>
              </w:rPr>
            </w:pPr>
            <w:r>
              <w:rPr>
                <w:b/>
                <w:noProof/>
              </w:rPr>
              <w:t>Zaporedna številka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7DCA9B" w14:textId="77777777" w:rsidR="007D2EF7" w:rsidRPr="00DD6A04" w:rsidRDefault="007D2EF7" w:rsidP="007D2EF7">
            <w:pPr>
              <w:spacing w:before="0" w:after="0" w:line="240" w:lineRule="auto"/>
              <w:jc w:val="center"/>
              <w:rPr>
                <w:rFonts w:eastAsia="Times New Roman"/>
                <w:b/>
                <w:noProof/>
              </w:rPr>
            </w:pPr>
            <w:r>
              <w:rPr>
                <w:b/>
                <w:noProof/>
              </w:rPr>
              <w:t>Povezani ukrep (reforma ali naložba)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D28DFA" w14:textId="77777777" w:rsidR="007D2EF7" w:rsidRPr="00DD6A04" w:rsidRDefault="007D2EF7" w:rsidP="007D2EF7">
            <w:pPr>
              <w:spacing w:before="0" w:after="0" w:line="240" w:lineRule="auto"/>
              <w:jc w:val="center"/>
              <w:rPr>
                <w:rFonts w:eastAsia="Times New Roman"/>
                <w:b/>
                <w:noProof/>
              </w:rPr>
            </w:pPr>
            <w:r>
              <w:rPr>
                <w:b/>
                <w:noProof/>
              </w:rPr>
              <w:t>Mejnik/cilj</w:t>
            </w:r>
          </w:p>
        </w:tc>
        <w:tc>
          <w:tcPr>
            <w:tcW w:w="1843" w:type="dxa"/>
            <w:vMerge w:val="restart"/>
            <w:tcBorders>
              <w:top w:val="single" w:sz="4" w:space="0" w:color="auto"/>
              <w:left w:val="nil"/>
              <w:bottom w:val="single" w:sz="4" w:space="0" w:color="auto"/>
              <w:right w:val="single" w:sz="4" w:space="0" w:color="auto"/>
            </w:tcBorders>
            <w:shd w:val="clear" w:color="auto" w:fill="BDD7EE"/>
            <w:vAlign w:val="center"/>
            <w:hideMark/>
          </w:tcPr>
          <w:p w14:paraId="519D785A" w14:textId="77777777" w:rsidR="007D2EF7" w:rsidRPr="00DD6A04" w:rsidRDefault="007D2EF7" w:rsidP="007D2EF7">
            <w:pPr>
              <w:spacing w:before="0" w:after="0" w:line="240" w:lineRule="auto"/>
              <w:jc w:val="center"/>
              <w:rPr>
                <w:rFonts w:eastAsia="Times New Roman"/>
                <w:b/>
                <w:noProof/>
              </w:rPr>
            </w:pPr>
            <w:r>
              <w:rPr>
                <w:b/>
                <w:noProof/>
              </w:rPr>
              <w:t>Ime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1EE7F1" w14:textId="77777777" w:rsidR="007D2EF7" w:rsidRPr="00DD6A04" w:rsidRDefault="007D2EF7" w:rsidP="007D2EF7">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260" w:type="dxa"/>
            <w:gridSpan w:val="3"/>
            <w:tcBorders>
              <w:top w:val="single" w:sz="4" w:space="0" w:color="auto"/>
              <w:left w:val="nil"/>
              <w:bottom w:val="single" w:sz="4" w:space="0" w:color="auto"/>
              <w:right w:val="single" w:sz="4" w:space="0" w:color="auto"/>
            </w:tcBorders>
            <w:shd w:val="clear" w:color="auto" w:fill="BDD7EE"/>
            <w:vAlign w:val="center"/>
            <w:hideMark/>
          </w:tcPr>
          <w:p w14:paraId="39B4DAD3" w14:textId="77777777" w:rsidR="007D2EF7" w:rsidRPr="00DD6A04" w:rsidRDefault="007D2EF7" w:rsidP="007D2EF7">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6A3B950F" w14:textId="77777777" w:rsidR="007D2EF7" w:rsidRPr="00DD6A04" w:rsidRDefault="007D2EF7" w:rsidP="007D2EF7">
            <w:pPr>
              <w:spacing w:before="0" w:after="0" w:line="240" w:lineRule="auto"/>
              <w:jc w:val="center"/>
              <w:rPr>
                <w:rFonts w:eastAsia="Times New Roman"/>
                <w:b/>
                <w:noProof/>
              </w:rPr>
            </w:pPr>
            <w:r>
              <w:rPr>
                <w:b/>
                <w:noProof/>
              </w:rPr>
              <w:t xml:space="preserve">Okvirni časovni razpored za dokončanje </w:t>
            </w:r>
          </w:p>
        </w:tc>
        <w:tc>
          <w:tcPr>
            <w:tcW w:w="322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D25A70" w14:textId="77777777" w:rsidR="007D2EF7" w:rsidRPr="00DD6A04" w:rsidRDefault="007D2EF7" w:rsidP="007D2EF7">
            <w:pPr>
              <w:spacing w:before="0" w:after="0" w:line="240" w:lineRule="auto"/>
              <w:jc w:val="center"/>
              <w:rPr>
                <w:rFonts w:eastAsia="Times New Roman"/>
                <w:b/>
                <w:noProof/>
              </w:rPr>
            </w:pPr>
            <w:r>
              <w:rPr>
                <w:b/>
                <w:noProof/>
              </w:rPr>
              <w:t>Opis vsakega mejnika in cilja</w:t>
            </w:r>
          </w:p>
        </w:tc>
      </w:tr>
      <w:tr w:rsidR="00B7028D" w:rsidRPr="00DD6A04" w14:paraId="3E6537B8" w14:textId="77777777" w:rsidTr="00BE4788">
        <w:trPr>
          <w:trHeight w:val="751"/>
          <w:tblHeader/>
          <w:jc w:val="center"/>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45226612" w14:textId="77777777" w:rsidR="007D2EF7" w:rsidRPr="00DD6A04" w:rsidRDefault="007D2EF7" w:rsidP="007D2EF7">
            <w:pPr>
              <w:spacing w:before="0" w:after="0" w:line="240" w:lineRule="auto"/>
              <w:rPr>
                <w:rFonts w:eastAsia="Times New Roman"/>
                <w:b/>
                <w:noProof/>
                <w:sz w:val="22"/>
                <w:lang w:val="en-GB"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B29608" w14:textId="77777777" w:rsidR="007D2EF7" w:rsidRPr="00DD6A04" w:rsidRDefault="007D2EF7" w:rsidP="007D2EF7">
            <w:pPr>
              <w:spacing w:before="0" w:after="0" w:line="240" w:lineRule="auto"/>
              <w:rPr>
                <w:rFonts w:eastAsia="Times New Roman"/>
                <w:b/>
                <w:noProof/>
                <w:sz w:val="22"/>
                <w:lang w:val="en-GB"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32946A" w14:textId="77777777" w:rsidR="007D2EF7" w:rsidRPr="00DD6A04" w:rsidRDefault="007D2EF7" w:rsidP="007D2EF7">
            <w:pPr>
              <w:spacing w:before="0" w:after="0" w:line="240" w:lineRule="auto"/>
              <w:rPr>
                <w:rFonts w:eastAsia="Times New Roman"/>
                <w:b/>
                <w:noProof/>
                <w:sz w:val="22"/>
                <w:lang w:val="en-GB"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746261" w14:textId="77777777" w:rsidR="007D2EF7" w:rsidRPr="00DD6A04" w:rsidRDefault="007D2EF7" w:rsidP="007D2EF7">
            <w:pPr>
              <w:spacing w:before="0" w:after="0" w:line="240" w:lineRule="auto"/>
              <w:rPr>
                <w:rFonts w:eastAsia="Times New Roman"/>
                <w:b/>
                <w:noProof/>
                <w:sz w:val="22"/>
                <w:lang w:val="en-GB" w:eastAsia="en-GB"/>
              </w:rPr>
            </w:pPr>
          </w:p>
        </w:tc>
        <w:tc>
          <w:tcPr>
            <w:tcW w:w="1701" w:type="dxa"/>
            <w:vMerge/>
            <w:tcBorders>
              <w:left w:val="single" w:sz="4" w:space="0" w:color="auto"/>
            </w:tcBorders>
            <w:vAlign w:val="center"/>
            <w:hideMark/>
          </w:tcPr>
          <w:p w14:paraId="0BEEDBBD" w14:textId="77777777" w:rsidR="007D2EF7" w:rsidRPr="00DD6A04" w:rsidRDefault="007D2EF7" w:rsidP="007D2EF7">
            <w:pPr>
              <w:spacing w:before="0" w:after="0" w:line="240" w:lineRule="auto"/>
              <w:rPr>
                <w:rFonts w:eastAsia="Times New Roman"/>
                <w:b/>
                <w:noProof/>
                <w:sz w:val="22"/>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570937D" w14:textId="77777777" w:rsidR="007D2EF7" w:rsidRPr="00DD6A04" w:rsidRDefault="007D2EF7" w:rsidP="007D2EF7">
            <w:pPr>
              <w:spacing w:before="0" w:after="0" w:line="240" w:lineRule="auto"/>
              <w:jc w:val="center"/>
              <w:rPr>
                <w:rFonts w:eastAsia="Times New Roman"/>
                <w:b/>
                <w:noProof/>
                <w:sz w:val="22"/>
              </w:rPr>
            </w:pPr>
            <w:r>
              <w:rPr>
                <w:b/>
                <w:noProof/>
                <w:sz w:val="22"/>
              </w:rPr>
              <w:t>Enota merjenja</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AD6FFBC" w14:textId="77777777" w:rsidR="007D2EF7" w:rsidRPr="00DD6A04" w:rsidRDefault="007D2EF7" w:rsidP="007D2EF7">
            <w:pPr>
              <w:spacing w:before="0" w:after="0" w:line="240" w:lineRule="auto"/>
              <w:jc w:val="center"/>
              <w:rPr>
                <w:rFonts w:eastAsia="Times New Roman"/>
                <w:b/>
                <w:noProof/>
                <w:sz w:val="22"/>
              </w:rPr>
            </w:pPr>
            <w:r>
              <w:rPr>
                <w:b/>
                <w:noProof/>
                <w:sz w:val="22"/>
              </w:rPr>
              <w:t xml:space="preserve">Izhodiščna raven </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51D9EE0" w14:textId="77777777" w:rsidR="007D2EF7" w:rsidRPr="00DD6A04" w:rsidRDefault="007D2EF7" w:rsidP="007D2EF7">
            <w:pPr>
              <w:spacing w:before="0" w:after="0" w:line="240" w:lineRule="auto"/>
              <w:jc w:val="center"/>
              <w:rPr>
                <w:rFonts w:eastAsia="Times New Roman"/>
                <w:b/>
                <w:noProof/>
                <w:sz w:val="22"/>
              </w:rPr>
            </w:pPr>
            <w:r>
              <w:rPr>
                <w:b/>
                <w:noProof/>
                <w:sz w:val="22"/>
              </w:rPr>
              <w:t xml:space="preserve">Ciljna raven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64A71B" w14:textId="77777777" w:rsidR="007D2EF7" w:rsidRPr="00DD6A04" w:rsidRDefault="007D2EF7" w:rsidP="007D2EF7">
            <w:pPr>
              <w:spacing w:before="0" w:after="0" w:line="240" w:lineRule="auto"/>
              <w:jc w:val="center"/>
              <w:rPr>
                <w:rFonts w:eastAsia="Times New Roman"/>
                <w:b/>
                <w:noProof/>
                <w:sz w:val="22"/>
              </w:rPr>
            </w:pPr>
            <w:r>
              <w:rPr>
                <w:b/>
                <w:noProof/>
                <w:sz w:val="22"/>
              </w:rPr>
              <w:t>Četrtletje</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6B8556" w14:textId="77777777" w:rsidR="007D2EF7" w:rsidRPr="00DD6A04" w:rsidRDefault="007D2EF7" w:rsidP="007D2EF7">
            <w:pPr>
              <w:spacing w:before="0" w:after="0" w:line="240" w:lineRule="auto"/>
              <w:jc w:val="center"/>
              <w:rPr>
                <w:rFonts w:eastAsia="Times New Roman"/>
                <w:b/>
                <w:noProof/>
                <w:sz w:val="22"/>
              </w:rPr>
            </w:pPr>
            <w:r>
              <w:rPr>
                <w:b/>
                <w:noProof/>
                <w:sz w:val="22"/>
              </w:rPr>
              <w:t>Leto</w:t>
            </w:r>
          </w:p>
        </w:tc>
        <w:tc>
          <w:tcPr>
            <w:tcW w:w="3221" w:type="dxa"/>
            <w:vMerge/>
            <w:tcBorders>
              <w:bottom w:val="single" w:sz="4" w:space="0" w:color="auto"/>
              <w:right w:val="single" w:sz="4" w:space="0" w:color="auto"/>
            </w:tcBorders>
            <w:vAlign w:val="center"/>
            <w:hideMark/>
          </w:tcPr>
          <w:p w14:paraId="33E6F581" w14:textId="77777777" w:rsidR="007D2EF7" w:rsidRPr="00DD6A04" w:rsidRDefault="007D2EF7" w:rsidP="007D2EF7">
            <w:pPr>
              <w:spacing w:before="0" w:after="0" w:line="240" w:lineRule="auto"/>
              <w:rPr>
                <w:rFonts w:eastAsia="Times New Roman"/>
                <w:b/>
                <w:noProof/>
                <w:sz w:val="22"/>
                <w:lang w:val="en-GB" w:eastAsia="en-GB"/>
              </w:rPr>
            </w:pPr>
          </w:p>
        </w:tc>
      </w:tr>
      <w:tr w:rsidR="009F5B52" w:rsidRPr="00DD6A04" w14:paraId="716C92CF"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4C177039" w14:textId="65A95194" w:rsidR="007D2EF7" w:rsidRPr="00DD6A04" w:rsidRDefault="007D2EF7" w:rsidP="007D2EF7">
            <w:pPr>
              <w:spacing w:before="0" w:after="0" w:line="240" w:lineRule="auto"/>
              <w:rPr>
                <w:rFonts w:eastAsia="Times New Roman"/>
                <w:noProof/>
                <w:color w:val="006100"/>
                <w:sz w:val="22"/>
              </w:rPr>
            </w:pPr>
            <w:r>
              <w:rPr>
                <w:noProof/>
                <w:color w:val="006100"/>
                <w:sz w:val="22"/>
              </w:rPr>
              <w:t>46</w:t>
            </w:r>
          </w:p>
        </w:tc>
        <w:tc>
          <w:tcPr>
            <w:tcW w:w="1559" w:type="dxa"/>
            <w:tcBorders>
              <w:top w:val="single" w:sz="4" w:space="0" w:color="auto"/>
              <w:left w:val="nil"/>
              <w:bottom w:val="single" w:sz="4" w:space="0" w:color="auto"/>
              <w:right w:val="single" w:sz="4" w:space="0" w:color="auto"/>
            </w:tcBorders>
            <w:shd w:val="clear" w:color="auto" w:fill="C6EFCE"/>
            <w:noWrap/>
          </w:tcPr>
          <w:p w14:paraId="3A392781" w14:textId="6D4E9CD6" w:rsidR="007D2EF7" w:rsidRPr="00DD6A04" w:rsidRDefault="007D2EF7" w:rsidP="007D2EF7">
            <w:pPr>
              <w:spacing w:before="0" w:after="0" w:line="240" w:lineRule="auto"/>
              <w:rPr>
                <w:rFonts w:eastAsia="Times New Roman"/>
                <w:noProof/>
                <w:color w:val="006100"/>
                <w:sz w:val="22"/>
              </w:rPr>
            </w:pPr>
            <w:r>
              <w:rPr>
                <w:noProof/>
                <w:color w:val="006100"/>
                <w:sz w:val="22"/>
              </w:rPr>
              <w:t>B: Krepitev preventive za dvig protipoplavne varnosti</w:t>
            </w:r>
          </w:p>
        </w:tc>
        <w:tc>
          <w:tcPr>
            <w:tcW w:w="992" w:type="dxa"/>
            <w:tcBorders>
              <w:top w:val="single" w:sz="4" w:space="0" w:color="auto"/>
              <w:left w:val="nil"/>
              <w:bottom w:val="single" w:sz="4" w:space="0" w:color="auto"/>
              <w:right w:val="single" w:sz="4" w:space="0" w:color="auto"/>
            </w:tcBorders>
            <w:shd w:val="clear" w:color="auto" w:fill="C6EFCE"/>
            <w:noWrap/>
          </w:tcPr>
          <w:p w14:paraId="3DAD4FD0" w14:textId="6B7EF8B6"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843" w:type="dxa"/>
            <w:tcBorders>
              <w:top w:val="single" w:sz="4" w:space="0" w:color="auto"/>
              <w:left w:val="nil"/>
              <w:bottom w:val="single" w:sz="4" w:space="0" w:color="auto"/>
              <w:right w:val="single" w:sz="4" w:space="0" w:color="auto"/>
            </w:tcBorders>
            <w:shd w:val="clear" w:color="auto" w:fill="C6EFCE"/>
            <w:noWrap/>
          </w:tcPr>
          <w:p w14:paraId="3CDBB122" w14:textId="1A7AB47E"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Začetek veljavnosti novega načrta za obvladovanje poplavne ogroženosti </w:t>
            </w:r>
          </w:p>
        </w:tc>
        <w:tc>
          <w:tcPr>
            <w:tcW w:w="1701" w:type="dxa"/>
            <w:tcBorders>
              <w:top w:val="single" w:sz="4" w:space="0" w:color="auto"/>
              <w:left w:val="nil"/>
              <w:bottom w:val="single" w:sz="4" w:space="0" w:color="auto"/>
              <w:right w:val="single" w:sz="4" w:space="0" w:color="auto"/>
            </w:tcBorders>
            <w:shd w:val="clear" w:color="auto" w:fill="C6EFCE"/>
            <w:noWrap/>
          </w:tcPr>
          <w:p w14:paraId="532745A2" w14:textId="55C028B4" w:rsidR="007D2EF7" w:rsidRPr="00DD6A04" w:rsidRDefault="007D2EF7" w:rsidP="007D2EF7">
            <w:pPr>
              <w:spacing w:before="0" w:after="0" w:line="240" w:lineRule="auto"/>
              <w:rPr>
                <w:rFonts w:eastAsia="Times New Roman"/>
                <w:noProof/>
                <w:color w:val="006100"/>
                <w:sz w:val="22"/>
              </w:rPr>
            </w:pPr>
            <w:r>
              <w:rPr>
                <w:noProof/>
                <w:color w:val="006100"/>
                <w:sz w:val="22"/>
              </w:rPr>
              <w:t>Določba v načrtu, ki določa začetek njegove veljavnosti</w:t>
            </w:r>
          </w:p>
        </w:tc>
        <w:tc>
          <w:tcPr>
            <w:tcW w:w="1134" w:type="dxa"/>
            <w:tcBorders>
              <w:top w:val="single" w:sz="4" w:space="0" w:color="auto"/>
              <w:left w:val="nil"/>
              <w:bottom w:val="single" w:sz="4" w:space="0" w:color="auto"/>
              <w:right w:val="single" w:sz="4" w:space="0" w:color="auto"/>
            </w:tcBorders>
            <w:shd w:val="clear" w:color="auto" w:fill="C6EFCE"/>
            <w:noWrap/>
          </w:tcPr>
          <w:p w14:paraId="24A7415A" w14:textId="6C662B2C"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3F82E9F2" w14:textId="7463701A"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1C55B0FF" w14:textId="4BF04B29"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1E73F670" w14:textId="3F3D41ED"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61C1EB52" w14:textId="077D882F"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221" w:type="dxa"/>
            <w:tcBorders>
              <w:top w:val="single" w:sz="4" w:space="0" w:color="auto"/>
              <w:left w:val="nil"/>
              <w:bottom w:val="single" w:sz="4" w:space="0" w:color="auto"/>
              <w:right w:val="single" w:sz="4" w:space="0" w:color="auto"/>
            </w:tcBorders>
            <w:shd w:val="clear" w:color="auto" w:fill="C6EFCE"/>
            <w:noWrap/>
          </w:tcPr>
          <w:p w14:paraId="676D9150" w14:textId="66C75D67" w:rsidR="007D2EF7" w:rsidRPr="00DD6A04" w:rsidRDefault="007D2EF7" w:rsidP="007D2EF7">
            <w:pPr>
              <w:spacing w:before="0" w:after="0" w:line="240" w:lineRule="auto"/>
              <w:rPr>
                <w:rFonts w:eastAsia="Times New Roman"/>
                <w:noProof/>
                <w:color w:val="006100"/>
                <w:sz w:val="22"/>
                <w:highlight w:val="yellow"/>
              </w:rPr>
            </w:pPr>
            <w:r>
              <w:rPr>
                <w:noProof/>
                <w:color w:val="006100"/>
                <w:sz w:val="22"/>
              </w:rPr>
              <w:t>Cilj novega načrta bo pospešiti načrtovanje in izvajanje ukrepov, ki na lokalni, regionalni in nacionalni ravni prispevajo k preprečevanju posledic poplav ter spodbujajo zlasti rešitve, ki temeljijo na naravi.</w:t>
            </w:r>
          </w:p>
        </w:tc>
      </w:tr>
      <w:tr w:rsidR="009F5B52" w:rsidRPr="00DD6A04" w14:paraId="46D57742"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06C7A0B7" w14:textId="2DB3C842" w:rsidR="2E5C4E56" w:rsidRPr="00DD6A04" w:rsidRDefault="6CD38F29" w:rsidP="27CB7A40">
            <w:pPr>
              <w:spacing w:line="240" w:lineRule="auto"/>
              <w:rPr>
                <w:rFonts w:eastAsia="Times New Roman"/>
                <w:noProof/>
                <w:color w:val="006100"/>
                <w:sz w:val="22"/>
              </w:rPr>
            </w:pPr>
            <w:r>
              <w:rPr>
                <w:noProof/>
                <w:color w:val="006100"/>
                <w:sz w:val="22"/>
              </w:rPr>
              <w:t>47bis</w:t>
            </w:r>
          </w:p>
        </w:tc>
        <w:tc>
          <w:tcPr>
            <w:tcW w:w="1559" w:type="dxa"/>
            <w:tcBorders>
              <w:top w:val="single" w:sz="4" w:space="0" w:color="auto"/>
              <w:left w:val="nil"/>
              <w:bottom w:val="single" w:sz="4" w:space="0" w:color="auto"/>
              <w:right w:val="single" w:sz="4" w:space="0" w:color="auto"/>
            </w:tcBorders>
            <w:shd w:val="clear" w:color="auto" w:fill="C6EFCE"/>
            <w:noWrap/>
          </w:tcPr>
          <w:p w14:paraId="0676423E" w14:textId="3DCF162B" w:rsidR="7EA70EB5" w:rsidRPr="00DD6A04" w:rsidRDefault="7EA70EB5" w:rsidP="4ECBAB6C">
            <w:pPr>
              <w:spacing w:before="0" w:after="0" w:line="240" w:lineRule="auto"/>
              <w:rPr>
                <w:rFonts w:eastAsia="Times New Roman"/>
                <w:noProof/>
                <w:color w:val="006100"/>
                <w:sz w:val="22"/>
              </w:rPr>
            </w:pPr>
            <w:r>
              <w:rPr>
                <w:noProof/>
                <w:color w:val="006100"/>
                <w:sz w:val="22"/>
              </w:rPr>
              <w:t>F: Nadaljnje zmanjševanje poplavne ogroženosti ter zmanjševanje tveganja za druge podnebno pogojene nesreče</w:t>
            </w:r>
          </w:p>
        </w:tc>
        <w:tc>
          <w:tcPr>
            <w:tcW w:w="992" w:type="dxa"/>
            <w:tcBorders>
              <w:top w:val="single" w:sz="4" w:space="0" w:color="auto"/>
              <w:left w:val="nil"/>
              <w:bottom w:val="single" w:sz="4" w:space="0" w:color="auto"/>
              <w:right w:val="single" w:sz="4" w:space="0" w:color="auto"/>
            </w:tcBorders>
            <w:shd w:val="clear" w:color="auto" w:fill="C6EFCE"/>
            <w:noWrap/>
          </w:tcPr>
          <w:p w14:paraId="3EC5334F" w14:textId="284B138E" w:rsidR="7EA70EB5" w:rsidRPr="00DD6A04" w:rsidRDefault="7EA70EB5" w:rsidP="4ECBAB6C">
            <w:pPr>
              <w:spacing w:line="240" w:lineRule="auto"/>
              <w:rPr>
                <w:rFonts w:eastAsia="Times New Roman"/>
                <w:noProof/>
                <w:color w:val="006100"/>
                <w:sz w:val="22"/>
              </w:rPr>
            </w:pPr>
            <w:r>
              <w:rPr>
                <w:noProof/>
                <w:color w:val="006100"/>
                <w:sz w:val="22"/>
              </w:rPr>
              <w:t>Mejnik</w:t>
            </w:r>
          </w:p>
        </w:tc>
        <w:tc>
          <w:tcPr>
            <w:tcW w:w="1843" w:type="dxa"/>
            <w:tcBorders>
              <w:top w:val="single" w:sz="4" w:space="0" w:color="auto"/>
              <w:left w:val="nil"/>
              <w:bottom w:val="single" w:sz="4" w:space="0" w:color="auto"/>
              <w:right w:val="single" w:sz="4" w:space="0" w:color="auto"/>
            </w:tcBorders>
            <w:shd w:val="clear" w:color="auto" w:fill="C6EFCE"/>
            <w:noWrap/>
          </w:tcPr>
          <w:p w14:paraId="307675E0" w14:textId="29047F52" w:rsidR="7EA70EB5" w:rsidRPr="00DD6A04" w:rsidRDefault="7EA70EB5" w:rsidP="4ECBAB6C">
            <w:pPr>
              <w:spacing w:line="240" w:lineRule="auto"/>
              <w:rPr>
                <w:rFonts w:eastAsia="Times New Roman"/>
                <w:noProof/>
                <w:color w:val="006100"/>
                <w:sz w:val="22"/>
              </w:rPr>
            </w:pPr>
            <w:r>
              <w:rPr>
                <w:noProof/>
                <w:color w:val="006100"/>
                <w:sz w:val="22"/>
              </w:rPr>
              <w:t>Oddaja naročil za investicije v protipoplavno varnost</w:t>
            </w:r>
          </w:p>
        </w:tc>
        <w:tc>
          <w:tcPr>
            <w:tcW w:w="1701" w:type="dxa"/>
            <w:tcBorders>
              <w:top w:val="single" w:sz="4" w:space="0" w:color="auto"/>
              <w:left w:val="nil"/>
              <w:bottom w:val="single" w:sz="4" w:space="0" w:color="auto"/>
              <w:right w:val="single" w:sz="4" w:space="0" w:color="auto"/>
            </w:tcBorders>
            <w:shd w:val="clear" w:color="auto" w:fill="C6EFCE"/>
            <w:noWrap/>
          </w:tcPr>
          <w:p w14:paraId="1F38471A" w14:textId="4273DA89" w:rsidR="7EA70EB5" w:rsidRPr="00DD6A04" w:rsidRDefault="7EA70EB5" w:rsidP="4ECBAB6C">
            <w:pPr>
              <w:spacing w:line="240" w:lineRule="auto"/>
              <w:rPr>
                <w:rFonts w:eastAsia="Times New Roman"/>
                <w:noProof/>
                <w:color w:val="006100"/>
                <w:sz w:val="22"/>
              </w:rPr>
            </w:pPr>
            <w:r>
              <w:rPr>
                <w:noProof/>
                <w:color w:val="006100"/>
                <w:sz w:val="22"/>
              </w:rPr>
              <w:t>Objava rezultatov razpisa</w:t>
            </w:r>
          </w:p>
        </w:tc>
        <w:tc>
          <w:tcPr>
            <w:tcW w:w="1134" w:type="dxa"/>
            <w:tcBorders>
              <w:top w:val="single" w:sz="4" w:space="0" w:color="auto"/>
              <w:left w:val="nil"/>
              <w:bottom w:val="single" w:sz="4" w:space="0" w:color="auto"/>
              <w:right w:val="single" w:sz="4" w:space="0" w:color="auto"/>
            </w:tcBorders>
            <w:shd w:val="clear" w:color="auto" w:fill="C6EFCE"/>
            <w:noWrap/>
          </w:tcPr>
          <w:p w14:paraId="75724082" w14:textId="078FF1B2" w:rsidR="4ECBAB6C" w:rsidRPr="00DD6A04" w:rsidRDefault="4ECBAB6C" w:rsidP="4ECBAB6C">
            <w:pPr>
              <w:spacing w:line="240" w:lineRule="auto"/>
              <w:rPr>
                <w:rFonts w:eastAsia="Times New Roman"/>
                <w:noProof/>
                <w:color w:val="006100"/>
                <w:sz w:val="22"/>
                <w:lang w:val="en-GB"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14:paraId="49A146C9" w14:textId="2B8DF491" w:rsidR="4ECBAB6C" w:rsidRPr="00DD6A04" w:rsidRDefault="4ECBAB6C" w:rsidP="4ECBAB6C">
            <w:pPr>
              <w:spacing w:line="240" w:lineRule="auto"/>
              <w:rPr>
                <w:rFonts w:eastAsia="Times New Roman"/>
                <w:noProof/>
                <w:color w:val="006100"/>
                <w:sz w:val="22"/>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43E9E3C6" w14:textId="6E78FF4E" w:rsidR="4ECBAB6C" w:rsidRPr="00DD6A04" w:rsidRDefault="4ECBAB6C" w:rsidP="4ECBAB6C">
            <w:pPr>
              <w:spacing w:line="240" w:lineRule="auto"/>
              <w:rPr>
                <w:rFonts w:eastAsia="Times New Roman"/>
                <w:noProof/>
                <w:color w:val="006100"/>
                <w:sz w:val="22"/>
                <w:lang w:val="en-GB"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4D43FC6F" w14:textId="4F7E2E45" w:rsidR="7EA70EB5" w:rsidRPr="00DD6A04" w:rsidRDefault="7EA70EB5" w:rsidP="4ECBAB6C">
            <w:pPr>
              <w:spacing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141CC88B" w14:textId="36C7F036" w:rsidR="7EA70EB5" w:rsidRPr="00DD6A04" w:rsidRDefault="7EA70EB5" w:rsidP="4ECBAB6C">
            <w:pPr>
              <w:spacing w:line="240" w:lineRule="auto"/>
              <w:rPr>
                <w:rFonts w:eastAsia="Times New Roman"/>
                <w:noProof/>
                <w:color w:val="006100"/>
                <w:sz w:val="22"/>
              </w:rPr>
            </w:pPr>
            <w:r>
              <w:rPr>
                <w:noProof/>
                <w:color w:val="006100"/>
                <w:sz w:val="22"/>
              </w:rPr>
              <w:t>2024</w:t>
            </w:r>
          </w:p>
        </w:tc>
        <w:tc>
          <w:tcPr>
            <w:tcW w:w="3221" w:type="dxa"/>
            <w:tcBorders>
              <w:top w:val="single" w:sz="4" w:space="0" w:color="auto"/>
              <w:left w:val="nil"/>
              <w:bottom w:val="single" w:sz="4" w:space="0" w:color="auto"/>
              <w:right w:val="single" w:sz="4" w:space="0" w:color="auto"/>
            </w:tcBorders>
            <w:shd w:val="clear" w:color="auto" w:fill="C6EFCE"/>
            <w:noWrap/>
          </w:tcPr>
          <w:p w14:paraId="4C0CC3CB" w14:textId="2C7341F0" w:rsidR="48D27077" w:rsidRPr="00DD6A04" w:rsidRDefault="0E942876" w:rsidP="27CB7A40">
            <w:pPr>
              <w:spacing w:line="240" w:lineRule="auto"/>
              <w:rPr>
                <w:rFonts w:eastAsia="Times New Roman"/>
                <w:noProof/>
                <w:color w:val="006100"/>
                <w:sz w:val="22"/>
                <w:highlight w:val="yellow"/>
              </w:rPr>
            </w:pPr>
            <w:r>
              <w:rPr>
                <w:noProof/>
                <w:color w:val="006100"/>
                <w:sz w:val="22"/>
              </w:rPr>
              <w:t>Oddaja naročil za 9 investicij v protipoplavno varnost. Merila za izbor projektov bodo dajala prednost ukrepom za rešitve, ki temeljijo na naravi, in zeleni infrastrukturi, kolikor je mogoče. Naročila bodo zagotavljala, da se bodo projekti izvajali v skladu s trenutno veljavno zakonodajo in ustreznimi prilogami Delegirane uredbe Komisije (EU), ki dopolnjuje uredbo o taksonomiji (Uredba (EU) 2020/852).</w:t>
            </w:r>
          </w:p>
        </w:tc>
      </w:tr>
      <w:tr w:rsidR="009F5B52" w:rsidRPr="00DD6A04" w14:paraId="3645B990"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50310A88" w14:textId="095715B5"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47 </w:t>
            </w:r>
          </w:p>
        </w:tc>
        <w:tc>
          <w:tcPr>
            <w:tcW w:w="1559" w:type="dxa"/>
            <w:tcBorders>
              <w:top w:val="single" w:sz="4" w:space="0" w:color="auto"/>
              <w:left w:val="nil"/>
              <w:bottom w:val="single" w:sz="4" w:space="0" w:color="auto"/>
              <w:right w:val="single" w:sz="4" w:space="0" w:color="auto"/>
            </w:tcBorders>
            <w:shd w:val="clear" w:color="auto" w:fill="C6EFCE"/>
            <w:noWrap/>
          </w:tcPr>
          <w:p w14:paraId="046DE112" w14:textId="6CE879B2"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F: Nadaljnje zmanjševanje poplavne ogroženosti ter zmanjševanje tveganja za druge podnebno pogojene nesreče </w:t>
            </w:r>
          </w:p>
        </w:tc>
        <w:tc>
          <w:tcPr>
            <w:tcW w:w="992" w:type="dxa"/>
            <w:tcBorders>
              <w:top w:val="single" w:sz="4" w:space="0" w:color="auto"/>
              <w:left w:val="nil"/>
              <w:bottom w:val="single" w:sz="4" w:space="0" w:color="auto"/>
              <w:right w:val="single" w:sz="4" w:space="0" w:color="auto"/>
            </w:tcBorders>
            <w:shd w:val="clear" w:color="auto" w:fill="C6EFCE"/>
            <w:noWrap/>
          </w:tcPr>
          <w:p w14:paraId="066024F7" w14:textId="2D91A3AB"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843" w:type="dxa"/>
            <w:tcBorders>
              <w:top w:val="single" w:sz="4" w:space="0" w:color="auto"/>
              <w:left w:val="nil"/>
              <w:bottom w:val="single" w:sz="4" w:space="0" w:color="auto"/>
              <w:right w:val="single" w:sz="4" w:space="0" w:color="auto"/>
            </w:tcBorders>
            <w:shd w:val="clear" w:color="auto" w:fill="C6EFCE"/>
            <w:noWrap/>
          </w:tcPr>
          <w:p w14:paraId="3176DEC4" w14:textId="4740904B" w:rsidR="007D2EF7" w:rsidRPr="00DD6A04" w:rsidRDefault="007D2EF7" w:rsidP="007D2EF7">
            <w:pPr>
              <w:spacing w:before="0" w:after="0" w:line="240" w:lineRule="auto"/>
              <w:rPr>
                <w:rFonts w:eastAsia="Times New Roman"/>
                <w:noProof/>
                <w:color w:val="006100"/>
                <w:sz w:val="22"/>
              </w:rPr>
            </w:pPr>
            <w:r>
              <w:rPr>
                <w:noProof/>
                <w:color w:val="006100"/>
                <w:sz w:val="22"/>
              </w:rPr>
              <w:t>Prebivalci, ki imajo koristi od projektov v zvezi s protipoplavno varnostjo</w:t>
            </w:r>
          </w:p>
        </w:tc>
        <w:tc>
          <w:tcPr>
            <w:tcW w:w="1701" w:type="dxa"/>
            <w:tcBorders>
              <w:top w:val="single" w:sz="4" w:space="0" w:color="auto"/>
              <w:left w:val="nil"/>
              <w:bottom w:val="single" w:sz="4" w:space="0" w:color="auto"/>
              <w:right w:val="single" w:sz="4" w:space="0" w:color="auto"/>
            </w:tcBorders>
            <w:shd w:val="clear" w:color="auto" w:fill="C6EFCE"/>
            <w:noWrap/>
          </w:tcPr>
          <w:p w14:paraId="384CC02C" w14:textId="12EC576E"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73752FF3" w14:textId="0FE2C3B2"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71BD608E" w14:textId="097A4801"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092E1B5B" w14:textId="36A13BD9" w:rsidR="007D2EF7" w:rsidRPr="00DD6A04" w:rsidRDefault="7FCF6CF3" w:rsidP="7A582D0F">
            <w:pPr>
              <w:spacing w:before="0" w:after="0" w:line="240" w:lineRule="auto"/>
              <w:rPr>
                <w:rFonts w:eastAsia="Times New Roman"/>
                <w:noProof/>
                <w:color w:val="006100"/>
                <w:sz w:val="22"/>
              </w:rPr>
            </w:pPr>
            <w:r>
              <w:rPr>
                <w:noProof/>
                <w:color w:val="006100"/>
                <w:sz w:val="22"/>
              </w:rPr>
              <w:t>26092</w:t>
            </w:r>
          </w:p>
        </w:tc>
        <w:tc>
          <w:tcPr>
            <w:tcW w:w="851" w:type="dxa"/>
            <w:tcBorders>
              <w:top w:val="single" w:sz="4" w:space="0" w:color="auto"/>
              <w:left w:val="nil"/>
              <w:bottom w:val="single" w:sz="4" w:space="0" w:color="auto"/>
              <w:right w:val="single" w:sz="4" w:space="0" w:color="auto"/>
            </w:tcBorders>
            <w:shd w:val="clear" w:color="auto" w:fill="C6EFCE"/>
            <w:noWrap/>
          </w:tcPr>
          <w:p w14:paraId="48DC1799" w14:textId="68808D83"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850" w:type="dxa"/>
            <w:tcBorders>
              <w:top w:val="single" w:sz="4" w:space="0" w:color="auto"/>
              <w:left w:val="nil"/>
              <w:bottom w:val="single" w:sz="4" w:space="0" w:color="auto"/>
              <w:right w:val="single" w:sz="4" w:space="0" w:color="auto"/>
            </w:tcBorders>
            <w:shd w:val="clear" w:color="auto" w:fill="C6EFCE"/>
            <w:noWrap/>
          </w:tcPr>
          <w:p w14:paraId="3E82227F" w14:textId="26C1CB0F" w:rsidR="007D2EF7" w:rsidRPr="00DD6A04" w:rsidRDefault="007D2EF7" w:rsidP="007D2EF7">
            <w:pPr>
              <w:spacing w:before="0" w:after="0" w:line="240" w:lineRule="auto"/>
              <w:rPr>
                <w:rFonts w:eastAsia="Times New Roman"/>
                <w:noProof/>
                <w:color w:val="006100"/>
                <w:sz w:val="22"/>
              </w:rPr>
            </w:pPr>
            <w:r>
              <w:rPr>
                <w:noProof/>
                <w:color w:val="006100"/>
                <w:sz w:val="22"/>
              </w:rPr>
              <w:t>2026</w:t>
            </w:r>
          </w:p>
        </w:tc>
        <w:tc>
          <w:tcPr>
            <w:tcW w:w="3221" w:type="dxa"/>
            <w:tcBorders>
              <w:top w:val="single" w:sz="4" w:space="0" w:color="auto"/>
              <w:left w:val="nil"/>
              <w:bottom w:val="single" w:sz="4" w:space="0" w:color="auto"/>
              <w:right w:val="single" w:sz="4" w:space="0" w:color="auto"/>
            </w:tcBorders>
            <w:shd w:val="clear" w:color="auto" w:fill="C6EFCE"/>
            <w:noWrap/>
          </w:tcPr>
          <w:p w14:paraId="21723AC7" w14:textId="7397CA93"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Cilj predstavlja število prebivalcev na območju, na katerem so bili dokončani projekti v zvezi s protipoplavno varnostjo. </w:t>
            </w:r>
          </w:p>
        </w:tc>
      </w:tr>
      <w:tr w:rsidR="009F5B52" w:rsidRPr="00DD6A04" w14:paraId="6AF4A72B"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74D18CED" w14:textId="21435839" w:rsidR="007D2EF7" w:rsidRPr="00DD6A04" w:rsidRDefault="007D2EF7" w:rsidP="007D2EF7">
            <w:pPr>
              <w:spacing w:before="0" w:after="0" w:line="240" w:lineRule="auto"/>
              <w:rPr>
                <w:rFonts w:eastAsia="Times New Roman"/>
                <w:noProof/>
                <w:color w:val="006100"/>
                <w:sz w:val="22"/>
              </w:rPr>
            </w:pPr>
            <w:r>
              <w:rPr>
                <w:noProof/>
                <w:color w:val="006100"/>
                <w:sz w:val="22"/>
              </w:rPr>
              <w:t>48</w:t>
            </w:r>
          </w:p>
        </w:tc>
        <w:tc>
          <w:tcPr>
            <w:tcW w:w="1559" w:type="dxa"/>
            <w:tcBorders>
              <w:top w:val="single" w:sz="4" w:space="0" w:color="auto"/>
              <w:left w:val="nil"/>
              <w:bottom w:val="single" w:sz="4" w:space="0" w:color="auto"/>
              <w:right w:val="single" w:sz="4" w:space="0" w:color="auto"/>
            </w:tcBorders>
            <w:shd w:val="clear" w:color="auto" w:fill="C6EFCE"/>
            <w:noWrap/>
          </w:tcPr>
          <w:p w14:paraId="26185776" w14:textId="2F9C4F0F"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F: Nadaljnje zmanjševanje poplavne ogroženosti ter zmanjševanje tveganja za druge podnebno pogojene nesreče </w:t>
            </w:r>
          </w:p>
        </w:tc>
        <w:tc>
          <w:tcPr>
            <w:tcW w:w="992" w:type="dxa"/>
            <w:tcBorders>
              <w:top w:val="single" w:sz="4" w:space="0" w:color="auto"/>
              <w:left w:val="nil"/>
              <w:bottom w:val="single" w:sz="4" w:space="0" w:color="auto"/>
              <w:right w:val="single" w:sz="4" w:space="0" w:color="auto"/>
            </w:tcBorders>
            <w:shd w:val="clear" w:color="auto" w:fill="C6EFCE"/>
            <w:noWrap/>
          </w:tcPr>
          <w:p w14:paraId="0EE00AFC" w14:textId="1A91CFD0"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843" w:type="dxa"/>
            <w:tcBorders>
              <w:top w:val="single" w:sz="4" w:space="0" w:color="auto"/>
              <w:left w:val="nil"/>
              <w:bottom w:val="single" w:sz="4" w:space="0" w:color="auto"/>
              <w:right w:val="single" w:sz="4" w:space="0" w:color="auto"/>
            </w:tcBorders>
            <w:shd w:val="clear" w:color="auto" w:fill="C6EFCE"/>
            <w:noWrap/>
          </w:tcPr>
          <w:p w14:paraId="4412131A" w14:textId="6337C6EE" w:rsidR="007D2EF7" w:rsidRPr="00DD6A04" w:rsidRDefault="007D2EF7" w:rsidP="007D2EF7">
            <w:pPr>
              <w:spacing w:before="0" w:after="0" w:line="240" w:lineRule="auto"/>
              <w:rPr>
                <w:rFonts w:eastAsia="Times New Roman"/>
                <w:noProof/>
                <w:color w:val="006100"/>
                <w:sz w:val="22"/>
              </w:rPr>
            </w:pPr>
            <w:r>
              <w:rPr>
                <w:noProof/>
                <w:color w:val="006100"/>
                <w:sz w:val="22"/>
              </w:rPr>
              <w:t>Število dokončanih projektov v zvezi s protipoplavno varnostjo, ki čim bolj dajejo prednost rešitvam, ki temeljijo na naravi, in zelenim infrastrukturam</w:t>
            </w:r>
          </w:p>
        </w:tc>
        <w:tc>
          <w:tcPr>
            <w:tcW w:w="1701" w:type="dxa"/>
            <w:tcBorders>
              <w:top w:val="single" w:sz="4" w:space="0" w:color="auto"/>
              <w:left w:val="nil"/>
              <w:bottom w:val="single" w:sz="4" w:space="0" w:color="auto"/>
              <w:right w:val="single" w:sz="4" w:space="0" w:color="auto"/>
            </w:tcBorders>
            <w:shd w:val="clear" w:color="auto" w:fill="C6EFCE"/>
            <w:noWrap/>
          </w:tcPr>
          <w:p w14:paraId="0473B712" w14:textId="724405D5"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6642F338" w14:textId="36A0C294"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3179A8B3" w14:textId="50556787"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2349B073" w14:textId="24DC5DC7" w:rsidR="007D2EF7" w:rsidRPr="00DD6A04" w:rsidRDefault="78B8517F" w:rsidP="007D2EF7">
            <w:pPr>
              <w:spacing w:before="0" w:after="0" w:line="240" w:lineRule="auto"/>
              <w:rPr>
                <w:rFonts w:eastAsia="Times New Roman"/>
                <w:noProof/>
                <w:color w:val="006100"/>
                <w:sz w:val="22"/>
              </w:rPr>
            </w:pPr>
            <w:r>
              <w:rPr>
                <w:noProof/>
                <w:color w:val="006100"/>
                <w:sz w:val="22"/>
              </w:rPr>
              <w:t>9</w:t>
            </w:r>
          </w:p>
        </w:tc>
        <w:tc>
          <w:tcPr>
            <w:tcW w:w="851" w:type="dxa"/>
            <w:tcBorders>
              <w:top w:val="single" w:sz="4" w:space="0" w:color="auto"/>
              <w:left w:val="nil"/>
              <w:bottom w:val="single" w:sz="4" w:space="0" w:color="auto"/>
              <w:right w:val="single" w:sz="4" w:space="0" w:color="auto"/>
            </w:tcBorders>
            <w:shd w:val="clear" w:color="auto" w:fill="C6EFCE"/>
            <w:noWrap/>
          </w:tcPr>
          <w:p w14:paraId="5D02E1F3" w14:textId="7D503BF2"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850" w:type="dxa"/>
            <w:tcBorders>
              <w:top w:val="single" w:sz="4" w:space="0" w:color="auto"/>
              <w:left w:val="nil"/>
              <w:bottom w:val="single" w:sz="4" w:space="0" w:color="auto"/>
              <w:right w:val="single" w:sz="4" w:space="0" w:color="auto"/>
            </w:tcBorders>
            <w:shd w:val="clear" w:color="auto" w:fill="C6EFCE"/>
            <w:noWrap/>
          </w:tcPr>
          <w:p w14:paraId="52A30DA1" w14:textId="0A18BAD6" w:rsidR="007D2EF7" w:rsidRPr="00DD6A04" w:rsidRDefault="007D2EF7" w:rsidP="007D2EF7">
            <w:pPr>
              <w:spacing w:before="0" w:after="0" w:line="240" w:lineRule="auto"/>
              <w:rPr>
                <w:rFonts w:eastAsia="Times New Roman"/>
                <w:noProof/>
                <w:color w:val="006100"/>
                <w:sz w:val="22"/>
              </w:rPr>
            </w:pPr>
            <w:r>
              <w:rPr>
                <w:noProof/>
                <w:color w:val="006100"/>
                <w:sz w:val="22"/>
              </w:rPr>
              <w:t>2026</w:t>
            </w:r>
          </w:p>
        </w:tc>
        <w:tc>
          <w:tcPr>
            <w:tcW w:w="3221" w:type="dxa"/>
            <w:tcBorders>
              <w:top w:val="single" w:sz="4" w:space="0" w:color="auto"/>
              <w:left w:val="nil"/>
              <w:bottom w:val="single" w:sz="4" w:space="0" w:color="auto"/>
              <w:right w:val="single" w:sz="4" w:space="0" w:color="auto"/>
            </w:tcBorders>
            <w:shd w:val="clear" w:color="auto" w:fill="C6EFCE"/>
            <w:noWrap/>
          </w:tcPr>
          <w:p w14:paraId="71C46A66" w14:textId="079A33FB" w:rsidR="007D2EF7" w:rsidRPr="00DD6A04" w:rsidRDefault="007D2EF7" w:rsidP="007D2EF7">
            <w:pPr>
              <w:spacing w:before="0" w:after="0" w:line="256" w:lineRule="auto"/>
              <w:rPr>
                <w:rFonts w:eastAsia="Times New Roman"/>
                <w:noProof/>
                <w:color w:val="006100"/>
                <w:sz w:val="22"/>
              </w:rPr>
            </w:pPr>
            <w:r>
              <w:rPr>
                <w:noProof/>
                <w:color w:val="006100"/>
                <w:sz w:val="22"/>
              </w:rPr>
              <w:t>Cilj predstavlja konkretno število izvedenih in dokončanih investicij na področju protipoplavne varnosti v skladu z zahtevami iz mejnika 47bis.</w:t>
            </w:r>
            <w:r w:rsidR="00037751">
              <w:rPr>
                <w:noProof/>
                <w:color w:val="006100"/>
                <w:sz w:val="22"/>
              </w:rPr>
              <w:t xml:space="preserve"> </w:t>
            </w:r>
          </w:p>
          <w:p w14:paraId="544EB7F9" w14:textId="539E4231" w:rsidR="007D2EF7" w:rsidRPr="00DD6A04" w:rsidRDefault="007D2EF7" w:rsidP="007D2EF7">
            <w:pPr>
              <w:spacing w:before="0" w:after="0" w:line="240" w:lineRule="auto"/>
              <w:rPr>
                <w:rFonts w:eastAsia="Times New Roman"/>
                <w:noProof/>
                <w:color w:val="006100"/>
                <w:sz w:val="22"/>
              </w:rPr>
            </w:pPr>
            <w:r>
              <w:rPr>
                <w:noProof/>
                <w:color w:val="006100"/>
                <w:sz w:val="22"/>
              </w:rPr>
              <w:t>Projekti bodo prispevali k zmanjšanju poplavne ogroženosti na opredeljenih območjih, ki jih naslavlja sprejeti Načrt zmanjševanja poplavne ogroženosti 2023–2027 (NZPO) v Sloveniji v skladu z direktivo o poplavah in območjih, ki so jih v zadnji ujmi prizadele poplave.</w:t>
            </w:r>
            <w:r w:rsidR="00037751">
              <w:rPr>
                <w:noProof/>
                <w:color w:val="006100"/>
                <w:sz w:val="22"/>
              </w:rPr>
              <w:t xml:space="preserve"> </w:t>
            </w:r>
            <w:r>
              <w:rPr>
                <w:noProof/>
                <w:color w:val="006100"/>
                <w:sz w:val="22"/>
              </w:rPr>
              <w:t>Projekti bodo čim bolj vključevali ukrepe za rešitve, ki temeljijo na naravi.</w:t>
            </w:r>
          </w:p>
        </w:tc>
      </w:tr>
      <w:tr w:rsidR="009F5B52" w:rsidRPr="00DD6A04" w14:paraId="61EA23D6"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3B9DF914" w14:textId="0E934401" w:rsidR="007D2EF7" w:rsidRPr="00DD6A04" w:rsidRDefault="007D2EF7" w:rsidP="007D2EF7">
            <w:pPr>
              <w:spacing w:before="0" w:after="0" w:line="240" w:lineRule="auto"/>
              <w:rPr>
                <w:rFonts w:eastAsia="Times New Roman"/>
                <w:noProof/>
                <w:color w:val="006100"/>
                <w:sz w:val="22"/>
              </w:rPr>
            </w:pPr>
            <w:r>
              <w:rPr>
                <w:noProof/>
                <w:color w:val="006100"/>
                <w:sz w:val="22"/>
              </w:rPr>
              <w:t>49</w:t>
            </w:r>
          </w:p>
        </w:tc>
        <w:tc>
          <w:tcPr>
            <w:tcW w:w="1559" w:type="dxa"/>
            <w:tcBorders>
              <w:top w:val="single" w:sz="4" w:space="0" w:color="auto"/>
              <w:left w:val="nil"/>
              <w:bottom w:val="single" w:sz="4" w:space="0" w:color="auto"/>
              <w:right w:val="single" w:sz="4" w:space="0" w:color="auto"/>
            </w:tcBorders>
            <w:shd w:val="clear" w:color="auto" w:fill="C6EFCE"/>
            <w:noWrap/>
          </w:tcPr>
          <w:p w14:paraId="36695872" w14:textId="42A4A358" w:rsidR="007D2EF7" w:rsidRPr="00DD6A04" w:rsidRDefault="007D2EF7" w:rsidP="007D2EF7">
            <w:pPr>
              <w:spacing w:before="0" w:after="0" w:line="240" w:lineRule="auto"/>
              <w:rPr>
                <w:rFonts w:eastAsia="Times New Roman"/>
                <w:noProof/>
                <w:color w:val="006100"/>
                <w:sz w:val="22"/>
              </w:rPr>
            </w:pPr>
            <w:r>
              <w:rPr>
                <w:noProof/>
                <w:color w:val="006100"/>
                <w:sz w:val="22"/>
              </w:rPr>
              <w:t>D: Povečanje učinkovitosti delovanja javnih služb varstva okolja</w:t>
            </w:r>
          </w:p>
        </w:tc>
        <w:tc>
          <w:tcPr>
            <w:tcW w:w="992" w:type="dxa"/>
            <w:tcBorders>
              <w:top w:val="single" w:sz="4" w:space="0" w:color="auto"/>
              <w:left w:val="nil"/>
              <w:bottom w:val="single" w:sz="4" w:space="0" w:color="auto"/>
              <w:right w:val="single" w:sz="4" w:space="0" w:color="auto"/>
            </w:tcBorders>
            <w:shd w:val="clear" w:color="auto" w:fill="C6EFCE"/>
            <w:noWrap/>
          </w:tcPr>
          <w:p w14:paraId="0272E1A3" w14:textId="411B3DA9"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843" w:type="dxa"/>
            <w:tcBorders>
              <w:top w:val="single" w:sz="4" w:space="0" w:color="auto"/>
              <w:left w:val="nil"/>
              <w:bottom w:val="single" w:sz="4" w:space="0" w:color="auto"/>
              <w:right w:val="single" w:sz="4" w:space="0" w:color="auto"/>
            </w:tcBorders>
            <w:shd w:val="clear" w:color="auto" w:fill="C6EFCE"/>
            <w:noWrap/>
          </w:tcPr>
          <w:p w14:paraId="0C46E3FD" w14:textId="4D195C4D" w:rsidR="007D2EF7" w:rsidRPr="00DD6A04" w:rsidRDefault="007D2EF7" w:rsidP="007D2EF7">
            <w:pPr>
              <w:spacing w:before="0" w:after="0" w:line="240" w:lineRule="auto"/>
              <w:rPr>
                <w:rFonts w:eastAsia="Times New Roman"/>
                <w:noProof/>
                <w:color w:val="006100"/>
                <w:sz w:val="22"/>
              </w:rPr>
            </w:pPr>
            <w:r>
              <w:rPr>
                <w:noProof/>
                <w:color w:val="006100"/>
                <w:sz w:val="22"/>
              </w:rPr>
              <w:t>Začetek veljavnosti Zakona o gospodarskih javnih službah varstva okolja</w:t>
            </w:r>
          </w:p>
        </w:tc>
        <w:tc>
          <w:tcPr>
            <w:tcW w:w="1701" w:type="dxa"/>
            <w:tcBorders>
              <w:top w:val="single" w:sz="4" w:space="0" w:color="auto"/>
              <w:left w:val="nil"/>
              <w:bottom w:val="single" w:sz="4" w:space="0" w:color="auto"/>
              <w:right w:val="single" w:sz="4" w:space="0" w:color="auto"/>
            </w:tcBorders>
            <w:shd w:val="clear" w:color="auto" w:fill="C6EFCE"/>
            <w:noWrap/>
          </w:tcPr>
          <w:p w14:paraId="16A5161D" w14:textId="60F6E2FE" w:rsidR="007D2EF7" w:rsidRPr="00DD6A04" w:rsidRDefault="007D2EF7" w:rsidP="007D2EF7">
            <w:pPr>
              <w:spacing w:before="0" w:after="0" w:line="240" w:lineRule="auto"/>
              <w:rPr>
                <w:rFonts w:eastAsia="Times New Roman"/>
                <w:noProof/>
                <w:color w:val="006100"/>
                <w:sz w:val="22"/>
              </w:rPr>
            </w:pPr>
            <w:r>
              <w:rPr>
                <w:noProof/>
                <w:color w:val="006100"/>
                <w:sz w:val="22"/>
              </w:rPr>
              <w:t>Zakonodajna določba o začetku veljavnosti Zakona o gospodarskih javnih službah varstva okolja</w:t>
            </w:r>
          </w:p>
        </w:tc>
        <w:tc>
          <w:tcPr>
            <w:tcW w:w="1134" w:type="dxa"/>
            <w:tcBorders>
              <w:top w:val="single" w:sz="4" w:space="0" w:color="auto"/>
              <w:left w:val="nil"/>
              <w:bottom w:val="single" w:sz="4" w:space="0" w:color="auto"/>
              <w:right w:val="single" w:sz="4" w:space="0" w:color="auto"/>
            </w:tcBorders>
            <w:shd w:val="clear" w:color="auto" w:fill="C6EFCE"/>
            <w:noWrap/>
          </w:tcPr>
          <w:p w14:paraId="564E1FA8" w14:textId="7A6F0F20"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0E21456A" w14:textId="11A42B33"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2D70B958" w14:textId="6219FEA5"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58832388" w14:textId="1A4AE5D9"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39F70BF2" w14:textId="5D48F025" w:rsidR="007D2EF7" w:rsidRPr="00DD6A04" w:rsidRDefault="62C7CDA4" w:rsidP="1A87D93B">
            <w:pPr>
              <w:spacing w:before="0" w:after="0" w:line="240" w:lineRule="auto"/>
              <w:rPr>
                <w:rFonts w:eastAsia="Times New Roman"/>
                <w:noProof/>
                <w:color w:val="006100"/>
                <w:sz w:val="22"/>
              </w:rPr>
            </w:pPr>
            <w:r>
              <w:rPr>
                <w:noProof/>
                <w:color w:val="006100"/>
                <w:sz w:val="22"/>
              </w:rPr>
              <w:t>2023</w:t>
            </w:r>
          </w:p>
        </w:tc>
        <w:tc>
          <w:tcPr>
            <w:tcW w:w="3221" w:type="dxa"/>
            <w:tcBorders>
              <w:top w:val="single" w:sz="4" w:space="0" w:color="auto"/>
              <w:left w:val="nil"/>
              <w:bottom w:val="single" w:sz="4" w:space="0" w:color="auto"/>
              <w:right w:val="single" w:sz="4" w:space="0" w:color="auto"/>
            </w:tcBorders>
            <w:shd w:val="clear" w:color="auto" w:fill="C6EFCE"/>
            <w:noWrap/>
          </w:tcPr>
          <w:p w14:paraId="02D966F9" w14:textId="2DBCD8BE" w:rsidR="007D2EF7" w:rsidRPr="00DD6A04" w:rsidRDefault="007D2EF7" w:rsidP="007D2EF7">
            <w:pPr>
              <w:spacing w:before="0" w:after="0" w:line="256" w:lineRule="auto"/>
              <w:rPr>
                <w:rFonts w:eastAsia="Times New Roman"/>
                <w:noProof/>
                <w:color w:val="006100"/>
                <w:sz w:val="22"/>
              </w:rPr>
            </w:pPr>
            <w:r>
              <w:rPr>
                <w:noProof/>
                <w:color w:val="006100"/>
                <w:sz w:val="22"/>
              </w:rPr>
              <w:t>Zakon o gospodarskih javnih službah varstva okolja bo med drugim zagotovil:</w:t>
            </w:r>
            <w:r w:rsidR="00037751">
              <w:rPr>
                <w:noProof/>
                <w:color w:val="006100"/>
                <w:sz w:val="22"/>
              </w:rPr>
              <w:t xml:space="preserve"> </w:t>
            </w:r>
            <w:r>
              <w:rPr>
                <w:noProof/>
                <w:color w:val="006100"/>
                <w:sz w:val="22"/>
              </w:rPr>
              <w:t xml:space="preserve">– dolgoročno vzdržnost financiranja investicij v infrastrukturo s pregledom stroškovne učinkovitosti pristojbin in dajatev za rabo vode, </w:t>
            </w:r>
          </w:p>
          <w:p w14:paraId="55922033" w14:textId="69500F88" w:rsidR="007D2EF7" w:rsidRPr="00DD6A04" w:rsidRDefault="007D2EF7" w:rsidP="007D2EF7">
            <w:pPr>
              <w:spacing w:before="0" w:after="0" w:line="240" w:lineRule="auto"/>
              <w:rPr>
                <w:rFonts w:eastAsia="Times New Roman"/>
                <w:noProof/>
                <w:color w:val="006100"/>
                <w:sz w:val="22"/>
              </w:rPr>
            </w:pPr>
            <w:r>
              <w:rPr>
                <w:noProof/>
                <w:color w:val="006100"/>
                <w:sz w:val="22"/>
              </w:rPr>
              <w:t>– nadgradnjo informacijskega sistema za spremljanje dejavnosti izvajalcev javne službe in poročanje o njih.</w:t>
            </w:r>
          </w:p>
        </w:tc>
      </w:tr>
      <w:tr w:rsidR="009F5B52" w:rsidRPr="00DD6A04" w14:paraId="3F0D603E"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7B3EF376" w14:textId="3F70D3A3" w:rsidR="007D2EF7" w:rsidRPr="00DD6A04" w:rsidRDefault="007D2EF7" w:rsidP="007D2EF7">
            <w:pPr>
              <w:spacing w:before="0" w:after="0" w:line="240" w:lineRule="auto"/>
              <w:rPr>
                <w:rFonts w:eastAsia="Times New Roman"/>
                <w:noProof/>
                <w:color w:val="006100"/>
                <w:sz w:val="22"/>
              </w:rPr>
            </w:pPr>
            <w:r>
              <w:rPr>
                <w:noProof/>
                <w:color w:val="006100"/>
                <w:sz w:val="22"/>
              </w:rPr>
              <w:t>50</w:t>
            </w:r>
          </w:p>
        </w:tc>
        <w:tc>
          <w:tcPr>
            <w:tcW w:w="1559" w:type="dxa"/>
            <w:tcBorders>
              <w:top w:val="single" w:sz="4" w:space="0" w:color="auto"/>
              <w:left w:val="nil"/>
              <w:bottom w:val="single" w:sz="4" w:space="0" w:color="auto"/>
              <w:right w:val="single" w:sz="4" w:space="0" w:color="auto"/>
            </w:tcBorders>
            <w:shd w:val="clear" w:color="auto" w:fill="C6EFCE"/>
            <w:noWrap/>
          </w:tcPr>
          <w:p w14:paraId="390EF087" w14:textId="4B7B45EC" w:rsidR="007D2EF7" w:rsidRPr="00DD6A04" w:rsidRDefault="007D2EF7" w:rsidP="007D2EF7">
            <w:pPr>
              <w:spacing w:before="0" w:after="0" w:line="240" w:lineRule="auto"/>
              <w:rPr>
                <w:rFonts w:eastAsia="Times New Roman"/>
                <w:noProof/>
                <w:color w:val="006100"/>
                <w:sz w:val="22"/>
              </w:rPr>
            </w:pPr>
            <w:r>
              <w:rPr>
                <w:noProof/>
                <w:color w:val="006100"/>
                <w:sz w:val="22"/>
              </w:rPr>
              <w:t>H: Nadaljnji projekti odvajanja in čiščenja komunalne odpadne vode ter njene ponovne rabe</w:t>
            </w:r>
          </w:p>
        </w:tc>
        <w:tc>
          <w:tcPr>
            <w:tcW w:w="992" w:type="dxa"/>
            <w:tcBorders>
              <w:top w:val="single" w:sz="4" w:space="0" w:color="auto"/>
              <w:left w:val="nil"/>
              <w:bottom w:val="single" w:sz="4" w:space="0" w:color="auto"/>
              <w:right w:val="single" w:sz="4" w:space="0" w:color="auto"/>
            </w:tcBorders>
            <w:shd w:val="clear" w:color="auto" w:fill="C6EFCE"/>
            <w:noWrap/>
          </w:tcPr>
          <w:p w14:paraId="0D2E2BDC" w14:textId="08A5BF15"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843" w:type="dxa"/>
            <w:tcBorders>
              <w:top w:val="single" w:sz="4" w:space="0" w:color="auto"/>
              <w:left w:val="nil"/>
              <w:bottom w:val="single" w:sz="4" w:space="0" w:color="auto"/>
              <w:right w:val="single" w:sz="4" w:space="0" w:color="auto"/>
            </w:tcBorders>
            <w:shd w:val="clear" w:color="auto" w:fill="C6EFCE"/>
            <w:noWrap/>
          </w:tcPr>
          <w:p w14:paraId="3F554EF8" w14:textId="5231A923" w:rsidR="007D2EF7" w:rsidRPr="00DD6A04" w:rsidRDefault="007D2EF7" w:rsidP="007D2EF7">
            <w:pPr>
              <w:spacing w:before="0" w:after="0" w:line="240" w:lineRule="auto"/>
              <w:rPr>
                <w:rFonts w:eastAsia="Times New Roman"/>
                <w:noProof/>
                <w:color w:val="006100"/>
                <w:sz w:val="22"/>
              </w:rPr>
            </w:pPr>
            <w:r>
              <w:rPr>
                <w:noProof/>
                <w:color w:val="006100"/>
                <w:sz w:val="22"/>
              </w:rPr>
              <w:t>Izdaja sklepov o sofinanciranju za projekte odvajanja in čiščenja komunalne odpadne vode</w:t>
            </w:r>
          </w:p>
        </w:tc>
        <w:tc>
          <w:tcPr>
            <w:tcW w:w="1701" w:type="dxa"/>
            <w:tcBorders>
              <w:top w:val="single" w:sz="4" w:space="0" w:color="auto"/>
              <w:left w:val="nil"/>
              <w:bottom w:val="single" w:sz="4" w:space="0" w:color="auto"/>
              <w:right w:val="single" w:sz="4" w:space="0" w:color="auto"/>
            </w:tcBorders>
            <w:shd w:val="clear" w:color="auto" w:fill="C6EFCE"/>
            <w:noWrap/>
          </w:tcPr>
          <w:p w14:paraId="46C354D6" w14:textId="58AC39EC" w:rsidR="007D2EF7" w:rsidRPr="00DD6A04" w:rsidRDefault="007D2EF7" w:rsidP="007D2EF7">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single" w:sz="4" w:space="0" w:color="auto"/>
              <w:left w:val="nil"/>
              <w:bottom w:val="single" w:sz="4" w:space="0" w:color="auto"/>
              <w:right w:val="single" w:sz="4" w:space="0" w:color="auto"/>
            </w:tcBorders>
            <w:shd w:val="clear" w:color="auto" w:fill="C6EFCE"/>
            <w:noWrap/>
          </w:tcPr>
          <w:p w14:paraId="4E9A804A" w14:textId="623705BF"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18387BF7" w14:textId="73E4699E"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49F8677B" w14:textId="1CB4CE8F"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59A6AEBA" w14:textId="5F64F6AD"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6A89F5A0" w14:textId="3F582390"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221" w:type="dxa"/>
            <w:tcBorders>
              <w:top w:val="single" w:sz="4" w:space="0" w:color="auto"/>
              <w:left w:val="nil"/>
              <w:bottom w:val="single" w:sz="4" w:space="0" w:color="auto"/>
              <w:right w:val="single" w:sz="4" w:space="0" w:color="auto"/>
            </w:tcBorders>
            <w:shd w:val="clear" w:color="auto" w:fill="C6EFCE"/>
            <w:noWrap/>
          </w:tcPr>
          <w:p w14:paraId="3359278D" w14:textId="56327A8E" w:rsidR="007D2EF7" w:rsidRPr="00DD6A04" w:rsidRDefault="359B2DEB" w:rsidP="150EC00E">
            <w:pPr>
              <w:spacing w:before="0" w:after="0" w:line="256" w:lineRule="auto"/>
              <w:rPr>
                <w:rFonts w:eastAsia="Times New Roman"/>
                <w:noProof/>
                <w:color w:val="006100"/>
                <w:sz w:val="22"/>
              </w:rPr>
            </w:pPr>
            <w:r>
              <w:rPr>
                <w:noProof/>
                <w:color w:val="006100"/>
                <w:sz w:val="22"/>
              </w:rPr>
              <w:t>Izdaja sklepov za sofinanciranje za 10 projektov odvajanja in čiščenja komunalne odpadne vode. Projekti bodo obravnavali rekonstrukcijo obstoječih sistemov, da se poveča energetska učinkovitost in zmanjša poraba električne energije za vsaj 10 %, ter bodo zagotovili, da bo neto poraba energije novih sistemov nič.</w:t>
            </w:r>
          </w:p>
          <w:p w14:paraId="49A0F615" w14:textId="7E4F16B3" w:rsidR="007D2EF7" w:rsidRPr="00DD6A04" w:rsidRDefault="007D2EF7" w:rsidP="007D2EF7">
            <w:pPr>
              <w:spacing w:before="0" w:after="0" w:line="240" w:lineRule="auto"/>
              <w:rPr>
                <w:rFonts w:eastAsia="Times New Roman"/>
                <w:noProof/>
                <w:color w:val="006100"/>
                <w:sz w:val="22"/>
              </w:rPr>
            </w:pPr>
            <w:r>
              <w:rPr>
                <w:noProof/>
                <w:color w:val="006100"/>
                <w:sz w:val="22"/>
              </w:rPr>
              <w:t>Projekti se bodo osredotočali na naravovarstvena območja.</w:t>
            </w:r>
          </w:p>
        </w:tc>
      </w:tr>
      <w:tr w:rsidR="009F5B52" w:rsidRPr="00DD6A04" w14:paraId="004E73F5"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0F1EEDB1" w14:textId="3B26BFFF" w:rsidR="007D2EF7" w:rsidRPr="00DD6A04" w:rsidRDefault="007D2EF7" w:rsidP="007D2EF7">
            <w:pPr>
              <w:spacing w:before="0" w:after="0" w:line="240" w:lineRule="auto"/>
              <w:rPr>
                <w:rFonts w:eastAsia="Times New Roman"/>
                <w:noProof/>
                <w:color w:val="006100"/>
                <w:sz w:val="22"/>
              </w:rPr>
            </w:pPr>
            <w:r>
              <w:rPr>
                <w:noProof/>
                <w:color w:val="006100"/>
                <w:sz w:val="22"/>
              </w:rPr>
              <w:t>51</w:t>
            </w:r>
          </w:p>
        </w:tc>
        <w:tc>
          <w:tcPr>
            <w:tcW w:w="1559" w:type="dxa"/>
            <w:tcBorders>
              <w:top w:val="single" w:sz="4" w:space="0" w:color="auto"/>
              <w:left w:val="nil"/>
              <w:bottom w:val="single" w:sz="4" w:space="0" w:color="auto"/>
              <w:right w:val="single" w:sz="4" w:space="0" w:color="auto"/>
            </w:tcBorders>
            <w:shd w:val="clear" w:color="auto" w:fill="C6EFCE"/>
            <w:noWrap/>
          </w:tcPr>
          <w:p w14:paraId="30916416" w14:textId="58A073ED" w:rsidR="007D2EF7" w:rsidRPr="00DD6A04" w:rsidRDefault="007D2EF7" w:rsidP="007D2EF7">
            <w:pPr>
              <w:spacing w:before="0" w:after="0" w:line="240" w:lineRule="auto"/>
              <w:rPr>
                <w:rFonts w:eastAsia="Times New Roman"/>
                <w:noProof/>
                <w:color w:val="006100"/>
                <w:sz w:val="22"/>
              </w:rPr>
            </w:pPr>
            <w:r>
              <w:rPr>
                <w:noProof/>
                <w:color w:val="006100"/>
                <w:sz w:val="22"/>
              </w:rPr>
              <w:t>H: Nadaljnji projekti odvajanja in čiščenja komunalne odpadne vode ter njene ponovne rabe</w:t>
            </w:r>
          </w:p>
        </w:tc>
        <w:tc>
          <w:tcPr>
            <w:tcW w:w="992" w:type="dxa"/>
            <w:tcBorders>
              <w:top w:val="single" w:sz="4" w:space="0" w:color="auto"/>
              <w:left w:val="nil"/>
              <w:bottom w:val="single" w:sz="4" w:space="0" w:color="auto"/>
              <w:right w:val="single" w:sz="4" w:space="0" w:color="auto"/>
            </w:tcBorders>
            <w:shd w:val="clear" w:color="auto" w:fill="C6EFCE"/>
            <w:noWrap/>
          </w:tcPr>
          <w:p w14:paraId="54B97017" w14:textId="1E8C2038"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843" w:type="dxa"/>
            <w:tcBorders>
              <w:top w:val="single" w:sz="4" w:space="0" w:color="auto"/>
              <w:left w:val="nil"/>
              <w:bottom w:val="single" w:sz="4" w:space="0" w:color="auto"/>
              <w:right w:val="single" w:sz="4" w:space="0" w:color="auto"/>
            </w:tcBorders>
            <w:shd w:val="clear" w:color="auto" w:fill="C6EFCE"/>
            <w:noWrap/>
          </w:tcPr>
          <w:p w14:paraId="690E02DC" w14:textId="00BCC503"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odvajanja in čiščenja komunalne odpadne vode </w:t>
            </w:r>
          </w:p>
        </w:tc>
        <w:tc>
          <w:tcPr>
            <w:tcW w:w="1701" w:type="dxa"/>
            <w:tcBorders>
              <w:top w:val="single" w:sz="4" w:space="0" w:color="auto"/>
              <w:left w:val="nil"/>
              <w:bottom w:val="single" w:sz="4" w:space="0" w:color="auto"/>
              <w:right w:val="single" w:sz="4" w:space="0" w:color="auto"/>
            </w:tcBorders>
            <w:shd w:val="clear" w:color="auto" w:fill="C6EFCE"/>
            <w:noWrap/>
          </w:tcPr>
          <w:p w14:paraId="5990B053" w14:textId="64DEAE33"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1EC94A67" w14:textId="4DCDB784"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2B381AA0" w14:textId="680611DA"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2262315C" w14:textId="4BE7BC4D" w:rsidR="007D2EF7" w:rsidRPr="00DD6A04" w:rsidRDefault="007D2EF7" w:rsidP="007D2EF7">
            <w:pPr>
              <w:spacing w:before="0" w:after="0" w:line="240" w:lineRule="auto"/>
              <w:rPr>
                <w:rFonts w:eastAsia="Times New Roman"/>
                <w:noProof/>
                <w:color w:val="006100"/>
                <w:sz w:val="22"/>
              </w:rPr>
            </w:pPr>
            <w:r>
              <w:rPr>
                <w:noProof/>
                <w:color w:val="006100"/>
                <w:sz w:val="22"/>
              </w:rPr>
              <w:t>10</w:t>
            </w:r>
          </w:p>
        </w:tc>
        <w:tc>
          <w:tcPr>
            <w:tcW w:w="851" w:type="dxa"/>
            <w:tcBorders>
              <w:top w:val="single" w:sz="4" w:space="0" w:color="auto"/>
              <w:left w:val="nil"/>
              <w:bottom w:val="single" w:sz="4" w:space="0" w:color="auto"/>
              <w:right w:val="single" w:sz="4" w:space="0" w:color="auto"/>
            </w:tcBorders>
            <w:shd w:val="clear" w:color="auto" w:fill="C6EFCE"/>
            <w:noWrap/>
          </w:tcPr>
          <w:p w14:paraId="2C0C69F8" w14:textId="142FA33A"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850" w:type="dxa"/>
            <w:tcBorders>
              <w:top w:val="single" w:sz="4" w:space="0" w:color="auto"/>
              <w:left w:val="nil"/>
              <w:bottom w:val="single" w:sz="4" w:space="0" w:color="auto"/>
              <w:right w:val="single" w:sz="4" w:space="0" w:color="auto"/>
            </w:tcBorders>
            <w:shd w:val="clear" w:color="auto" w:fill="C6EFCE"/>
            <w:noWrap/>
          </w:tcPr>
          <w:p w14:paraId="734A16DF" w14:textId="0295A5F7" w:rsidR="007D2EF7" w:rsidRPr="00DD6A04" w:rsidRDefault="007D2EF7" w:rsidP="007D2EF7">
            <w:pPr>
              <w:spacing w:before="0" w:after="0" w:line="240" w:lineRule="auto"/>
              <w:rPr>
                <w:rFonts w:eastAsia="Times New Roman"/>
                <w:noProof/>
                <w:color w:val="006100"/>
                <w:sz w:val="22"/>
              </w:rPr>
            </w:pPr>
            <w:r>
              <w:rPr>
                <w:noProof/>
                <w:color w:val="006100"/>
                <w:sz w:val="22"/>
              </w:rPr>
              <w:t>2026</w:t>
            </w:r>
          </w:p>
        </w:tc>
        <w:tc>
          <w:tcPr>
            <w:tcW w:w="3221" w:type="dxa"/>
            <w:tcBorders>
              <w:top w:val="single" w:sz="4" w:space="0" w:color="auto"/>
              <w:left w:val="nil"/>
              <w:bottom w:val="single" w:sz="4" w:space="0" w:color="auto"/>
              <w:right w:val="single" w:sz="4" w:space="0" w:color="auto"/>
            </w:tcBorders>
            <w:shd w:val="clear" w:color="auto" w:fill="C6EFCE"/>
            <w:noWrap/>
          </w:tcPr>
          <w:p w14:paraId="7C5C69A9" w14:textId="420CA98E" w:rsidR="007D2EF7" w:rsidRPr="00DD6A04" w:rsidRDefault="007D2EF7" w:rsidP="007D2EF7">
            <w:pPr>
              <w:spacing w:before="0" w:after="0" w:line="240" w:lineRule="auto"/>
              <w:rPr>
                <w:rFonts w:eastAsia="Times New Roman"/>
                <w:noProof/>
                <w:color w:val="006100"/>
                <w:sz w:val="22"/>
              </w:rPr>
            </w:pPr>
            <w:r>
              <w:rPr>
                <w:noProof/>
                <w:color w:val="006100"/>
                <w:sz w:val="22"/>
              </w:rPr>
              <w:t>Dokončani projekti v zvezi z rekonstrukcijo obstoječih sistemov, da se poveča energetska učinkovitost in zmanjša poraba električne energije, v skladu z zahtevami iz mejnika 50.</w:t>
            </w:r>
          </w:p>
        </w:tc>
      </w:tr>
      <w:tr w:rsidR="009F5B52" w:rsidRPr="00DD6A04" w14:paraId="36B2F446"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195F12C8" w14:textId="7AD18899" w:rsidR="007D2EF7" w:rsidRPr="00DD6A04" w:rsidRDefault="007D2EF7" w:rsidP="007D2EF7">
            <w:pPr>
              <w:spacing w:before="0" w:after="0" w:line="240" w:lineRule="auto"/>
              <w:rPr>
                <w:rFonts w:eastAsia="Times New Roman"/>
                <w:noProof/>
                <w:color w:val="006100"/>
                <w:sz w:val="22"/>
              </w:rPr>
            </w:pPr>
            <w:r>
              <w:rPr>
                <w:noProof/>
                <w:color w:val="006100"/>
                <w:sz w:val="22"/>
              </w:rPr>
              <w:t>52</w:t>
            </w:r>
          </w:p>
        </w:tc>
        <w:tc>
          <w:tcPr>
            <w:tcW w:w="1559" w:type="dxa"/>
            <w:tcBorders>
              <w:top w:val="single" w:sz="4" w:space="0" w:color="auto"/>
              <w:left w:val="nil"/>
              <w:bottom w:val="single" w:sz="4" w:space="0" w:color="auto"/>
              <w:right w:val="single" w:sz="4" w:space="0" w:color="auto"/>
            </w:tcBorders>
            <w:shd w:val="clear" w:color="auto" w:fill="C6EFCE"/>
            <w:noWrap/>
          </w:tcPr>
          <w:p w14:paraId="6F603E99" w14:textId="53724885" w:rsidR="007D2EF7" w:rsidRPr="00DD6A04" w:rsidRDefault="007D2EF7" w:rsidP="007D2EF7">
            <w:pPr>
              <w:spacing w:before="0" w:after="0" w:line="240" w:lineRule="auto"/>
              <w:rPr>
                <w:rFonts w:eastAsia="Times New Roman"/>
                <w:noProof/>
                <w:color w:val="006100"/>
                <w:sz w:val="22"/>
              </w:rPr>
            </w:pPr>
            <w:r>
              <w:rPr>
                <w:noProof/>
                <w:color w:val="006100"/>
                <w:sz w:val="22"/>
              </w:rPr>
              <w:t>I: Nadaljnji projekti oskrbe in varčevanja s pitno vodo</w:t>
            </w:r>
          </w:p>
        </w:tc>
        <w:tc>
          <w:tcPr>
            <w:tcW w:w="992" w:type="dxa"/>
            <w:tcBorders>
              <w:top w:val="single" w:sz="4" w:space="0" w:color="auto"/>
              <w:left w:val="nil"/>
              <w:bottom w:val="single" w:sz="4" w:space="0" w:color="auto"/>
              <w:right w:val="single" w:sz="4" w:space="0" w:color="auto"/>
            </w:tcBorders>
            <w:shd w:val="clear" w:color="auto" w:fill="C6EFCE"/>
            <w:noWrap/>
          </w:tcPr>
          <w:p w14:paraId="5A4E5969" w14:textId="625508BB"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843" w:type="dxa"/>
            <w:tcBorders>
              <w:top w:val="single" w:sz="4" w:space="0" w:color="auto"/>
              <w:left w:val="nil"/>
              <w:bottom w:val="single" w:sz="4" w:space="0" w:color="auto"/>
              <w:right w:val="single" w:sz="4" w:space="0" w:color="auto"/>
            </w:tcBorders>
            <w:shd w:val="clear" w:color="auto" w:fill="C6EFCE"/>
            <w:noWrap/>
          </w:tcPr>
          <w:p w14:paraId="0AC8E54B" w14:textId="6994876E" w:rsidR="007D2EF7" w:rsidRPr="00DD6A04" w:rsidRDefault="007D2EF7" w:rsidP="007D2EF7">
            <w:pPr>
              <w:spacing w:before="0" w:after="0" w:line="240" w:lineRule="auto"/>
              <w:rPr>
                <w:rFonts w:eastAsia="Times New Roman"/>
                <w:noProof/>
                <w:color w:val="006100"/>
                <w:sz w:val="22"/>
              </w:rPr>
            </w:pPr>
            <w:r>
              <w:rPr>
                <w:noProof/>
                <w:color w:val="006100"/>
                <w:sz w:val="22"/>
              </w:rPr>
              <w:t>Izdaja sklepov o sofinanciranju za projekte oskrbe s pitno vodo</w:t>
            </w:r>
          </w:p>
        </w:tc>
        <w:tc>
          <w:tcPr>
            <w:tcW w:w="1701" w:type="dxa"/>
            <w:tcBorders>
              <w:top w:val="single" w:sz="4" w:space="0" w:color="auto"/>
              <w:left w:val="nil"/>
              <w:bottom w:val="single" w:sz="4" w:space="0" w:color="auto"/>
              <w:right w:val="single" w:sz="4" w:space="0" w:color="auto"/>
            </w:tcBorders>
            <w:shd w:val="clear" w:color="auto" w:fill="C6EFCE"/>
            <w:noWrap/>
          </w:tcPr>
          <w:p w14:paraId="5811210C" w14:textId="2833EEF7" w:rsidR="007D2EF7" w:rsidRPr="00DD6A04" w:rsidRDefault="007D2EF7" w:rsidP="007D2EF7">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single" w:sz="4" w:space="0" w:color="auto"/>
              <w:left w:val="nil"/>
              <w:bottom w:val="single" w:sz="4" w:space="0" w:color="auto"/>
              <w:right w:val="single" w:sz="4" w:space="0" w:color="auto"/>
            </w:tcBorders>
            <w:shd w:val="clear" w:color="auto" w:fill="C6EFCE"/>
            <w:noWrap/>
          </w:tcPr>
          <w:p w14:paraId="242DA90B" w14:textId="6B634854"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276" w:type="dxa"/>
            <w:tcBorders>
              <w:top w:val="single" w:sz="4" w:space="0" w:color="auto"/>
              <w:left w:val="nil"/>
              <w:bottom w:val="single" w:sz="4" w:space="0" w:color="auto"/>
              <w:right w:val="single" w:sz="4" w:space="0" w:color="auto"/>
            </w:tcBorders>
            <w:shd w:val="clear" w:color="auto" w:fill="C6EFCE"/>
            <w:noWrap/>
          </w:tcPr>
          <w:p w14:paraId="06BAE31E" w14:textId="5ADAAD1C"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4AA79A63" w14:textId="122FE8E9"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1ADAB36A" w14:textId="5306EF09"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tcPr>
          <w:p w14:paraId="5321AF1E" w14:textId="4C0D158B"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221" w:type="dxa"/>
            <w:tcBorders>
              <w:top w:val="single" w:sz="4" w:space="0" w:color="auto"/>
              <w:left w:val="nil"/>
              <w:bottom w:val="single" w:sz="4" w:space="0" w:color="auto"/>
              <w:right w:val="single" w:sz="4" w:space="0" w:color="auto"/>
            </w:tcBorders>
            <w:shd w:val="clear" w:color="auto" w:fill="C6EFCE"/>
            <w:noWrap/>
          </w:tcPr>
          <w:p w14:paraId="4E47E1EC" w14:textId="021C6BBE"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Izdaja sklepov o sofinanciranju za projekte oskrbe s pitno vodo. Projekti bodo obravnavali rekonstrukcijo obstoječih sistemov, da se poveča energetska učinkovitost in zmanjša poraba električne energije za vsaj 10 %, ter bodo zagotovili, da bo povprečna poraba energije novih sistemov največ 0,5 kWh ali da bo njihov infrastrukturni indeks izgub največ 1,5. </w:t>
            </w:r>
          </w:p>
        </w:tc>
      </w:tr>
      <w:tr w:rsidR="009F5B52" w:rsidRPr="00DD6A04" w14:paraId="4D540818" w14:textId="77777777" w:rsidTr="00BE4788">
        <w:trPr>
          <w:trHeight w:val="2110"/>
          <w:jc w:val="center"/>
        </w:trPr>
        <w:tc>
          <w:tcPr>
            <w:tcW w:w="1408" w:type="dxa"/>
            <w:tcBorders>
              <w:top w:val="single" w:sz="4" w:space="0" w:color="auto"/>
              <w:left w:val="single" w:sz="4" w:space="0" w:color="auto"/>
              <w:bottom w:val="single" w:sz="4" w:space="0" w:color="auto"/>
              <w:right w:val="single" w:sz="4" w:space="0" w:color="auto"/>
            </w:tcBorders>
            <w:shd w:val="clear" w:color="auto" w:fill="C6EFCE"/>
            <w:noWrap/>
          </w:tcPr>
          <w:p w14:paraId="66148C28" w14:textId="011E3A57" w:rsidR="007D2EF7" w:rsidRPr="00DD6A04" w:rsidRDefault="007D2EF7" w:rsidP="007D2EF7">
            <w:pPr>
              <w:spacing w:before="0" w:after="0" w:line="240" w:lineRule="auto"/>
              <w:rPr>
                <w:rFonts w:eastAsia="Times New Roman"/>
                <w:noProof/>
                <w:color w:val="006100"/>
                <w:sz w:val="22"/>
              </w:rPr>
            </w:pPr>
            <w:r>
              <w:rPr>
                <w:noProof/>
                <w:color w:val="006100"/>
                <w:sz w:val="22"/>
              </w:rPr>
              <w:t>53</w:t>
            </w:r>
          </w:p>
        </w:tc>
        <w:tc>
          <w:tcPr>
            <w:tcW w:w="1559" w:type="dxa"/>
            <w:tcBorders>
              <w:top w:val="single" w:sz="4" w:space="0" w:color="auto"/>
              <w:left w:val="nil"/>
              <w:bottom w:val="single" w:sz="4" w:space="0" w:color="auto"/>
              <w:right w:val="single" w:sz="4" w:space="0" w:color="auto"/>
            </w:tcBorders>
            <w:shd w:val="clear" w:color="auto" w:fill="C6EFCE"/>
            <w:noWrap/>
          </w:tcPr>
          <w:p w14:paraId="3D51CBF9" w14:textId="7FB0C3EA" w:rsidR="007D2EF7" w:rsidRPr="00DD6A04" w:rsidRDefault="007D2EF7" w:rsidP="007D2EF7">
            <w:pPr>
              <w:spacing w:before="0" w:after="0" w:line="240" w:lineRule="auto"/>
              <w:rPr>
                <w:rFonts w:eastAsia="Times New Roman"/>
                <w:noProof/>
                <w:color w:val="006100"/>
                <w:sz w:val="22"/>
              </w:rPr>
            </w:pPr>
            <w:r>
              <w:rPr>
                <w:noProof/>
                <w:color w:val="006100"/>
                <w:sz w:val="22"/>
              </w:rPr>
              <w:t>I: Nadaljnji projekti oskrbe in varčevanja s pitno vodo</w:t>
            </w:r>
          </w:p>
        </w:tc>
        <w:tc>
          <w:tcPr>
            <w:tcW w:w="992" w:type="dxa"/>
            <w:tcBorders>
              <w:top w:val="single" w:sz="4" w:space="0" w:color="auto"/>
              <w:left w:val="nil"/>
              <w:bottom w:val="single" w:sz="4" w:space="0" w:color="auto"/>
              <w:right w:val="single" w:sz="4" w:space="0" w:color="auto"/>
            </w:tcBorders>
            <w:shd w:val="clear" w:color="auto" w:fill="C6EFCE"/>
            <w:noWrap/>
          </w:tcPr>
          <w:p w14:paraId="060AE973" w14:textId="3B58DD92"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843" w:type="dxa"/>
            <w:tcBorders>
              <w:top w:val="single" w:sz="4" w:space="0" w:color="auto"/>
              <w:left w:val="nil"/>
              <w:bottom w:val="single" w:sz="4" w:space="0" w:color="auto"/>
              <w:right w:val="single" w:sz="4" w:space="0" w:color="auto"/>
            </w:tcBorders>
            <w:shd w:val="clear" w:color="auto" w:fill="C6EFCE"/>
            <w:noWrap/>
          </w:tcPr>
          <w:p w14:paraId="6BAA9A05" w14:textId="5B390F44"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Število dokončanih projektov oskrbe s pitno vodo </w:t>
            </w:r>
          </w:p>
        </w:tc>
        <w:tc>
          <w:tcPr>
            <w:tcW w:w="1701" w:type="dxa"/>
            <w:tcBorders>
              <w:top w:val="single" w:sz="4" w:space="0" w:color="auto"/>
              <w:left w:val="nil"/>
              <w:bottom w:val="single" w:sz="4" w:space="0" w:color="auto"/>
              <w:right w:val="single" w:sz="4" w:space="0" w:color="auto"/>
            </w:tcBorders>
            <w:shd w:val="clear" w:color="auto" w:fill="C6EFCE"/>
            <w:noWrap/>
          </w:tcPr>
          <w:p w14:paraId="0AE3A955" w14:textId="370B8CC1"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34" w:type="dxa"/>
            <w:tcBorders>
              <w:top w:val="single" w:sz="4" w:space="0" w:color="auto"/>
              <w:left w:val="nil"/>
              <w:bottom w:val="single" w:sz="4" w:space="0" w:color="auto"/>
              <w:right w:val="single" w:sz="4" w:space="0" w:color="auto"/>
            </w:tcBorders>
            <w:shd w:val="clear" w:color="auto" w:fill="C6EFCE"/>
            <w:noWrap/>
          </w:tcPr>
          <w:p w14:paraId="5AE3CA90" w14:textId="512394EA"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276" w:type="dxa"/>
            <w:tcBorders>
              <w:top w:val="single" w:sz="4" w:space="0" w:color="auto"/>
              <w:left w:val="nil"/>
              <w:bottom w:val="single" w:sz="4" w:space="0" w:color="auto"/>
              <w:right w:val="single" w:sz="4" w:space="0" w:color="auto"/>
            </w:tcBorders>
            <w:shd w:val="clear" w:color="auto" w:fill="C6EFCE"/>
            <w:noWrap/>
          </w:tcPr>
          <w:p w14:paraId="6FDEE85A" w14:textId="5D14B5D0"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5584B011" w14:textId="7E8FE079" w:rsidR="007D2EF7" w:rsidRPr="00DD6A04" w:rsidRDefault="007D2EF7" w:rsidP="007D2EF7">
            <w:pPr>
              <w:spacing w:before="0" w:after="0" w:line="240" w:lineRule="auto"/>
              <w:rPr>
                <w:rFonts w:eastAsia="Times New Roman"/>
                <w:noProof/>
                <w:color w:val="006100"/>
                <w:sz w:val="22"/>
              </w:rPr>
            </w:pPr>
            <w:r>
              <w:rPr>
                <w:noProof/>
                <w:color w:val="006100"/>
                <w:sz w:val="22"/>
              </w:rPr>
              <w:t>10</w:t>
            </w:r>
          </w:p>
        </w:tc>
        <w:tc>
          <w:tcPr>
            <w:tcW w:w="851" w:type="dxa"/>
            <w:tcBorders>
              <w:top w:val="single" w:sz="4" w:space="0" w:color="auto"/>
              <w:left w:val="nil"/>
              <w:bottom w:val="single" w:sz="4" w:space="0" w:color="auto"/>
              <w:right w:val="single" w:sz="4" w:space="0" w:color="auto"/>
            </w:tcBorders>
            <w:shd w:val="clear" w:color="auto" w:fill="C6EFCE"/>
            <w:noWrap/>
          </w:tcPr>
          <w:p w14:paraId="5E636141" w14:textId="70A38215"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850" w:type="dxa"/>
            <w:tcBorders>
              <w:top w:val="single" w:sz="4" w:space="0" w:color="auto"/>
              <w:left w:val="nil"/>
              <w:bottom w:val="single" w:sz="4" w:space="0" w:color="auto"/>
              <w:right w:val="single" w:sz="4" w:space="0" w:color="auto"/>
            </w:tcBorders>
            <w:shd w:val="clear" w:color="auto" w:fill="C6EFCE"/>
            <w:noWrap/>
          </w:tcPr>
          <w:p w14:paraId="2596D5BA" w14:textId="4BC250D8" w:rsidR="007D2EF7" w:rsidRPr="00DD6A04" w:rsidRDefault="007D2EF7" w:rsidP="007D2EF7">
            <w:pPr>
              <w:spacing w:before="0" w:after="0" w:line="240" w:lineRule="auto"/>
              <w:rPr>
                <w:rFonts w:eastAsia="Times New Roman"/>
                <w:noProof/>
                <w:color w:val="006100"/>
                <w:sz w:val="22"/>
              </w:rPr>
            </w:pPr>
            <w:r>
              <w:rPr>
                <w:noProof/>
                <w:color w:val="006100"/>
                <w:sz w:val="22"/>
              </w:rPr>
              <w:t>2026</w:t>
            </w:r>
          </w:p>
        </w:tc>
        <w:tc>
          <w:tcPr>
            <w:tcW w:w="3221" w:type="dxa"/>
            <w:tcBorders>
              <w:top w:val="single" w:sz="4" w:space="0" w:color="auto"/>
              <w:left w:val="nil"/>
              <w:bottom w:val="single" w:sz="4" w:space="0" w:color="auto"/>
              <w:right w:val="single" w:sz="4" w:space="0" w:color="auto"/>
            </w:tcBorders>
            <w:shd w:val="clear" w:color="auto" w:fill="C6EFCE"/>
            <w:noWrap/>
          </w:tcPr>
          <w:p w14:paraId="2692159E" w14:textId="78A459FD" w:rsidR="007D2EF7" w:rsidRPr="00DD6A04" w:rsidRDefault="007D2EF7" w:rsidP="007D2EF7">
            <w:pPr>
              <w:spacing w:before="0" w:after="0" w:line="240" w:lineRule="auto"/>
              <w:rPr>
                <w:rFonts w:eastAsia="Times New Roman"/>
                <w:noProof/>
                <w:color w:val="006100"/>
                <w:sz w:val="22"/>
              </w:rPr>
            </w:pPr>
            <w:r>
              <w:rPr>
                <w:noProof/>
                <w:color w:val="006100"/>
                <w:sz w:val="22"/>
              </w:rPr>
              <w:t>Dokončani projekti v zvezi z rekonstrukcijo obstoječih sistemov, da se poveča energetska učinkovitost in zmanjša poraba električne energije, v skladu z zahtevami iz mejnika 52.</w:t>
            </w:r>
          </w:p>
        </w:tc>
      </w:tr>
    </w:tbl>
    <w:p w14:paraId="35808FE8" w14:textId="201D7EC4" w:rsidR="007D2EF7" w:rsidRPr="00DD6A04" w:rsidRDefault="007D2EF7" w:rsidP="003C6015">
      <w:pPr>
        <w:spacing w:line="240" w:lineRule="auto"/>
        <w:ind w:left="850"/>
        <w:jc w:val="both"/>
        <w:rPr>
          <w:b/>
          <w:noProof/>
          <w:lang w:val="en-GB"/>
        </w:rPr>
      </w:pPr>
    </w:p>
    <w:p w14:paraId="2694E39F" w14:textId="77777777" w:rsidR="007D2EF7" w:rsidRPr="00DD6A04" w:rsidRDefault="007D2EF7" w:rsidP="003C6015">
      <w:pPr>
        <w:spacing w:line="240" w:lineRule="auto"/>
        <w:ind w:left="850"/>
        <w:jc w:val="both"/>
        <w:rPr>
          <w:b/>
          <w:noProof/>
          <w:lang w:val="en-GB"/>
        </w:rPr>
      </w:pPr>
    </w:p>
    <w:p w14:paraId="5A380F63"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84"/>
          <w:headerReference w:type="default" r:id="rId85"/>
          <w:footerReference w:type="even" r:id="rId86"/>
          <w:footerReference w:type="default" r:id="rId87"/>
          <w:headerReference w:type="first" r:id="rId88"/>
          <w:footerReference w:type="first" r:id="rId89"/>
          <w:pgSz w:w="16839" w:h="11907" w:orient="landscape"/>
          <w:pgMar w:top="1134" w:right="1134" w:bottom="1134" w:left="1134" w:header="567" w:footer="567" w:gutter="0"/>
          <w:cols w:space="720"/>
          <w:docGrid w:linePitch="326"/>
        </w:sectPr>
      </w:pPr>
    </w:p>
    <w:p w14:paraId="33B34233" w14:textId="77777777" w:rsidR="003C6015" w:rsidRPr="00DD6A04" w:rsidRDefault="003C6015" w:rsidP="003C6015">
      <w:pPr>
        <w:keepNext/>
        <w:tabs>
          <w:tab w:val="left" w:pos="850"/>
        </w:tabs>
        <w:spacing w:line="240" w:lineRule="auto"/>
        <w:ind w:left="850" w:hanging="850"/>
        <w:jc w:val="both"/>
        <w:outlineLvl w:val="0"/>
        <w:rPr>
          <w:b/>
          <w:smallCaps/>
          <w:noProof/>
        </w:rPr>
      </w:pPr>
      <w:r>
        <w:rPr>
          <w:b/>
          <w:smallCaps/>
          <w:noProof/>
        </w:rPr>
        <w:t>D. KOMPONENTA 4: TRAJNOSTNI PROMET</w:t>
      </w:r>
    </w:p>
    <w:p w14:paraId="7EFF7451" w14:textId="77777777" w:rsidR="003C6015" w:rsidRPr="00DD6A04" w:rsidRDefault="003C6015" w:rsidP="003C6015">
      <w:pPr>
        <w:spacing w:line="240" w:lineRule="auto"/>
        <w:jc w:val="both"/>
        <w:rPr>
          <w:noProof/>
        </w:rPr>
      </w:pPr>
      <w:r>
        <w:rPr>
          <w:noProof/>
        </w:rPr>
        <w:t>Velika odvisnost od cestnega prevoza in avtomobilov ter nizka stopnja uporabe javnega prevoza bistveno prispevata k emisijam ogljika v Sloveniji. Emisije iz prometa so v letu 2018 povzročile 42,7 % vseh slovenskih emisij CO</w:t>
      </w:r>
      <w:r>
        <w:rPr>
          <w:noProof/>
          <w:vertAlign w:val="subscript"/>
        </w:rPr>
        <w:t>2</w:t>
      </w:r>
      <w:r>
        <w:rPr>
          <w:noProof/>
        </w:rPr>
        <w:t>, kar je precej nad povprečjem EU (32,6 %), in v absolutnem smislu še naprej naraščajo.</w:t>
      </w:r>
    </w:p>
    <w:p w14:paraId="291E46CE" w14:textId="77777777" w:rsidR="003C6015" w:rsidRPr="00DD6A04" w:rsidRDefault="003C6015" w:rsidP="003C6015">
      <w:pPr>
        <w:spacing w:line="240" w:lineRule="auto"/>
        <w:jc w:val="both"/>
        <w:rPr>
          <w:noProof/>
        </w:rPr>
      </w:pPr>
      <w:r>
        <w:rPr>
          <w:noProof/>
        </w:rPr>
        <w:t>Cilj te komponente slovenskega načrta za okrevanje in odpornost je spodbujati uporabo javnega prometa ter železniškega potniškega in tovornega prometa, uporabo alternativnih goriv v prometu ter digitalno preobrazbo železniškega in cestnega prometa.</w:t>
      </w:r>
    </w:p>
    <w:p w14:paraId="098F1E96" w14:textId="77777777" w:rsidR="003C6015" w:rsidRPr="00DD6A04" w:rsidRDefault="003C6015" w:rsidP="003C6015">
      <w:pPr>
        <w:spacing w:line="240" w:lineRule="auto"/>
        <w:jc w:val="both"/>
        <w:rPr>
          <w:noProof/>
        </w:rPr>
      </w:pPr>
      <w:r>
        <w:rPr>
          <w:noProof/>
        </w:rPr>
        <w:t>Te investicije in reforme bodo prispevale k specifičnim priporočilom za Slovenijo v zadnjih dveh letih, in sicer naj „ekonomsko politiko v zvezi z naložbami osredotoči na [...] nizkoogljični in energijski prehod, trajnostni promet (zlasti železniški)“ (specifično priporočilo št. 3 iz leta 2019) ter „[u]smeri naložbe na [...] trajnostni promet“ (specifično priporočilo št. 3 iz leta 2020).</w:t>
      </w:r>
    </w:p>
    <w:p w14:paraId="52951A7C" w14:textId="14D2F7B9"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74954F14" w14:textId="77777777" w:rsidR="003C6015" w:rsidRPr="00DD6A04" w:rsidRDefault="003C6015" w:rsidP="003C6015">
      <w:pPr>
        <w:spacing w:line="240" w:lineRule="auto"/>
        <w:jc w:val="both"/>
        <w:rPr>
          <w:b/>
          <w:i/>
          <w:noProof/>
          <w:color w:val="4F81BD"/>
        </w:rPr>
      </w:pPr>
      <w:r>
        <w:rPr>
          <w:b/>
          <w:noProof/>
          <w:u w:val="single"/>
        </w:rPr>
        <w:t xml:space="preserve">D.1 </w:t>
      </w:r>
      <w:r>
        <w:rPr>
          <w:b/>
          <w:noProof/>
          <w:u w:val="single"/>
        </w:rPr>
        <w:tab/>
        <w:t>Opis reform in naložb za nepovratno finančno podporo</w:t>
      </w:r>
    </w:p>
    <w:p w14:paraId="1F07A116" w14:textId="77777777" w:rsidR="003C6015" w:rsidRPr="00DD6A04" w:rsidRDefault="003C6015" w:rsidP="003C6015">
      <w:pPr>
        <w:spacing w:line="240" w:lineRule="auto"/>
        <w:jc w:val="both"/>
        <w:rPr>
          <w:noProof/>
          <w:u w:val="single"/>
        </w:rPr>
      </w:pPr>
      <w:r>
        <w:rPr>
          <w:noProof/>
          <w:u w:val="single"/>
        </w:rPr>
        <w:t>Reforma A. Reforma organiziranosti javnega potniškega prometa</w:t>
      </w:r>
    </w:p>
    <w:p w14:paraId="02BB9559" w14:textId="77777777" w:rsidR="003C6015" w:rsidRPr="00DD6A04" w:rsidRDefault="003C6015" w:rsidP="003C6015">
      <w:pPr>
        <w:spacing w:line="240" w:lineRule="auto"/>
        <w:jc w:val="both"/>
        <w:rPr>
          <w:noProof/>
        </w:rPr>
      </w:pPr>
      <w:r>
        <w:rPr>
          <w:noProof/>
        </w:rPr>
        <w:t xml:space="preserve">Javni promet v Sloveniji je bil med pandemijo COVID-19 zelo prizadet, saj se je število potnikov leta 2020 zmanjšalo za 75 %. </w:t>
      </w:r>
    </w:p>
    <w:p w14:paraId="715D2E54" w14:textId="77777777" w:rsidR="003C6015" w:rsidRPr="00DD6A04" w:rsidRDefault="003C6015" w:rsidP="003C6015">
      <w:pPr>
        <w:spacing w:line="240" w:lineRule="auto"/>
        <w:jc w:val="both"/>
        <w:rPr>
          <w:noProof/>
        </w:rPr>
      </w:pPr>
      <w:r>
        <w:rPr>
          <w:noProof/>
        </w:rPr>
        <w:t xml:space="preserve">Cilj reforme je spodbujati in izboljšati dostopnost in konkurenčnost javnega prometa, da bo lahko okreval po pandemiji. Z reformo bo na nacionalni ravni vzpostavljen integriran upravljavec javnega potniškega prometa, ki bo podpiral povezovanje železniškega in avtobusnega javnega prometa z medkrajevnim in mestnim prometom ter šolskimi in delavskimi prevozi. Reforma naj bi bistveno izboljšala standard dostopnosti javnega prometa. </w:t>
      </w:r>
    </w:p>
    <w:p w14:paraId="1EC732CC" w14:textId="0FAF4AE0" w:rsidR="003C6015" w:rsidRPr="00DD6A04" w:rsidRDefault="003C6015" w:rsidP="003C6015">
      <w:pPr>
        <w:spacing w:line="240" w:lineRule="auto"/>
        <w:jc w:val="both"/>
        <w:rPr>
          <w:noProof/>
        </w:rPr>
      </w:pPr>
      <w:r>
        <w:rPr>
          <w:noProof/>
        </w:rPr>
        <w:t>Reforma bo izvedena do 31. decembra 2023, in sicer z začetkom veljavnosti novega zakona o javnem potniškem prometu ter vzpostavitvijo in začetkom delovanja novega upravljavca integriranega javnega prometa s strani Ministrstva za okolje, podnebje in energijo. To naj bi se odražalo v povečanju uporabe javnega potniškega prometa do 30. junija 2025.</w:t>
      </w:r>
    </w:p>
    <w:p w14:paraId="5AF48444" w14:textId="3B74AC7A" w:rsidR="003C6015" w:rsidRPr="00DD6A04" w:rsidRDefault="003C6015" w:rsidP="003C6015">
      <w:pPr>
        <w:spacing w:line="240" w:lineRule="auto"/>
        <w:jc w:val="both"/>
        <w:rPr>
          <w:noProof/>
          <w:u w:val="single"/>
        </w:rPr>
      </w:pPr>
      <w:bookmarkStart w:id="10" w:name="_Hlk142662175"/>
      <w:r>
        <w:rPr>
          <w:noProof/>
          <w:u w:val="single"/>
        </w:rPr>
        <w:t>Reforma B. Reforma na področju uvajanja infrastrukture za alternativna goriva</w:t>
      </w:r>
    </w:p>
    <w:p w14:paraId="7182FB78" w14:textId="47BF1D3B" w:rsidR="00165D9D" w:rsidRPr="00DD6A04" w:rsidRDefault="003C6015" w:rsidP="003C6015">
      <w:pPr>
        <w:spacing w:line="240" w:lineRule="auto"/>
        <w:jc w:val="both"/>
        <w:rPr>
          <w:noProof/>
        </w:rPr>
      </w:pPr>
      <w:r>
        <w:rPr>
          <w:noProof/>
        </w:rPr>
        <w:t>Cilj reforme je povečanje uporabe alternativnih goriv v domačem in čezmejnem prometu ter zmanjšanje deleža emisij toplogrednih plinov in onesnaževal iz prometa. Z reformo bo zlasti določen subjekt za usklajevanje potreb prometnega in energetskega sektorja, ki bo zagotavljal in usklajeval vzpostavitev infrastrukture za alternativna goriva ter tako okrepil odpornost prehoda na brezemisijsko in nizkoemisijsko mobilnost.</w:t>
      </w:r>
    </w:p>
    <w:p w14:paraId="48F61178" w14:textId="77777777" w:rsidR="003C6015" w:rsidRPr="00DD6A04" w:rsidRDefault="003C6015" w:rsidP="003C6015">
      <w:pPr>
        <w:spacing w:line="240" w:lineRule="auto"/>
        <w:jc w:val="both"/>
        <w:rPr>
          <w:noProof/>
        </w:rPr>
      </w:pPr>
      <w:r>
        <w:rPr>
          <w:noProof/>
        </w:rPr>
        <w:t xml:space="preserve">Reforma bo izvedena do 30. junija 2022, in sicer z začetkom veljavnosti Zakona o alternativnih gorivih v prometu in infrastrukturi za alternativna goriva, s katerim bo tudi vzpostavljen nacionalni regulativni okvir na področju alternativnih goriv v prometu. </w:t>
      </w:r>
    </w:p>
    <w:p w14:paraId="23091192" w14:textId="77777777" w:rsidR="003C6015" w:rsidRPr="00DD6A04" w:rsidRDefault="003C6015" w:rsidP="003C6015">
      <w:pPr>
        <w:spacing w:line="240" w:lineRule="auto"/>
        <w:jc w:val="both"/>
        <w:rPr>
          <w:noProof/>
        </w:rPr>
      </w:pPr>
      <w:r>
        <w:rPr>
          <w:noProof/>
        </w:rPr>
        <w:t>Z novim regulativnim okvirom naj bi bilo v Sloveniji do 31. decembra 2025 izgrajenih vsaj 400 novih registriranih polnilnih ali oskrbovalnih mest za alternativna električna vozila poleg tistih, ki se financirajo v okviru slovenskega načrta za okrevanje in odpornost.</w:t>
      </w:r>
    </w:p>
    <w:bookmarkEnd w:id="10"/>
    <w:p w14:paraId="2DF3D3E0" w14:textId="017CDE41" w:rsidR="003C6015" w:rsidRPr="00DD6A04" w:rsidRDefault="003C6015" w:rsidP="003C6015">
      <w:pPr>
        <w:spacing w:line="240" w:lineRule="auto"/>
        <w:jc w:val="both"/>
        <w:rPr>
          <w:noProof/>
          <w:u w:val="single"/>
        </w:rPr>
      </w:pPr>
      <w:r>
        <w:rPr>
          <w:noProof/>
          <w:u w:val="single"/>
        </w:rPr>
        <w:t>Investicija C. Povečanje zmogljivosti železniške infrastrukture</w:t>
      </w:r>
    </w:p>
    <w:p w14:paraId="7E13F6F0" w14:textId="77777777" w:rsidR="003C6015" w:rsidRPr="00DD6A04" w:rsidRDefault="003C6015" w:rsidP="003C6015">
      <w:pPr>
        <w:spacing w:line="240" w:lineRule="auto"/>
        <w:jc w:val="both"/>
        <w:rPr>
          <w:noProof/>
        </w:rPr>
      </w:pPr>
      <w:r>
        <w:rPr>
          <w:noProof/>
        </w:rPr>
        <w:t>Cilj investicij bo spodbujati železniški promet in povezljivost z mestnimi središči. Investicije bodo tudi izboljšale dostopnost železniških postaj za širše prebivalstvo, vključno z invalidi.</w:t>
      </w:r>
    </w:p>
    <w:p w14:paraId="5EF548BA" w14:textId="77777777" w:rsidR="003C6015" w:rsidRPr="00DD6A04" w:rsidRDefault="003C6015" w:rsidP="003D7D01">
      <w:pPr>
        <w:spacing w:line="240" w:lineRule="auto"/>
        <w:jc w:val="both"/>
        <w:rPr>
          <w:noProof/>
        </w:rPr>
      </w:pPr>
      <w:r>
        <w:rPr>
          <w:noProof/>
        </w:rPr>
        <w:t xml:space="preserve">Izbrani projekti bodo izboljšali prevozne storitve za potniški in tovorni promet, in sicer z: </w:t>
      </w:r>
    </w:p>
    <w:p w14:paraId="23145EF1" w14:textId="77777777" w:rsidR="003D7D01" w:rsidRPr="00DD6A04" w:rsidRDefault="003C6015" w:rsidP="003D7D01">
      <w:pPr>
        <w:numPr>
          <w:ilvl w:val="0"/>
          <w:numId w:val="28"/>
        </w:numPr>
        <w:spacing w:before="0" w:after="200" w:line="240" w:lineRule="auto"/>
        <w:ind w:left="360"/>
        <w:jc w:val="both"/>
        <w:rPr>
          <w:noProof/>
        </w:rPr>
      </w:pPr>
      <w:r>
        <w:rPr>
          <w:noProof/>
        </w:rPr>
        <w:t xml:space="preserve">nadgradnjo večjih železniških postaj na regionalnem omrežju, tj. Grosuplje in Domžale, </w:t>
      </w:r>
    </w:p>
    <w:p w14:paraId="61A5449B" w14:textId="08F1108B" w:rsidR="003C6015" w:rsidRPr="00DD6A04" w:rsidRDefault="003C6015" w:rsidP="003D7D01">
      <w:pPr>
        <w:numPr>
          <w:ilvl w:val="0"/>
          <w:numId w:val="28"/>
        </w:numPr>
        <w:spacing w:before="0" w:after="200" w:line="240" w:lineRule="auto"/>
        <w:ind w:left="360"/>
        <w:jc w:val="both"/>
        <w:rPr>
          <w:noProof/>
        </w:rPr>
      </w:pPr>
      <w:r>
        <w:rPr>
          <w:noProof/>
        </w:rPr>
        <w:t>nadgradnjo dela železniške proge Ljubljana–Divača, ki predstavlja glavno prometno povezavo med Primorsko in osrednjo Slovenijo in je del obeh koridorjev TEN-T, ki potekata skozi Slovenijo, in sicer sredozemskega in baltsko-jadranskega koridorja, ter nadgradnjo železniške proge Ljubljana–Jesenice. Progi trenutno ne dosegata obstoječega obsega prometa in sta pomembni za čezmejni tovorni promet.</w:t>
      </w:r>
    </w:p>
    <w:p w14:paraId="00D0978D" w14:textId="77777777" w:rsidR="00B60375" w:rsidRPr="00DD6A04" w:rsidRDefault="00B60375" w:rsidP="00532485">
      <w:pPr>
        <w:spacing w:line="240" w:lineRule="auto"/>
        <w:jc w:val="both"/>
        <w:rPr>
          <w:noProof/>
        </w:rPr>
      </w:pPr>
      <w:r>
        <w:rPr>
          <w:noProof/>
        </w:rPr>
        <w:t xml:space="preserve">Investicija se bo financirala iz sredstev mehanizma za okrevanje in odpornost ter iz nacionalnih sredstev. </w:t>
      </w:r>
    </w:p>
    <w:p w14:paraId="1C45E812" w14:textId="77777777" w:rsidR="003C6015" w:rsidRPr="00DD6A04" w:rsidRDefault="003C6015" w:rsidP="00532485">
      <w:pPr>
        <w:spacing w:line="240" w:lineRule="auto"/>
        <w:jc w:val="both"/>
        <w:rPr>
          <w:noProof/>
        </w:rPr>
      </w:pPr>
      <w:r>
        <w:rPr>
          <w:noProof/>
        </w:rPr>
        <w:t>Mejniki in cilji v zvezi z izvedbo investicije bodo doseženi do 30. junija 2025.</w:t>
      </w:r>
    </w:p>
    <w:p w14:paraId="40E4CB63" w14:textId="77777777" w:rsidR="003C6015" w:rsidRPr="00DD6A04" w:rsidRDefault="003C6015" w:rsidP="003C6015">
      <w:pPr>
        <w:spacing w:line="240" w:lineRule="auto"/>
        <w:jc w:val="both"/>
        <w:rPr>
          <w:noProof/>
          <w:u w:val="single"/>
        </w:rPr>
      </w:pPr>
      <w:r>
        <w:rPr>
          <w:noProof/>
          <w:u w:val="single"/>
        </w:rPr>
        <w:t>Investicija D. Digitalizacija železniške in cestne infrastrukture</w:t>
      </w:r>
    </w:p>
    <w:p w14:paraId="26444C29" w14:textId="5DE85EB5" w:rsidR="003C6015" w:rsidRPr="00DD6A04" w:rsidRDefault="003C6015" w:rsidP="089BB456">
      <w:pPr>
        <w:spacing w:line="240" w:lineRule="auto"/>
        <w:jc w:val="both"/>
        <w:rPr>
          <w:noProof/>
        </w:rPr>
      </w:pPr>
      <w:r>
        <w:rPr>
          <w:noProof/>
        </w:rPr>
        <w:t>Cilj investicije je zagotavljati zanesljive informacije o prometnem sistemu, da se izboljšata pridobivanje in izmenjava prometnih podatkov o stanju prometne infrastrukture in gibanju vozil v realnem času. Investicija bo zagotovila boljšo interoperabilnost sistemov za upravljanje, ter s tem tudi učinkovitejše vodenje prometa in izboljšanje varnosti z digitalizacijo cestnega prometa.</w:t>
      </w:r>
      <w:r w:rsidR="00037751">
        <w:rPr>
          <w:noProof/>
        </w:rPr>
        <w:t xml:space="preserve"> </w:t>
      </w:r>
    </w:p>
    <w:p w14:paraId="6CBE9129" w14:textId="77777777" w:rsidR="003C6015" w:rsidRPr="00DD6A04" w:rsidRDefault="003C6015" w:rsidP="0053456F">
      <w:pPr>
        <w:spacing w:before="0" w:after="200" w:line="240" w:lineRule="auto"/>
        <w:jc w:val="both"/>
        <w:rPr>
          <w:noProof/>
        </w:rPr>
      </w:pPr>
      <w:r>
        <w:rPr>
          <w:noProof/>
        </w:rPr>
        <w:t>Digitalizacija 70 kilometrov cest: investicija bo med drugim vključevala nadgradnjo optičnega omrežja in nakup cestnih detektorjev za zbiranje podatkov o prometu v realnem času, vključno s simulacijskim orodjem za načrtovanje, nadzor in napovedovanje prometa na avtocestnem omrežju ter aplikativnimi orodji za uporabnike. Z omogočanjem prilagajanja omejitev hitrosti v realnem času se pričakuje, da bo lahko upravljavec prometa preprečil nesreče in zastoje ter zmanjšal emisije. Investicijo bo izvedla Družba za avtoceste v Republiki Sloveniji (DARS), ki ji je podeljen pravni monopol pri izgradnji in upravljanju avtocest.</w:t>
      </w:r>
    </w:p>
    <w:p w14:paraId="65D3C49C" w14:textId="07FC2942" w:rsidR="003C6015" w:rsidRPr="00DD6A04" w:rsidRDefault="003C6015" w:rsidP="003C6015">
      <w:pPr>
        <w:spacing w:line="240" w:lineRule="auto"/>
        <w:jc w:val="both"/>
        <w:rPr>
          <w:noProof/>
        </w:rPr>
      </w:pPr>
      <w:r>
        <w:rPr>
          <w:noProof/>
        </w:rPr>
        <w:t>Dejavnosti v okviru te investicije bodo dokončane do 31. decembra 2025.</w:t>
      </w:r>
    </w:p>
    <w:p w14:paraId="082A721C" w14:textId="77777777" w:rsidR="003C6015" w:rsidRPr="00DD6A04" w:rsidRDefault="003C6015" w:rsidP="003C6015">
      <w:pPr>
        <w:spacing w:line="240" w:lineRule="auto"/>
        <w:jc w:val="both"/>
        <w:rPr>
          <w:noProof/>
          <w:u w:val="single"/>
        </w:rPr>
      </w:pPr>
      <w:r>
        <w:rPr>
          <w:noProof/>
          <w:u w:val="single"/>
        </w:rPr>
        <w:t>Investicija E. Spodbujanje vzpostavitve infrastrukture za alternativna goriva v prometu</w:t>
      </w:r>
    </w:p>
    <w:p w14:paraId="5F68630D" w14:textId="678E77F9" w:rsidR="003C6015" w:rsidRPr="00DD6A04" w:rsidRDefault="003C6015" w:rsidP="003C6015">
      <w:pPr>
        <w:spacing w:line="240" w:lineRule="auto"/>
        <w:jc w:val="both"/>
        <w:rPr>
          <w:noProof/>
        </w:rPr>
      </w:pPr>
      <w:r>
        <w:rPr>
          <w:noProof/>
        </w:rPr>
        <w:t xml:space="preserve">Cilj investicije bo sofinancirati vzpostavitev polnilne oziroma oskrbovalne infrastrukture za alternativna goriva. To bo vključevalo 368 polnilnih mest za električna vozila za splošno uporabo. Dodatnih 80 polnilnih mest bo v državni lasti in namenjenih uporabi za izvajanje upravnih nalog. </w:t>
      </w:r>
    </w:p>
    <w:p w14:paraId="42ACE37B" w14:textId="77777777" w:rsidR="003C6015" w:rsidRPr="00DD6A04" w:rsidRDefault="003C6015" w:rsidP="003C6015">
      <w:pPr>
        <w:spacing w:line="240" w:lineRule="auto"/>
        <w:jc w:val="both"/>
        <w:rPr>
          <w:noProof/>
        </w:rPr>
      </w:pPr>
      <w:r>
        <w:rPr>
          <w:noProof/>
        </w:rPr>
        <w:t>Investicija bo izvedena z razpisom, ki bo zagotovil ustrezno geografsko porazdelitev, vključno z analizo prihodnjih potreb po taki infrastrukturi in kartiranjem kritičnih območij, na katerih je znatno pomanjkanje take infrastrukture.</w:t>
      </w:r>
    </w:p>
    <w:p w14:paraId="7D9FC5E3" w14:textId="77777777" w:rsidR="003C6015" w:rsidRPr="00DD6A04" w:rsidRDefault="003C6015" w:rsidP="003C6015">
      <w:pPr>
        <w:spacing w:line="240" w:lineRule="auto"/>
        <w:jc w:val="both"/>
        <w:rPr>
          <w:noProof/>
        </w:rPr>
      </w:pPr>
      <w:r>
        <w:rPr>
          <w:noProof/>
        </w:rPr>
        <w:t>Cilji v zvezi z izvedbo investicije bodo doseženi do 31. decembra 2025.</w:t>
      </w:r>
    </w:p>
    <w:p w14:paraId="75779E5B" w14:textId="77777777" w:rsidR="003C6015" w:rsidRPr="00DD6A04" w:rsidRDefault="003C6015" w:rsidP="003C6015">
      <w:pPr>
        <w:spacing w:line="240" w:lineRule="auto"/>
        <w:ind w:left="850"/>
        <w:jc w:val="both"/>
        <w:rPr>
          <w:noProof/>
          <w:u w:val="single"/>
          <w:lang w:val="en-GB"/>
        </w:rPr>
        <w:sectPr w:rsidR="003C6015" w:rsidRPr="00DD6A04" w:rsidSect="00073927">
          <w:headerReference w:type="even" r:id="rId90"/>
          <w:headerReference w:type="default" r:id="rId91"/>
          <w:footerReference w:type="even" r:id="rId92"/>
          <w:footerReference w:type="default" r:id="rId93"/>
          <w:headerReference w:type="first" r:id="rId94"/>
          <w:footerReference w:type="first" r:id="rId95"/>
          <w:pgSz w:w="11907" w:h="16839"/>
          <w:pgMar w:top="1134" w:right="1134" w:bottom="1134" w:left="1134" w:header="567" w:footer="567" w:gutter="0"/>
          <w:cols w:space="720"/>
          <w:docGrid w:linePitch="326"/>
        </w:sectPr>
      </w:pPr>
    </w:p>
    <w:p w14:paraId="53B82A66" w14:textId="4317383D" w:rsidR="003C6015" w:rsidRPr="00DD6A04" w:rsidRDefault="003C6015" w:rsidP="001B7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4571"/>
        </w:tabs>
        <w:spacing w:line="240" w:lineRule="auto"/>
        <w:ind w:left="850"/>
        <w:jc w:val="both"/>
        <w:rPr>
          <w:b/>
          <w:noProof/>
          <w:u w:val="single"/>
        </w:rPr>
      </w:pPr>
      <w:r>
        <w:rPr>
          <w:b/>
          <w:noProof/>
          <w:u w:val="single"/>
        </w:rPr>
        <w:t xml:space="preserve">D.2 </w:t>
      </w:r>
      <w:r>
        <w:rPr>
          <w:b/>
          <w:noProof/>
          <w:u w:val="single"/>
        </w:rPr>
        <w:tab/>
        <w:t>Mejniki, cilji, kazalniki in časovni razpored za spremljanje in izvajanje nepovratne finančne podpore</w:t>
      </w:r>
      <w:r>
        <w:rPr>
          <w:b/>
          <w:noProof/>
        </w:rPr>
        <w:tab/>
      </w:r>
    </w:p>
    <w:tbl>
      <w:tblPr>
        <w:tblW w:w="15322" w:type="dxa"/>
        <w:jc w:val="center"/>
        <w:tblLayout w:type="fixed"/>
        <w:tblLook w:val="04A0" w:firstRow="1" w:lastRow="0" w:firstColumn="1" w:lastColumn="0" w:noHBand="0" w:noVBand="1"/>
      </w:tblPr>
      <w:tblGrid>
        <w:gridCol w:w="1369"/>
        <w:gridCol w:w="1559"/>
        <w:gridCol w:w="1134"/>
        <w:gridCol w:w="1559"/>
        <w:gridCol w:w="1805"/>
        <w:gridCol w:w="1103"/>
        <w:gridCol w:w="1345"/>
        <w:gridCol w:w="850"/>
        <w:gridCol w:w="851"/>
        <w:gridCol w:w="708"/>
        <w:gridCol w:w="3039"/>
      </w:tblGrid>
      <w:tr w:rsidR="007D2EF7" w:rsidRPr="00DD6A04" w14:paraId="602E30EC" w14:textId="77777777" w:rsidTr="00BE4788">
        <w:trPr>
          <w:trHeight w:val="740"/>
          <w:tblHeader/>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33B457" w14:textId="77777777" w:rsidR="007D2EF7" w:rsidRPr="00DD6A04" w:rsidRDefault="007D2EF7" w:rsidP="007D2EF7">
            <w:pPr>
              <w:spacing w:before="0" w:after="0" w:line="240" w:lineRule="auto"/>
              <w:jc w:val="center"/>
              <w:rPr>
                <w:rFonts w:eastAsia="Times New Roman"/>
                <w:b/>
                <w:noProof/>
              </w:rPr>
            </w:pPr>
            <w:r>
              <w:rPr>
                <w:b/>
                <w:noProof/>
              </w:rPr>
              <w:t>Zaporedna številka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9A2BF3" w14:textId="77777777" w:rsidR="007D2EF7" w:rsidRPr="00DD6A04" w:rsidRDefault="007D2EF7" w:rsidP="007D2EF7">
            <w:pPr>
              <w:spacing w:before="0" w:after="0" w:line="240" w:lineRule="auto"/>
              <w:jc w:val="center"/>
              <w:rPr>
                <w:rFonts w:eastAsia="Times New Roman"/>
                <w:b/>
                <w:noProof/>
              </w:rPr>
            </w:pPr>
            <w:r>
              <w:rPr>
                <w:b/>
                <w:noProof/>
              </w:rPr>
              <w:t>Povezani ukrep (reforma ali naložba)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94C18C" w14:textId="77777777" w:rsidR="007D2EF7" w:rsidRPr="00DD6A04" w:rsidRDefault="007D2EF7" w:rsidP="007D2EF7">
            <w:pPr>
              <w:spacing w:before="0" w:after="0" w:line="240" w:lineRule="auto"/>
              <w:jc w:val="center"/>
              <w:rPr>
                <w:rFonts w:eastAsia="Times New Roman"/>
                <w:b/>
                <w:noProof/>
              </w:rPr>
            </w:pPr>
            <w:r>
              <w:rPr>
                <w:b/>
                <w:noProof/>
              </w:rPr>
              <w:t>Mejnik/cilj</w:t>
            </w:r>
          </w:p>
        </w:tc>
        <w:tc>
          <w:tcPr>
            <w:tcW w:w="1559" w:type="dxa"/>
            <w:vMerge w:val="restart"/>
            <w:tcBorders>
              <w:top w:val="single" w:sz="4" w:space="0" w:color="auto"/>
              <w:left w:val="nil"/>
              <w:bottom w:val="single" w:sz="4" w:space="0" w:color="auto"/>
              <w:right w:val="single" w:sz="4" w:space="0" w:color="auto"/>
            </w:tcBorders>
            <w:shd w:val="clear" w:color="auto" w:fill="BDD7EE"/>
            <w:vAlign w:val="center"/>
            <w:hideMark/>
          </w:tcPr>
          <w:p w14:paraId="5CD20182" w14:textId="77777777" w:rsidR="007D2EF7" w:rsidRPr="00DD6A04" w:rsidRDefault="007D2EF7" w:rsidP="007D2EF7">
            <w:pPr>
              <w:spacing w:before="0" w:after="0" w:line="240" w:lineRule="auto"/>
              <w:jc w:val="center"/>
              <w:rPr>
                <w:rFonts w:eastAsia="Times New Roman"/>
                <w:b/>
                <w:noProof/>
              </w:rPr>
            </w:pPr>
            <w:r>
              <w:rPr>
                <w:b/>
                <w:noProof/>
              </w:rPr>
              <w:t>Ime</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90B668" w14:textId="77777777" w:rsidR="007D2EF7" w:rsidRPr="00DD6A04" w:rsidRDefault="007D2EF7" w:rsidP="007D2EF7">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298" w:type="dxa"/>
            <w:gridSpan w:val="3"/>
            <w:tcBorders>
              <w:top w:val="single" w:sz="4" w:space="0" w:color="auto"/>
              <w:left w:val="nil"/>
              <w:bottom w:val="single" w:sz="4" w:space="0" w:color="auto"/>
              <w:right w:val="single" w:sz="4" w:space="0" w:color="auto"/>
            </w:tcBorders>
            <w:shd w:val="clear" w:color="auto" w:fill="BDD7EE"/>
            <w:vAlign w:val="center"/>
            <w:hideMark/>
          </w:tcPr>
          <w:p w14:paraId="6DB2C058" w14:textId="77777777" w:rsidR="007D2EF7" w:rsidRPr="00DD6A04" w:rsidRDefault="007D2EF7" w:rsidP="007D2EF7">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7D89E6E0" w14:textId="77777777" w:rsidR="007D2EF7" w:rsidRPr="00DD6A04" w:rsidRDefault="007D2EF7" w:rsidP="007D2EF7">
            <w:pPr>
              <w:spacing w:before="0" w:after="0" w:line="240" w:lineRule="auto"/>
              <w:jc w:val="center"/>
              <w:rPr>
                <w:rFonts w:eastAsia="Times New Roman"/>
                <w:b/>
                <w:noProof/>
              </w:rPr>
            </w:pPr>
            <w:r>
              <w:rPr>
                <w:b/>
                <w:noProof/>
              </w:rPr>
              <w:t xml:space="preserve">Okvirni časovni razpored za dokončanje </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6B29C5" w14:textId="77777777" w:rsidR="007D2EF7" w:rsidRPr="00DD6A04" w:rsidRDefault="007D2EF7" w:rsidP="007D2EF7">
            <w:pPr>
              <w:spacing w:before="0" w:after="0" w:line="240" w:lineRule="auto"/>
              <w:jc w:val="center"/>
              <w:rPr>
                <w:rFonts w:eastAsia="Times New Roman"/>
                <w:b/>
                <w:noProof/>
              </w:rPr>
            </w:pPr>
            <w:r>
              <w:rPr>
                <w:b/>
                <w:noProof/>
              </w:rPr>
              <w:t>Opis vsakega mejnika in cilja</w:t>
            </w:r>
          </w:p>
        </w:tc>
      </w:tr>
      <w:tr w:rsidR="00CB0AF1" w:rsidRPr="00DD6A04" w14:paraId="5F78AEA7" w14:textId="77777777" w:rsidTr="00BE4788">
        <w:trPr>
          <w:trHeight w:val="751"/>
          <w:tblHeader/>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6717BD13" w14:textId="77777777" w:rsidR="007D2EF7" w:rsidRPr="00DD6A04" w:rsidRDefault="007D2EF7" w:rsidP="007D2EF7">
            <w:pPr>
              <w:spacing w:before="0" w:after="0" w:line="240" w:lineRule="auto"/>
              <w:rPr>
                <w:rFonts w:eastAsia="Times New Roman"/>
                <w:b/>
                <w:noProof/>
                <w:sz w:val="22"/>
                <w:lang w:val="en-GB"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4BD7EF6" w14:textId="77777777" w:rsidR="007D2EF7" w:rsidRPr="00DD6A04" w:rsidRDefault="007D2EF7" w:rsidP="007D2EF7">
            <w:pPr>
              <w:spacing w:before="0" w:after="0" w:line="240" w:lineRule="auto"/>
              <w:rPr>
                <w:rFonts w:eastAsia="Times New Roman"/>
                <w:b/>
                <w:noProof/>
                <w:sz w:val="22"/>
                <w:lang w:val="en-GB"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BC5CEA" w14:textId="77777777" w:rsidR="007D2EF7" w:rsidRPr="00DD6A04" w:rsidRDefault="007D2EF7" w:rsidP="007D2EF7">
            <w:pPr>
              <w:spacing w:before="0" w:after="0" w:line="240" w:lineRule="auto"/>
              <w:rPr>
                <w:rFonts w:eastAsia="Times New Roman"/>
                <w:b/>
                <w:noProof/>
                <w:sz w:val="22"/>
                <w:lang w:val="en-GB"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4543AB" w14:textId="77777777" w:rsidR="007D2EF7" w:rsidRPr="00DD6A04" w:rsidRDefault="007D2EF7" w:rsidP="007D2EF7">
            <w:pPr>
              <w:spacing w:before="0" w:after="0" w:line="240" w:lineRule="auto"/>
              <w:rPr>
                <w:rFonts w:eastAsia="Times New Roman"/>
                <w:b/>
                <w:noProof/>
                <w:sz w:val="22"/>
                <w:lang w:val="en-GB" w:eastAsia="en-GB"/>
              </w:rPr>
            </w:pPr>
          </w:p>
        </w:tc>
        <w:tc>
          <w:tcPr>
            <w:tcW w:w="1805" w:type="dxa"/>
            <w:vMerge/>
            <w:tcBorders>
              <w:left w:val="single" w:sz="4" w:space="0" w:color="auto"/>
            </w:tcBorders>
            <w:vAlign w:val="center"/>
            <w:hideMark/>
          </w:tcPr>
          <w:p w14:paraId="4141B59D" w14:textId="77777777" w:rsidR="007D2EF7" w:rsidRPr="00DD6A04" w:rsidRDefault="007D2EF7" w:rsidP="007D2EF7">
            <w:pPr>
              <w:spacing w:before="0" w:after="0" w:line="240" w:lineRule="auto"/>
              <w:rPr>
                <w:rFonts w:eastAsia="Times New Roman"/>
                <w:b/>
                <w:noProof/>
                <w:sz w:val="22"/>
                <w:lang w:val="en-GB" w:eastAsia="en-GB"/>
              </w:rPr>
            </w:pPr>
          </w:p>
        </w:tc>
        <w:tc>
          <w:tcPr>
            <w:tcW w:w="110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0E10E3F" w14:textId="77777777" w:rsidR="007D2EF7" w:rsidRPr="00DD6A04" w:rsidRDefault="007D2EF7" w:rsidP="007D2EF7">
            <w:pPr>
              <w:spacing w:before="0" w:after="0" w:line="240" w:lineRule="auto"/>
              <w:jc w:val="center"/>
              <w:rPr>
                <w:rFonts w:eastAsia="Times New Roman"/>
                <w:b/>
                <w:noProof/>
                <w:sz w:val="22"/>
              </w:rPr>
            </w:pPr>
            <w:r>
              <w:rPr>
                <w:b/>
                <w:noProof/>
                <w:sz w:val="22"/>
              </w:rPr>
              <w:t>Enota merjenja</w:t>
            </w:r>
          </w:p>
        </w:tc>
        <w:tc>
          <w:tcPr>
            <w:tcW w:w="134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4EC41EF" w14:textId="77777777" w:rsidR="007D2EF7" w:rsidRPr="00DD6A04" w:rsidRDefault="007D2EF7" w:rsidP="007D2EF7">
            <w:pPr>
              <w:spacing w:before="0" w:after="0" w:line="240" w:lineRule="auto"/>
              <w:jc w:val="center"/>
              <w:rPr>
                <w:rFonts w:eastAsia="Times New Roman"/>
                <w:b/>
                <w:noProof/>
                <w:sz w:val="22"/>
              </w:rPr>
            </w:pPr>
            <w:r>
              <w:rPr>
                <w:b/>
                <w:noProof/>
                <w:sz w:val="22"/>
              </w:rPr>
              <w:t xml:space="preserve">Izhodiščna raven </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AA2666" w14:textId="77777777" w:rsidR="007D2EF7" w:rsidRPr="00DD6A04" w:rsidRDefault="007D2EF7" w:rsidP="007D2EF7">
            <w:pPr>
              <w:spacing w:before="0" w:after="0" w:line="240" w:lineRule="auto"/>
              <w:jc w:val="center"/>
              <w:rPr>
                <w:rFonts w:eastAsia="Times New Roman"/>
                <w:b/>
                <w:noProof/>
                <w:sz w:val="22"/>
              </w:rPr>
            </w:pPr>
            <w:r>
              <w:rPr>
                <w:b/>
                <w:noProof/>
                <w:sz w:val="22"/>
              </w:rPr>
              <w:t xml:space="preserve">Ciljna raven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88FCFDA" w14:textId="77777777" w:rsidR="007D2EF7" w:rsidRPr="00DD6A04" w:rsidRDefault="007D2EF7" w:rsidP="007D2EF7">
            <w:pPr>
              <w:spacing w:before="0" w:after="0" w:line="240" w:lineRule="auto"/>
              <w:jc w:val="center"/>
              <w:rPr>
                <w:rFonts w:eastAsia="Times New Roman"/>
                <w:b/>
                <w:noProof/>
                <w:sz w:val="22"/>
              </w:rPr>
            </w:pPr>
            <w:r>
              <w:rPr>
                <w:b/>
                <w:noProof/>
                <w:sz w:val="22"/>
              </w:rPr>
              <w:t>Četrtletje</w:t>
            </w:r>
          </w:p>
        </w:tc>
        <w:tc>
          <w:tcPr>
            <w:tcW w:w="70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025ABE5" w14:textId="77777777" w:rsidR="007D2EF7" w:rsidRPr="00DD6A04" w:rsidRDefault="007D2EF7" w:rsidP="007D2EF7">
            <w:pPr>
              <w:spacing w:before="0" w:after="0" w:line="240" w:lineRule="auto"/>
              <w:jc w:val="center"/>
              <w:rPr>
                <w:rFonts w:eastAsia="Times New Roman"/>
                <w:b/>
                <w:noProof/>
                <w:sz w:val="22"/>
              </w:rPr>
            </w:pPr>
            <w:r>
              <w:rPr>
                <w:b/>
                <w:noProof/>
                <w:sz w:val="22"/>
              </w:rPr>
              <w:t>Leto</w:t>
            </w:r>
          </w:p>
        </w:tc>
        <w:tc>
          <w:tcPr>
            <w:tcW w:w="3039" w:type="dxa"/>
            <w:vMerge/>
            <w:tcBorders>
              <w:bottom w:val="single" w:sz="4" w:space="0" w:color="auto"/>
              <w:right w:val="single" w:sz="4" w:space="0" w:color="auto"/>
            </w:tcBorders>
            <w:vAlign w:val="center"/>
            <w:hideMark/>
          </w:tcPr>
          <w:p w14:paraId="204057E5" w14:textId="77777777" w:rsidR="007D2EF7" w:rsidRPr="00DD6A04" w:rsidRDefault="007D2EF7" w:rsidP="007D2EF7">
            <w:pPr>
              <w:spacing w:before="0" w:after="0" w:line="240" w:lineRule="auto"/>
              <w:rPr>
                <w:rFonts w:eastAsia="Times New Roman"/>
                <w:b/>
                <w:noProof/>
                <w:sz w:val="22"/>
                <w:lang w:val="en-GB" w:eastAsia="en-GB"/>
              </w:rPr>
            </w:pPr>
          </w:p>
        </w:tc>
      </w:tr>
      <w:tr w:rsidR="00BE4788" w:rsidRPr="00DD6A04" w14:paraId="25F7EBA4"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33D11AEE" w14:textId="6BA8AF1C" w:rsidR="007D2EF7" w:rsidRPr="00DD6A04" w:rsidRDefault="007D2EF7" w:rsidP="007D2EF7">
            <w:pPr>
              <w:spacing w:before="0" w:after="0" w:line="240" w:lineRule="auto"/>
              <w:rPr>
                <w:rFonts w:eastAsia="Times New Roman"/>
                <w:noProof/>
                <w:color w:val="006100"/>
                <w:sz w:val="22"/>
              </w:rPr>
            </w:pPr>
            <w:r>
              <w:rPr>
                <w:noProof/>
                <w:color w:val="006100"/>
                <w:sz w:val="22"/>
              </w:rPr>
              <w:t>54</w:t>
            </w:r>
          </w:p>
        </w:tc>
        <w:tc>
          <w:tcPr>
            <w:tcW w:w="1559" w:type="dxa"/>
            <w:tcBorders>
              <w:top w:val="single" w:sz="4" w:space="0" w:color="auto"/>
              <w:left w:val="nil"/>
              <w:bottom w:val="single" w:sz="4" w:space="0" w:color="auto"/>
              <w:right w:val="single" w:sz="4" w:space="0" w:color="auto"/>
            </w:tcBorders>
            <w:shd w:val="clear" w:color="auto" w:fill="C6EFCE"/>
            <w:noWrap/>
          </w:tcPr>
          <w:p w14:paraId="7802E344" w14:textId="4152B1BE" w:rsidR="007D2EF7" w:rsidRPr="00DD6A04" w:rsidRDefault="007D2EF7" w:rsidP="007D2EF7">
            <w:pPr>
              <w:spacing w:before="0" w:after="0" w:line="240" w:lineRule="auto"/>
              <w:rPr>
                <w:rFonts w:eastAsia="Times New Roman"/>
                <w:noProof/>
                <w:color w:val="006100"/>
                <w:sz w:val="22"/>
              </w:rPr>
            </w:pPr>
            <w:r>
              <w:rPr>
                <w:noProof/>
                <w:color w:val="006100"/>
                <w:sz w:val="22"/>
              </w:rPr>
              <w:t>A: Reforma organiziranosti javnega potniškega prometa</w:t>
            </w:r>
          </w:p>
        </w:tc>
        <w:tc>
          <w:tcPr>
            <w:tcW w:w="1134" w:type="dxa"/>
            <w:tcBorders>
              <w:top w:val="single" w:sz="4" w:space="0" w:color="auto"/>
              <w:left w:val="nil"/>
              <w:bottom w:val="single" w:sz="4" w:space="0" w:color="auto"/>
              <w:right w:val="single" w:sz="4" w:space="0" w:color="auto"/>
            </w:tcBorders>
            <w:shd w:val="clear" w:color="auto" w:fill="C6EFCE"/>
            <w:noWrap/>
          </w:tcPr>
          <w:p w14:paraId="21D59A7F" w14:textId="1C79A782"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59" w:type="dxa"/>
            <w:tcBorders>
              <w:top w:val="single" w:sz="4" w:space="0" w:color="auto"/>
              <w:left w:val="nil"/>
              <w:bottom w:val="single" w:sz="4" w:space="0" w:color="auto"/>
              <w:right w:val="single" w:sz="4" w:space="0" w:color="auto"/>
            </w:tcBorders>
            <w:shd w:val="clear" w:color="auto" w:fill="C6EFCE"/>
            <w:noWrap/>
          </w:tcPr>
          <w:p w14:paraId="1A94B81B" w14:textId="021BE5C5" w:rsidR="007D2EF7" w:rsidRPr="00DD6A04" w:rsidRDefault="007D2EF7" w:rsidP="007D2EF7">
            <w:pPr>
              <w:spacing w:before="0" w:after="0" w:line="240" w:lineRule="auto"/>
              <w:rPr>
                <w:rFonts w:eastAsia="Times New Roman"/>
                <w:noProof/>
                <w:color w:val="006100"/>
                <w:sz w:val="22"/>
              </w:rPr>
            </w:pPr>
            <w:r>
              <w:rPr>
                <w:noProof/>
                <w:color w:val="006100"/>
                <w:sz w:val="22"/>
              </w:rPr>
              <w:t>Začetek veljavnosti zakona o vzpostavitvi upravljavca integriranega javnega potniškega prometa</w:t>
            </w:r>
          </w:p>
        </w:tc>
        <w:tc>
          <w:tcPr>
            <w:tcW w:w="1805" w:type="dxa"/>
            <w:tcBorders>
              <w:top w:val="single" w:sz="4" w:space="0" w:color="auto"/>
              <w:left w:val="nil"/>
              <w:bottom w:val="single" w:sz="4" w:space="0" w:color="auto"/>
              <w:right w:val="single" w:sz="4" w:space="0" w:color="auto"/>
            </w:tcBorders>
            <w:shd w:val="clear" w:color="auto" w:fill="C6EFCE"/>
            <w:noWrap/>
          </w:tcPr>
          <w:p w14:paraId="56679F9A" w14:textId="034A6B3F"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Zakonodajna določba o začetku veljavnosti zadevnega zakona </w:t>
            </w:r>
          </w:p>
        </w:tc>
        <w:tc>
          <w:tcPr>
            <w:tcW w:w="1103" w:type="dxa"/>
            <w:tcBorders>
              <w:top w:val="single" w:sz="4" w:space="0" w:color="auto"/>
              <w:left w:val="nil"/>
              <w:bottom w:val="single" w:sz="4" w:space="0" w:color="auto"/>
              <w:right w:val="single" w:sz="4" w:space="0" w:color="auto"/>
            </w:tcBorders>
            <w:shd w:val="clear" w:color="auto" w:fill="C6EFCE"/>
            <w:noWrap/>
          </w:tcPr>
          <w:p w14:paraId="6062AED6" w14:textId="1527A3C3"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345" w:type="dxa"/>
            <w:tcBorders>
              <w:top w:val="single" w:sz="4" w:space="0" w:color="auto"/>
              <w:left w:val="nil"/>
              <w:bottom w:val="single" w:sz="4" w:space="0" w:color="auto"/>
              <w:right w:val="single" w:sz="4" w:space="0" w:color="auto"/>
            </w:tcBorders>
            <w:shd w:val="clear" w:color="auto" w:fill="C6EFCE"/>
            <w:noWrap/>
          </w:tcPr>
          <w:p w14:paraId="44DA240E" w14:textId="3138D06C"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7FA5FE88" w14:textId="0B1D3F94"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1E229242" w14:textId="7C1CC3F0"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708" w:type="dxa"/>
            <w:tcBorders>
              <w:top w:val="single" w:sz="4" w:space="0" w:color="auto"/>
              <w:left w:val="nil"/>
              <w:bottom w:val="single" w:sz="4" w:space="0" w:color="auto"/>
              <w:right w:val="single" w:sz="4" w:space="0" w:color="auto"/>
            </w:tcBorders>
            <w:shd w:val="clear" w:color="auto" w:fill="C6EFCE"/>
            <w:noWrap/>
          </w:tcPr>
          <w:p w14:paraId="2F51A25A" w14:textId="7695D0B6"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039" w:type="dxa"/>
            <w:tcBorders>
              <w:top w:val="single" w:sz="4" w:space="0" w:color="auto"/>
              <w:left w:val="nil"/>
              <w:bottom w:val="single" w:sz="4" w:space="0" w:color="auto"/>
              <w:right w:val="single" w:sz="4" w:space="0" w:color="auto"/>
            </w:tcBorders>
            <w:shd w:val="clear" w:color="auto" w:fill="C6EFCE"/>
            <w:noWrap/>
          </w:tcPr>
          <w:p w14:paraId="69CE2F42" w14:textId="6D3D88A5" w:rsidR="007D2EF7" w:rsidRPr="00DD6A04" w:rsidRDefault="11CC8D05" w:rsidP="7A1A1456">
            <w:pPr>
              <w:spacing w:before="0" w:after="0" w:line="240" w:lineRule="auto"/>
              <w:rPr>
                <w:rFonts w:eastAsia="Times New Roman"/>
                <w:noProof/>
                <w:color w:val="006100"/>
                <w:sz w:val="22"/>
                <w:highlight w:val="yellow"/>
              </w:rPr>
            </w:pPr>
            <w:r>
              <w:rPr>
                <w:noProof/>
                <w:color w:val="006100"/>
                <w:sz w:val="22"/>
              </w:rPr>
              <w:t>Z zakonom se bodo naloge, ki jih trenutno opravljajo Ministrstvo za infrastrukturo, občine in Slovenske železnice, prenesle na Družbo za upravljanje javnega potniškega prometa. Slednja bo med drugim spodbujala razvoj javnega potniškega prometa, pripravljala spremembe zakonodaje in drugih aktov, zagotavljala načrtovanje potreb, izvajala postopke javnega naročanja, upravljala sistem izdajanja vozovnic ter zagotavljala ustrezen nadzor in informacije potnikom.</w:t>
            </w:r>
          </w:p>
        </w:tc>
      </w:tr>
      <w:tr w:rsidR="00BE4788" w:rsidRPr="00DD6A04" w14:paraId="4BD27F4A"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11614B6B" w14:textId="610182CF" w:rsidR="007D2EF7" w:rsidRPr="00DD6A04" w:rsidRDefault="007D2EF7" w:rsidP="007D2EF7">
            <w:pPr>
              <w:spacing w:before="0" w:after="0" w:line="240" w:lineRule="auto"/>
              <w:rPr>
                <w:rFonts w:eastAsia="Times New Roman"/>
                <w:noProof/>
                <w:color w:val="006100"/>
                <w:sz w:val="22"/>
              </w:rPr>
            </w:pPr>
            <w:r>
              <w:rPr>
                <w:noProof/>
                <w:color w:val="006100"/>
                <w:sz w:val="22"/>
              </w:rPr>
              <w:t>55</w:t>
            </w:r>
          </w:p>
        </w:tc>
        <w:tc>
          <w:tcPr>
            <w:tcW w:w="1559" w:type="dxa"/>
            <w:tcBorders>
              <w:top w:val="single" w:sz="4" w:space="0" w:color="auto"/>
              <w:left w:val="nil"/>
              <w:bottom w:val="single" w:sz="4" w:space="0" w:color="auto"/>
              <w:right w:val="single" w:sz="4" w:space="0" w:color="auto"/>
            </w:tcBorders>
            <w:shd w:val="clear" w:color="auto" w:fill="C6EFCE"/>
            <w:noWrap/>
          </w:tcPr>
          <w:p w14:paraId="5C96FA72" w14:textId="120421F5" w:rsidR="007D2EF7" w:rsidRPr="00DD6A04" w:rsidRDefault="007D2EF7" w:rsidP="007D2EF7">
            <w:pPr>
              <w:spacing w:before="0" w:after="0" w:line="240" w:lineRule="auto"/>
              <w:rPr>
                <w:rFonts w:eastAsia="Times New Roman"/>
                <w:noProof/>
                <w:color w:val="006100"/>
                <w:sz w:val="22"/>
              </w:rPr>
            </w:pPr>
            <w:r>
              <w:rPr>
                <w:noProof/>
                <w:color w:val="006100"/>
                <w:sz w:val="22"/>
              </w:rPr>
              <w:t>A: Reforma organiziranosti javnega potniškega prometa</w:t>
            </w:r>
          </w:p>
        </w:tc>
        <w:tc>
          <w:tcPr>
            <w:tcW w:w="1134" w:type="dxa"/>
            <w:tcBorders>
              <w:top w:val="single" w:sz="4" w:space="0" w:color="auto"/>
              <w:left w:val="nil"/>
              <w:bottom w:val="single" w:sz="4" w:space="0" w:color="auto"/>
              <w:right w:val="single" w:sz="4" w:space="0" w:color="auto"/>
            </w:tcBorders>
            <w:shd w:val="clear" w:color="auto" w:fill="C6EFCE"/>
            <w:noWrap/>
          </w:tcPr>
          <w:p w14:paraId="2712D88F" w14:textId="439776EA"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59" w:type="dxa"/>
            <w:tcBorders>
              <w:top w:val="single" w:sz="4" w:space="0" w:color="auto"/>
              <w:left w:val="nil"/>
              <w:bottom w:val="single" w:sz="4" w:space="0" w:color="auto"/>
              <w:right w:val="single" w:sz="4" w:space="0" w:color="auto"/>
            </w:tcBorders>
            <w:shd w:val="clear" w:color="auto" w:fill="C6EFCE"/>
            <w:noWrap/>
          </w:tcPr>
          <w:p w14:paraId="190AA411" w14:textId="24B9D0B7" w:rsidR="007D2EF7" w:rsidRPr="00DD6A04" w:rsidRDefault="007D2EF7" w:rsidP="007D2EF7">
            <w:pPr>
              <w:spacing w:before="0" w:after="0" w:line="240" w:lineRule="auto"/>
              <w:rPr>
                <w:rFonts w:eastAsia="Times New Roman"/>
                <w:noProof/>
                <w:color w:val="006100"/>
                <w:sz w:val="22"/>
              </w:rPr>
            </w:pPr>
            <w:r>
              <w:rPr>
                <w:noProof/>
                <w:color w:val="006100"/>
                <w:sz w:val="22"/>
              </w:rPr>
              <w:t>Operativna Družba za upravljanje javnega potniškega prometa</w:t>
            </w:r>
          </w:p>
        </w:tc>
        <w:tc>
          <w:tcPr>
            <w:tcW w:w="1805" w:type="dxa"/>
            <w:tcBorders>
              <w:top w:val="single" w:sz="4" w:space="0" w:color="auto"/>
              <w:left w:val="nil"/>
              <w:bottom w:val="single" w:sz="4" w:space="0" w:color="auto"/>
              <w:right w:val="single" w:sz="4" w:space="0" w:color="auto"/>
            </w:tcBorders>
            <w:shd w:val="clear" w:color="auto" w:fill="C6EFCE"/>
            <w:noWrap/>
          </w:tcPr>
          <w:p w14:paraId="4844E9E8" w14:textId="0788D0EE" w:rsidR="007D2EF7" w:rsidRPr="00DD6A04" w:rsidRDefault="007D2EF7" w:rsidP="007D2EF7">
            <w:pPr>
              <w:spacing w:before="0" w:after="0" w:line="240" w:lineRule="auto"/>
              <w:rPr>
                <w:rFonts w:eastAsia="Times New Roman"/>
                <w:noProof/>
                <w:color w:val="006100"/>
                <w:sz w:val="22"/>
              </w:rPr>
            </w:pPr>
            <w:r>
              <w:rPr>
                <w:noProof/>
                <w:color w:val="006100"/>
                <w:sz w:val="22"/>
              </w:rPr>
              <w:t> Uradno obvestilo Vlade Republike Slovenije o ustanovitvi Družbe za upravljanje javnega potniškega prometa</w:t>
            </w:r>
          </w:p>
        </w:tc>
        <w:tc>
          <w:tcPr>
            <w:tcW w:w="1103" w:type="dxa"/>
            <w:tcBorders>
              <w:top w:val="single" w:sz="4" w:space="0" w:color="auto"/>
              <w:left w:val="nil"/>
              <w:bottom w:val="single" w:sz="4" w:space="0" w:color="auto"/>
              <w:right w:val="single" w:sz="4" w:space="0" w:color="auto"/>
            </w:tcBorders>
            <w:shd w:val="clear" w:color="auto" w:fill="C6EFCE"/>
            <w:noWrap/>
          </w:tcPr>
          <w:p w14:paraId="16CE38EF" w14:textId="77777777" w:rsidR="007D2EF7" w:rsidRPr="00DD6A04" w:rsidRDefault="007D2EF7" w:rsidP="007D2EF7">
            <w:pPr>
              <w:spacing w:before="0" w:after="0" w:line="240" w:lineRule="auto"/>
              <w:rPr>
                <w:rFonts w:eastAsia="Times New Roman"/>
                <w:noProof/>
                <w:color w:val="006100"/>
                <w:sz w:val="22"/>
                <w:lang w:val="en-GB" w:eastAsia="en-GB"/>
              </w:rPr>
            </w:pPr>
          </w:p>
        </w:tc>
        <w:tc>
          <w:tcPr>
            <w:tcW w:w="1345" w:type="dxa"/>
            <w:tcBorders>
              <w:top w:val="single" w:sz="4" w:space="0" w:color="auto"/>
              <w:left w:val="nil"/>
              <w:bottom w:val="single" w:sz="4" w:space="0" w:color="auto"/>
              <w:right w:val="single" w:sz="4" w:space="0" w:color="auto"/>
            </w:tcBorders>
            <w:shd w:val="clear" w:color="auto" w:fill="C6EFCE"/>
            <w:noWrap/>
          </w:tcPr>
          <w:p w14:paraId="006ADF87" w14:textId="77777777" w:rsidR="007D2EF7" w:rsidRPr="00DD6A04" w:rsidRDefault="007D2EF7" w:rsidP="007D2EF7">
            <w:pPr>
              <w:spacing w:before="0" w:after="0" w:line="240" w:lineRule="auto"/>
              <w:rPr>
                <w:rFonts w:eastAsia="Times New Roman"/>
                <w:noProof/>
                <w:color w:val="006100"/>
                <w:sz w:val="22"/>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1F0DE216" w14:textId="77777777" w:rsidR="007D2EF7" w:rsidRPr="00DD6A04" w:rsidRDefault="007D2EF7" w:rsidP="007D2EF7">
            <w:pPr>
              <w:spacing w:before="0" w:after="0" w:line="240" w:lineRule="auto"/>
              <w:rPr>
                <w:rFonts w:eastAsia="Times New Roman"/>
                <w:noProof/>
                <w:color w:val="006100"/>
                <w:sz w:val="22"/>
                <w:lang w:val="en-GB"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72A727A1" w14:textId="26C3E2C6"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708" w:type="dxa"/>
            <w:tcBorders>
              <w:top w:val="single" w:sz="4" w:space="0" w:color="auto"/>
              <w:left w:val="nil"/>
              <w:bottom w:val="single" w:sz="4" w:space="0" w:color="auto"/>
              <w:right w:val="single" w:sz="4" w:space="0" w:color="auto"/>
            </w:tcBorders>
            <w:shd w:val="clear" w:color="auto" w:fill="C6EFCE"/>
            <w:noWrap/>
          </w:tcPr>
          <w:p w14:paraId="11A83554" w14:textId="6CB018C6" w:rsidR="007D2EF7" w:rsidRPr="00DD6A04" w:rsidRDefault="11CC8D05" w:rsidP="7A1A1456">
            <w:pPr>
              <w:spacing w:before="0" w:after="0" w:line="240" w:lineRule="auto"/>
              <w:rPr>
                <w:rFonts w:eastAsia="Times New Roman"/>
                <w:noProof/>
                <w:color w:val="006100"/>
                <w:sz w:val="22"/>
              </w:rPr>
            </w:pPr>
            <w:r>
              <w:rPr>
                <w:noProof/>
                <w:color w:val="006100"/>
                <w:sz w:val="22"/>
              </w:rPr>
              <w:t>2023</w:t>
            </w:r>
          </w:p>
        </w:tc>
        <w:tc>
          <w:tcPr>
            <w:tcW w:w="3039" w:type="dxa"/>
            <w:tcBorders>
              <w:top w:val="single" w:sz="4" w:space="0" w:color="auto"/>
              <w:left w:val="nil"/>
              <w:bottom w:val="single" w:sz="4" w:space="0" w:color="auto"/>
              <w:right w:val="single" w:sz="4" w:space="0" w:color="auto"/>
            </w:tcBorders>
            <w:shd w:val="clear" w:color="auto" w:fill="C6EFCE"/>
            <w:noWrap/>
          </w:tcPr>
          <w:p w14:paraId="7D128DAF" w14:textId="1B49B314" w:rsidR="007D2EF7" w:rsidRPr="00DD6A04" w:rsidRDefault="007D2EF7" w:rsidP="007D2EF7">
            <w:pPr>
              <w:spacing w:before="0" w:after="0" w:line="240" w:lineRule="auto"/>
              <w:rPr>
                <w:rFonts w:eastAsia="Times New Roman"/>
                <w:noProof/>
                <w:color w:val="006100"/>
                <w:sz w:val="22"/>
              </w:rPr>
            </w:pPr>
            <w:r>
              <w:rPr>
                <w:noProof/>
                <w:color w:val="006100"/>
                <w:sz w:val="22"/>
              </w:rPr>
              <w:t>Začetek delovanja Družbe za upravljanje javnega potniškega prometa v skladu z nalogami, določenimi v zakonu iz mejnika 54.</w:t>
            </w:r>
          </w:p>
        </w:tc>
      </w:tr>
      <w:tr w:rsidR="00BE4788" w:rsidRPr="00DD6A04" w14:paraId="57EAFE95"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4D8C3AF4" w14:textId="7567C5BA" w:rsidR="007D2EF7" w:rsidRPr="00DD6A04" w:rsidRDefault="007D2EF7" w:rsidP="007D2EF7">
            <w:pPr>
              <w:spacing w:before="0" w:after="0" w:line="240" w:lineRule="auto"/>
              <w:rPr>
                <w:rFonts w:eastAsia="Times New Roman"/>
                <w:noProof/>
                <w:color w:val="006100"/>
                <w:sz w:val="22"/>
              </w:rPr>
            </w:pPr>
            <w:r>
              <w:rPr>
                <w:noProof/>
                <w:color w:val="006100"/>
                <w:sz w:val="22"/>
              </w:rPr>
              <w:t>56</w:t>
            </w:r>
          </w:p>
        </w:tc>
        <w:tc>
          <w:tcPr>
            <w:tcW w:w="1559" w:type="dxa"/>
            <w:tcBorders>
              <w:top w:val="single" w:sz="4" w:space="0" w:color="auto"/>
              <w:left w:val="nil"/>
              <w:bottom w:val="single" w:sz="4" w:space="0" w:color="auto"/>
              <w:right w:val="single" w:sz="4" w:space="0" w:color="auto"/>
            </w:tcBorders>
            <w:shd w:val="clear" w:color="auto" w:fill="C6EFCE"/>
            <w:noWrap/>
          </w:tcPr>
          <w:p w14:paraId="17BE6FE5" w14:textId="29196B01" w:rsidR="007D2EF7" w:rsidRPr="00DD6A04" w:rsidRDefault="007D2EF7" w:rsidP="007D2EF7">
            <w:pPr>
              <w:spacing w:before="0" w:after="0" w:line="240" w:lineRule="auto"/>
              <w:rPr>
                <w:rFonts w:eastAsia="Times New Roman"/>
                <w:noProof/>
                <w:color w:val="006100"/>
                <w:sz w:val="22"/>
              </w:rPr>
            </w:pPr>
            <w:r>
              <w:rPr>
                <w:noProof/>
                <w:color w:val="006100"/>
                <w:sz w:val="22"/>
              </w:rPr>
              <w:t>A: Reforma organiziranosti javnega potniškega prometa</w:t>
            </w:r>
          </w:p>
        </w:tc>
        <w:tc>
          <w:tcPr>
            <w:tcW w:w="1134" w:type="dxa"/>
            <w:tcBorders>
              <w:top w:val="single" w:sz="4" w:space="0" w:color="auto"/>
              <w:left w:val="nil"/>
              <w:bottom w:val="single" w:sz="4" w:space="0" w:color="auto"/>
              <w:right w:val="single" w:sz="4" w:space="0" w:color="auto"/>
            </w:tcBorders>
            <w:shd w:val="clear" w:color="auto" w:fill="C6EFCE"/>
            <w:noWrap/>
          </w:tcPr>
          <w:p w14:paraId="7FD76214" w14:textId="4F2AD7B5"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04DA9AD2" w14:textId="39A22C7F" w:rsidR="007D2EF7" w:rsidRPr="00DD6A04" w:rsidRDefault="007D2EF7" w:rsidP="007D2EF7">
            <w:pPr>
              <w:spacing w:before="0" w:after="0" w:line="240" w:lineRule="auto"/>
              <w:rPr>
                <w:rFonts w:eastAsia="Times New Roman"/>
                <w:noProof/>
                <w:color w:val="006100"/>
                <w:sz w:val="22"/>
              </w:rPr>
            </w:pPr>
            <w:r>
              <w:rPr>
                <w:noProof/>
                <w:color w:val="006100"/>
                <w:sz w:val="22"/>
              </w:rPr>
              <w:t>Povečanje uporabe javnega potniškega prometa</w:t>
            </w:r>
          </w:p>
        </w:tc>
        <w:tc>
          <w:tcPr>
            <w:tcW w:w="1805" w:type="dxa"/>
            <w:tcBorders>
              <w:top w:val="single" w:sz="4" w:space="0" w:color="auto"/>
              <w:left w:val="nil"/>
              <w:bottom w:val="single" w:sz="4" w:space="0" w:color="auto"/>
              <w:right w:val="single" w:sz="4" w:space="0" w:color="auto"/>
            </w:tcBorders>
            <w:shd w:val="clear" w:color="auto" w:fill="C6EFCE"/>
            <w:noWrap/>
          </w:tcPr>
          <w:p w14:paraId="51722003" w14:textId="1D91D3A3"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7E70E356"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Število</w:t>
            </w:r>
          </w:p>
          <w:p w14:paraId="2242F5FF" w14:textId="4BCE5340" w:rsidR="007D2EF7" w:rsidRPr="00DD6A04" w:rsidRDefault="007D2EF7" w:rsidP="007D2EF7">
            <w:pPr>
              <w:spacing w:before="0" w:after="0" w:line="240" w:lineRule="auto"/>
              <w:rPr>
                <w:rFonts w:eastAsia="Times New Roman"/>
                <w:noProof/>
                <w:color w:val="006100"/>
                <w:sz w:val="22"/>
              </w:rPr>
            </w:pPr>
            <w:r>
              <w:rPr>
                <w:noProof/>
                <w:color w:val="006100"/>
                <w:sz w:val="22"/>
              </w:rPr>
              <w:t>(milijoni km)</w:t>
            </w:r>
          </w:p>
        </w:tc>
        <w:tc>
          <w:tcPr>
            <w:tcW w:w="1345" w:type="dxa"/>
            <w:tcBorders>
              <w:top w:val="single" w:sz="4" w:space="0" w:color="auto"/>
              <w:left w:val="nil"/>
              <w:bottom w:val="single" w:sz="4" w:space="0" w:color="auto"/>
              <w:right w:val="single" w:sz="4" w:space="0" w:color="auto"/>
            </w:tcBorders>
            <w:shd w:val="clear" w:color="auto" w:fill="C6EFCE"/>
            <w:noWrap/>
          </w:tcPr>
          <w:p w14:paraId="7DE4087B" w14:textId="455CA593" w:rsidR="007D2EF7" w:rsidRPr="00DD6A04" w:rsidRDefault="007D2EF7" w:rsidP="007D2EF7">
            <w:pPr>
              <w:spacing w:before="0" w:after="0" w:line="240" w:lineRule="auto"/>
              <w:rPr>
                <w:rFonts w:eastAsia="Times New Roman"/>
                <w:noProof/>
                <w:color w:val="006100"/>
                <w:sz w:val="22"/>
              </w:rPr>
            </w:pPr>
            <w:r>
              <w:rPr>
                <w:noProof/>
                <w:color w:val="006100"/>
                <w:sz w:val="22"/>
              </w:rPr>
              <w:t>50</w:t>
            </w:r>
          </w:p>
        </w:tc>
        <w:tc>
          <w:tcPr>
            <w:tcW w:w="850" w:type="dxa"/>
            <w:tcBorders>
              <w:top w:val="single" w:sz="4" w:space="0" w:color="auto"/>
              <w:left w:val="nil"/>
              <w:bottom w:val="single" w:sz="4" w:space="0" w:color="auto"/>
              <w:right w:val="single" w:sz="4" w:space="0" w:color="auto"/>
            </w:tcBorders>
            <w:shd w:val="clear" w:color="auto" w:fill="C6EFCE"/>
            <w:noWrap/>
          </w:tcPr>
          <w:p w14:paraId="30265683" w14:textId="0E48E4C1" w:rsidR="007D2EF7" w:rsidRPr="00DD6A04" w:rsidRDefault="007D2EF7" w:rsidP="007D2EF7">
            <w:pPr>
              <w:spacing w:before="0" w:after="0" w:line="240" w:lineRule="auto"/>
              <w:rPr>
                <w:rFonts w:eastAsia="Times New Roman"/>
                <w:noProof/>
                <w:color w:val="006100"/>
                <w:sz w:val="22"/>
              </w:rPr>
            </w:pPr>
            <w:r>
              <w:rPr>
                <w:noProof/>
                <w:color w:val="006100"/>
                <w:sz w:val="22"/>
              </w:rPr>
              <w:t>60</w:t>
            </w:r>
          </w:p>
        </w:tc>
        <w:tc>
          <w:tcPr>
            <w:tcW w:w="851" w:type="dxa"/>
            <w:tcBorders>
              <w:top w:val="single" w:sz="4" w:space="0" w:color="auto"/>
              <w:left w:val="nil"/>
              <w:bottom w:val="single" w:sz="4" w:space="0" w:color="auto"/>
              <w:right w:val="single" w:sz="4" w:space="0" w:color="auto"/>
            </w:tcBorders>
            <w:shd w:val="clear" w:color="auto" w:fill="C6EFCE"/>
            <w:noWrap/>
          </w:tcPr>
          <w:p w14:paraId="49D1B4EF" w14:textId="1D7C6641"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708" w:type="dxa"/>
            <w:tcBorders>
              <w:top w:val="single" w:sz="4" w:space="0" w:color="auto"/>
              <w:left w:val="nil"/>
              <w:bottom w:val="single" w:sz="4" w:space="0" w:color="auto"/>
              <w:right w:val="single" w:sz="4" w:space="0" w:color="auto"/>
            </w:tcBorders>
            <w:shd w:val="clear" w:color="auto" w:fill="C6EFCE"/>
            <w:noWrap/>
          </w:tcPr>
          <w:p w14:paraId="0D170A65" w14:textId="3AB3676E" w:rsidR="007D2EF7" w:rsidRPr="00DD6A04" w:rsidRDefault="11CC8D05" w:rsidP="7A1A1456">
            <w:pPr>
              <w:spacing w:before="0" w:after="0" w:line="240" w:lineRule="auto"/>
              <w:rPr>
                <w:rFonts w:eastAsia="Times New Roman"/>
                <w:noProof/>
                <w:color w:val="006100"/>
                <w:sz w:val="22"/>
              </w:rPr>
            </w:pPr>
            <w:r>
              <w:rPr>
                <w:noProof/>
                <w:color w:val="006100"/>
                <w:sz w:val="22"/>
              </w:rPr>
              <w:t>2025</w:t>
            </w:r>
          </w:p>
        </w:tc>
        <w:tc>
          <w:tcPr>
            <w:tcW w:w="3039" w:type="dxa"/>
            <w:tcBorders>
              <w:top w:val="single" w:sz="4" w:space="0" w:color="auto"/>
              <w:left w:val="nil"/>
              <w:bottom w:val="single" w:sz="4" w:space="0" w:color="auto"/>
              <w:right w:val="single" w:sz="4" w:space="0" w:color="auto"/>
            </w:tcBorders>
            <w:shd w:val="clear" w:color="auto" w:fill="C6EFCE"/>
            <w:noWrap/>
          </w:tcPr>
          <w:p w14:paraId="47F688CD" w14:textId="54FABEEC" w:rsidR="007D2EF7" w:rsidRPr="00DD6A04" w:rsidRDefault="007D2EF7" w:rsidP="007D2EF7">
            <w:pPr>
              <w:spacing w:before="0" w:after="0" w:line="240" w:lineRule="auto"/>
              <w:rPr>
                <w:rFonts w:eastAsia="Times New Roman"/>
                <w:noProof/>
                <w:color w:val="006100"/>
                <w:sz w:val="22"/>
              </w:rPr>
            </w:pPr>
            <w:r>
              <w:rPr>
                <w:noProof/>
                <w:color w:val="006100"/>
                <w:sz w:val="22"/>
              </w:rPr>
              <w:t>Povečanje s 50 000 000 km, letno prevoženih v javnem potniškem sistemu leta 2020, na vsaj 60 000 000 km.</w:t>
            </w:r>
            <w:r w:rsidR="00037751">
              <w:rPr>
                <w:noProof/>
                <w:color w:val="006100"/>
                <w:sz w:val="22"/>
              </w:rPr>
              <w:t xml:space="preserve"> </w:t>
            </w:r>
          </w:p>
        </w:tc>
      </w:tr>
      <w:tr w:rsidR="00BE4788" w:rsidRPr="00DD6A04" w14:paraId="4AEFE0B5"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572E0F93" w14:textId="324EB175" w:rsidR="007D2EF7" w:rsidRPr="00DD6A04" w:rsidRDefault="007D2EF7" w:rsidP="007D2EF7">
            <w:pPr>
              <w:spacing w:before="0" w:after="0" w:line="240" w:lineRule="auto"/>
              <w:rPr>
                <w:rFonts w:eastAsia="Times New Roman"/>
                <w:noProof/>
                <w:color w:val="006100"/>
                <w:sz w:val="22"/>
              </w:rPr>
            </w:pPr>
            <w:r>
              <w:rPr>
                <w:noProof/>
                <w:color w:val="006100"/>
                <w:sz w:val="22"/>
              </w:rPr>
              <w:t>57</w:t>
            </w:r>
          </w:p>
        </w:tc>
        <w:tc>
          <w:tcPr>
            <w:tcW w:w="1559" w:type="dxa"/>
            <w:tcBorders>
              <w:top w:val="single" w:sz="4" w:space="0" w:color="auto"/>
              <w:left w:val="nil"/>
              <w:bottom w:val="single" w:sz="4" w:space="0" w:color="auto"/>
              <w:right w:val="single" w:sz="4" w:space="0" w:color="auto"/>
            </w:tcBorders>
            <w:shd w:val="clear" w:color="auto" w:fill="C6EFCE"/>
            <w:noWrap/>
          </w:tcPr>
          <w:p w14:paraId="1D1866FA" w14:textId="0FFAAE4C" w:rsidR="007D2EF7" w:rsidRPr="00DD6A04" w:rsidRDefault="007D2EF7" w:rsidP="007D2EF7">
            <w:pPr>
              <w:spacing w:before="0" w:after="0" w:line="240" w:lineRule="auto"/>
              <w:rPr>
                <w:rFonts w:eastAsia="Times New Roman"/>
                <w:noProof/>
                <w:color w:val="006100"/>
                <w:sz w:val="22"/>
              </w:rPr>
            </w:pPr>
            <w:r>
              <w:rPr>
                <w:noProof/>
                <w:color w:val="006100"/>
                <w:sz w:val="22"/>
              </w:rPr>
              <w:t>C: Povečanje zmogljivosti železniške infrastrukture</w:t>
            </w:r>
          </w:p>
        </w:tc>
        <w:tc>
          <w:tcPr>
            <w:tcW w:w="1134" w:type="dxa"/>
            <w:tcBorders>
              <w:top w:val="single" w:sz="4" w:space="0" w:color="auto"/>
              <w:left w:val="nil"/>
              <w:bottom w:val="single" w:sz="4" w:space="0" w:color="auto"/>
              <w:right w:val="single" w:sz="4" w:space="0" w:color="auto"/>
            </w:tcBorders>
            <w:shd w:val="clear" w:color="auto" w:fill="C6EFCE"/>
            <w:noWrap/>
          </w:tcPr>
          <w:p w14:paraId="4C333FDD" w14:textId="1EFD5674"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59" w:type="dxa"/>
            <w:tcBorders>
              <w:top w:val="single" w:sz="4" w:space="0" w:color="auto"/>
              <w:left w:val="nil"/>
              <w:bottom w:val="single" w:sz="4" w:space="0" w:color="auto"/>
              <w:right w:val="single" w:sz="4" w:space="0" w:color="auto"/>
            </w:tcBorders>
            <w:shd w:val="clear" w:color="auto" w:fill="C6EFCE"/>
            <w:noWrap/>
          </w:tcPr>
          <w:p w14:paraId="6525E038" w14:textId="3C88C6FD" w:rsidR="007D2EF7" w:rsidRPr="00DD6A04" w:rsidRDefault="007D2EF7" w:rsidP="007D2EF7">
            <w:pPr>
              <w:spacing w:before="0" w:after="0" w:line="240" w:lineRule="auto"/>
              <w:rPr>
                <w:rFonts w:eastAsia="Times New Roman"/>
                <w:noProof/>
                <w:color w:val="006100"/>
                <w:sz w:val="22"/>
              </w:rPr>
            </w:pPr>
            <w:r>
              <w:rPr>
                <w:noProof/>
                <w:color w:val="006100"/>
                <w:sz w:val="22"/>
              </w:rPr>
              <w:t>Oddaja naročil za nadgradnjo odsekov železniške proge</w:t>
            </w:r>
            <w:r w:rsidR="00037751">
              <w:rPr>
                <w:noProof/>
                <w:color w:val="006100"/>
                <w:sz w:val="22"/>
              </w:rPr>
              <w:t xml:space="preserve"> </w:t>
            </w:r>
          </w:p>
        </w:tc>
        <w:tc>
          <w:tcPr>
            <w:tcW w:w="1805" w:type="dxa"/>
            <w:tcBorders>
              <w:top w:val="single" w:sz="4" w:space="0" w:color="auto"/>
              <w:left w:val="nil"/>
              <w:bottom w:val="single" w:sz="4" w:space="0" w:color="auto"/>
              <w:right w:val="single" w:sz="4" w:space="0" w:color="auto"/>
            </w:tcBorders>
            <w:shd w:val="clear" w:color="auto" w:fill="C6EFCE"/>
            <w:noWrap/>
          </w:tcPr>
          <w:p w14:paraId="7917A380" w14:textId="5AA70BB3" w:rsidR="007D2EF7" w:rsidRPr="00DD6A04" w:rsidRDefault="007D2EF7" w:rsidP="007D2EF7">
            <w:pPr>
              <w:spacing w:before="0" w:after="0" w:line="240" w:lineRule="auto"/>
              <w:rPr>
                <w:rFonts w:eastAsia="Times New Roman"/>
                <w:noProof/>
                <w:color w:val="006100"/>
                <w:sz w:val="22"/>
              </w:rPr>
            </w:pPr>
            <w:r>
              <w:rPr>
                <w:noProof/>
                <w:color w:val="006100"/>
                <w:sz w:val="22"/>
              </w:rPr>
              <w:t>Objava rezultatov razpisa za nadgradnjo železniške proge na odsekih:</w:t>
            </w:r>
            <w:r w:rsidR="00037751">
              <w:rPr>
                <w:noProof/>
                <w:color w:val="006100"/>
                <w:sz w:val="22"/>
              </w:rPr>
              <w:t xml:space="preserve"> </w:t>
            </w:r>
            <w:r>
              <w:rPr>
                <w:noProof/>
                <w:color w:val="006100"/>
                <w:sz w:val="22"/>
              </w:rPr>
              <w:t xml:space="preserve">Kranj–Jesenice, Ljubljana–Brezovica, Brezovica–Preserje in Preserje–Borovnica </w:t>
            </w:r>
          </w:p>
        </w:tc>
        <w:tc>
          <w:tcPr>
            <w:tcW w:w="1103" w:type="dxa"/>
            <w:tcBorders>
              <w:top w:val="single" w:sz="4" w:space="0" w:color="auto"/>
              <w:left w:val="nil"/>
              <w:bottom w:val="single" w:sz="4" w:space="0" w:color="auto"/>
              <w:right w:val="single" w:sz="4" w:space="0" w:color="auto"/>
            </w:tcBorders>
            <w:shd w:val="clear" w:color="auto" w:fill="C6EFCE"/>
            <w:noWrap/>
          </w:tcPr>
          <w:p w14:paraId="1AE85991" w14:textId="51730099"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345" w:type="dxa"/>
            <w:tcBorders>
              <w:top w:val="single" w:sz="4" w:space="0" w:color="auto"/>
              <w:left w:val="nil"/>
              <w:bottom w:val="single" w:sz="4" w:space="0" w:color="auto"/>
              <w:right w:val="single" w:sz="4" w:space="0" w:color="auto"/>
            </w:tcBorders>
            <w:shd w:val="clear" w:color="auto" w:fill="C6EFCE"/>
            <w:noWrap/>
          </w:tcPr>
          <w:p w14:paraId="5EC0D116" w14:textId="43EAD955"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262228C9" w14:textId="23A06401"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07838129" w14:textId="5B2930D6"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708" w:type="dxa"/>
            <w:tcBorders>
              <w:top w:val="single" w:sz="4" w:space="0" w:color="auto"/>
              <w:left w:val="nil"/>
              <w:bottom w:val="single" w:sz="4" w:space="0" w:color="auto"/>
              <w:right w:val="single" w:sz="4" w:space="0" w:color="auto"/>
            </w:tcBorders>
            <w:shd w:val="clear" w:color="auto" w:fill="C6EFCE"/>
            <w:noWrap/>
          </w:tcPr>
          <w:p w14:paraId="5AFEC913" w14:textId="56435D9A"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039" w:type="dxa"/>
            <w:tcBorders>
              <w:top w:val="single" w:sz="4" w:space="0" w:color="auto"/>
              <w:left w:val="nil"/>
              <w:bottom w:val="single" w:sz="4" w:space="0" w:color="auto"/>
              <w:right w:val="single" w:sz="4" w:space="0" w:color="auto"/>
            </w:tcBorders>
            <w:shd w:val="clear" w:color="auto" w:fill="C6EFCE"/>
            <w:noWrap/>
          </w:tcPr>
          <w:p w14:paraId="7B74CD2B" w14:textId="12C205AD" w:rsidR="007D2EF7" w:rsidRPr="00DD6A04" w:rsidRDefault="007D2EF7" w:rsidP="007D2EF7">
            <w:pPr>
              <w:spacing w:before="0" w:after="0" w:line="240" w:lineRule="auto"/>
              <w:rPr>
                <w:rFonts w:eastAsia="Times New Roman"/>
                <w:noProof/>
                <w:color w:val="006100"/>
                <w:sz w:val="22"/>
              </w:rPr>
            </w:pPr>
            <w:r>
              <w:rPr>
                <w:noProof/>
                <w:color w:val="006100"/>
                <w:sz w:val="22"/>
              </w:rPr>
              <w:t>Oddaja naročil za nadgradnjo železniške proge na odsekih:</w:t>
            </w:r>
            <w:r w:rsidR="00037751">
              <w:rPr>
                <w:noProof/>
                <w:color w:val="006100"/>
                <w:sz w:val="22"/>
              </w:rPr>
              <w:t xml:space="preserve"> </w:t>
            </w:r>
            <w:r>
              <w:rPr>
                <w:noProof/>
                <w:color w:val="006100"/>
                <w:sz w:val="22"/>
              </w:rPr>
              <w:t>Kranj–Jesenice, Ljubljana–Brezovica, Brezovica–Preserje in Preserje–Borovnica Razpisne specifikacije bodo zagotavljale skladnost s tehničnimi smernicami za uporabo načela, da se ne škoduje bistveno (2021/C58/01), in naslednjimi zahtevami:</w:t>
            </w:r>
            <w:r w:rsidR="00037751">
              <w:rPr>
                <w:noProof/>
                <w:color w:val="006100"/>
                <w:sz w:val="22"/>
              </w:rPr>
              <w:t xml:space="preserve"> </w:t>
            </w:r>
            <w:r>
              <w:rPr>
                <w:noProof/>
                <w:color w:val="006100"/>
                <w:sz w:val="22"/>
              </w:rPr>
              <w:t>– povečanje pretočnosti železniškega prometa z odpravo ozkih grl na progi št. 50 Ljubljana–Sežana–državna meja in progi št. 20 Ljubljana–Jesenice–državna meja;</w:t>
            </w:r>
            <w:r w:rsidR="00037751">
              <w:rPr>
                <w:noProof/>
                <w:color w:val="006100"/>
                <w:sz w:val="22"/>
              </w:rPr>
              <w:t xml:space="preserve"> </w:t>
            </w:r>
            <w:r>
              <w:rPr>
                <w:noProof/>
                <w:color w:val="006100"/>
                <w:sz w:val="22"/>
              </w:rPr>
              <w:t>– nadgradnja prog in postaj v skladu s tehničnimi specifikacijami za interoperabilnost;</w:t>
            </w:r>
            <w:r w:rsidR="00037751">
              <w:rPr>
                <w:noProof/>
                <w:color w:val="006100"/>
                <w:sz w:val="22"/>
              </w:rPr>
              <w:t xml:space="preserve"> </w:t>
            </w:r>
            <w:r>
              <w:rPr>
                <w:noProof/>
                <w:color w:val="006100"/>
                <w:sz w:val="22"/>
              </w:rPr>
              <w:t>– smernice za nosilnost ustrezne kategorije D4 v višini 22,5 t/os in 8 t/m;</w:t>
            </w:r>
            <w:r w:rsidR="00037751">
              <w:rPr>
                <w:noProof/>
                <w:color w:val="006100"/>
                <w:sz w:val="22"/>
              </w:rPr>
              <w:t xml:space="preserve"> </w:t>
            </w:r>
            <w:r>
              <w:rPr>
                <w:noProof/>
                <w:color w:val="006100"/>
                <w:sz w:val="22"/>
              </w:rPr>
              <w:t>– dvig hitrosti vlakov na nove projektirane hitrosti.</w:t>
            </w:r>
          </w:p>
        </w:tc>
      </w:tr>
      <w:tr w:rsidR="00BE4788" w:rsidRPr="00DD6A04" w14:paraId="55E2176B"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0EA05709" w14:textId="29ECA0E9" w:rsidR="007D2EF7" w:rsidRPr="00DD6A04" w:rsidRDefault="007D2EF7" w:rsidP="007D2EF7">
            <w:pPr>
              <w:spacing w:before="0" w:after="0" w:line="240" w:lineRule="auto"/>
              <w:rPr>
                <w:rFonts w:eastAsia="Times New Roman"/>
                <w:noProof/>
                <w:color w:val="006100"/>
                <w:sz w:val="22"/>
              </w:rPr>
            </w:pPr>
            <w:r>
              <w:rPr>
                <w:noProof/>
                <w:color w:val="006100"/>
                <w:sz w:val="22"/>
              </w:rPr>
              <w:t>58</w:t>
            </w:r>
          </w:p>
        </w:tc>
        <w:tc>
          <w:tcPr>
            <w:tcW w:w="1559" w:type="dxa"/>
            <w:tcBorders>
              <w:top w:val="single" w:sz="4" w:space="0" w:color="auto"/>
              <w:left w:val="nil"/>
              <w:bottom w:val="single" w:sz="4" w:space="0" w:color="auto"/>
              <w:right w:val="single" w:sz="4" w:space="0" w:color="auto"/>
            </w:tcBorders>
            <w:shd w:val="clear" w:color="auto" w:fill="C6EFCE"/>
            <w:noWrap/>
          </w:tcPr>
          <w:p w14:paraId="38379EE8" w14:textId="75E5E2FB" w:rsidR="007D2EF7" w:rsidRPr="00DD6A04" w:rsidRDefault="007D2EF7" w:rsidP="007D2EF7">
            <w:pPr>
              <w:spacing w:before="0" w:after="0" w:line="240" w:lineRule="auto"/>
              <w:rPr>
                <w:rFonts w:eastAsia="Times New Roman"/>
                <w:noProof/>
                <w:color w:val="006100"/>
                <w:sz w:val="22"/>
              </w:rPr>
            </w:pPr>
            <w:r>
              <w:rPr>
                <w:noProof/>
                <w:color w:val="006100"/>
                <w:sz w:val="22"/>
              </w:rPr>
              <w:t>C: Povečanje zmogljivosti železniške infrastrukture</w:t>
            </w:r>
          </w:p>
        </w:tc>
        <w:tc>
          <w:tcPr>
            <w:tcW w:w="1134" w:type="dxa"/>
            <w:tcBorders>
              <w:top w:val="single" w:sz="4" w:space="0" w:color="auto"/>
              <w:left w:val="nil"/>
              <w:bottom w:val="single" w:sz="4" w:space="0" w:color="auto"/>
              <w:right w:val="single" w:sz="4" w:space="0" w:color="auto"/>
            </w:tcBorders>
            <w:shd w:val="clear" w:color="auto" w:fill="C6EFCE"/>
            <w:noWrap/>
          </w:tcPr>
          <w:p w14:paraId="48D7EB52" w14:textId="0F41BD4F"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59" w:type="dxa"/>
            <w:tcBorders>
              <w:top w:val="single" w:sz="4" w:space="0" w:color="auto"/>
              <w:left w:val="nil"/>
              <w:bottom w:val="single" w:sz="4" w:space="0" w:color="auto"/>
              <w:right w:val="single" w:sz="4" w:space="0" w:color="auto"/>
            </w:tcBorders>
            <w:shd w:val="clear" w:color="auto" w:fill="C6EFCE"/>
            <w:noWrap/>
          </w:tcPr>
          <w:p w14:paraId="1E6B75BE" w14:textId="68083891"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Oddaja naročil za nadgradnjo železniških postaj Grosuplje in Domžale </w:t>
            </w:r>
          </w:p>
        </w:tc>
        <w:tc>
          <w:tcPr>
            <w:tcW w:w="1805" w:type="dxa"/>
            <w:tcBorders>
              <w:top w:val="single" w:sz="4" w:space="0" w:color="auto"/>
              <w:left w:val="nil"/>
              <w:bottom w:val="single" w:sz="4" w:space="0" w:color="auto"/>
              <w:right w:val="single" w:sz="4" w:space="0" w:color="auto"/>
            </w:tcBorders>
            <w:shd w:val="clear" w:color="auto" w:fill="C6EFCE"/>
            <w:noWrap/>
          </w:tcPr>
          <w:p w14:paraId="1B90C268" w14:textId="1E6F0DB6" w:rsidR="007D2EF7" w:rsidRPr="00DD6A04" w:rsidRDefault="007D2EF7" w:rsidP="007D2EF7">
            <w:pPr>
              <w:spacing w:before="0" w:after="0" w:line="240" w:lineRule="auto"/>
              <w:rPr>
                <w:rFonts w:eastAsia="Times New Roman"/>
                <w:noProof/>
                <w:color w:val="006100"/>
                <w:sz w:val="22"/>
              </w:rPr>
            </w:pPr>
            <w:r>
              <w:rPr>
                <w:noProof/>
                <w:color w:val="006100"/>
                <w:sz w:val="22"/>
              </w:rPr>
              <w:t>Objava rezultatov razpisa za nadgradnjo železniških postaj Grosuplje in Domžale</w:t>
            </w:r>
          </w:p>
        </w:tc>
        <w:tc>
          <w:tcPr>
            <w:tcW w:w="1103" w:type="dxa"/>
            <w:tcBorders>
              <w:top w:val="single" w:sz="4" w:space="0" w:color="auto"/>
              <w:left w:val="nil"/>
              <w:bottom w:val="single" w:sz="4" w:space="0" w:color="auto"/>
              <w:right w:val="single" w:sz="4" w:space="0" w:color="auto"/>
            </w:tcBorders>
            <w:shd w:val="clear" w:color="auto" w:fill="C6EFCE"/>
            <w:noWrap/>
          </w:tcPr>
          <w:p w14:paraId="1B7ED518" w14:textId="256DBC56"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345" w:type="dxa"/>
            <w:tcBorders>
              <w:top w:val="single" w:sz="4" w:space="0" w:color="auto"/>
              <w:left w:val="nil"/>
              <w:bottom w:val="single" w:sz="4" w:space="0" w:color="auto"/>
              <w:right w:val="single" w:sz="4" w:space="0" w:color="auto"/>
            </w:tcBorders>
            <w:shd w:val="clear" w:color="auto" w:fill="C6EFCE"/>
            <w:noWrap/>
          </w:tcPr>
          <w:p w14:paraId="6BC1ADDE" w14:textId="7DDEF213"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003807AD" w14:textId="6CF9C400"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008B2C3A" w14:textId="44E13301"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708" w:type="dxa"/>
            <w:tcBorders>
              <w:top w:val="single" w:sz="4" w:space="0" w:color="auto"/>
              <w:left w:val="nil"/>
              <w:bottom w:val="single" w:sz="4" w:space="0" w:color="auto"/>
              <w:right w:val="single" w:sz="4" w:space="0" w:color="auto"/>
            </w:tcBorders>
            <w:shd w:val="clear" w:color="auto" w:fill="C6EFCE"/>
            <w:noWrap/>
          </w:tcPr>
          <w:p w14:paraId="762C5F45" w14:textId="0E6E82B6"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039" w:type="dxa"/>
            <w:tcBorders>
              <w:top w:val="single" w:sz="4" w:space="0" w:color="auto"/>
              <w:left w:val="nil"/>
              <w:bottom w:val="single" w:sz="4" w:space="0" w:color="auto"/>
              <w:right w:val="single" w:sz="4" w:space="0" w:color="auto"/>
            </w:tcBorders>
            <w:shd w:val="clear" w:color="auto" w:fill="C6EFCE"/>
            <w:noWrap/>
          </w:tcPr>
          <w:p w14:paraId="1F4FDD1B" w14:textId="40992F53" w:rsidR="007D2EF7" w:rsidRPr="00DD6A04" w:rsidRDefault="007D2EF7" w:rsidP="007D2EF7">
            <w:pPr>
              <w:spacing w:before="0" w:after="0" w:line="240" w:lineRule="auto"/>
              <w:rPr>
                <w:rFonts w:eastAsia="Times New Roman"/>
                <w:noProof/>
                <w:color w:val="006100"/>
                <w:sz w:val="22"/>
              </w:rPr>
            </w:pPr>
            <w:r>
              <w:rPr>
                <w:noProof/>
                <w:color w:val="006100"/>
                <w:sz w:val="22"/>
              </w:rPr>
              <w:t>Oddaja naročil za nadgradnjo železniških postaj Grosuplje in Domžale. Razpisne specifikacije bodo zagotavljale skladnost s tehničnimi smernicami za uporabo načela, da se ne škoduje bistveno (2021/C58/01), ter vključevale izboljšave trenutne dostopnosti za potnike in zmogljivosti prog.</w:t>
            </w:r>
          </w:p>
        </w:tc>
      </w:tr>
      <w:tr w:rsidR="00BE4788" w:rsidRPr="00DD6A04" w14:paraId="7873A07E"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17694069" w14:textId="4FB94743" w:rsidR="007D2EF7" w:rsidRPr="00DD6A04" w:rsidRDefault="007D2EF7" w:rsidP="007D2EF7">
            <w:pPr>
              <w:spacing w:before="0" w:after="0" w:line="240" w:lineRule="auto"/>
              <w:rPr>
                <w:rFonts w:eastAsia="Times New Roman"/>
                <w:noProof/>
                <w:color w:val="006100"/>
                <w:sz w:val="22"/>
              </w:rPr>
            </w:pPr>
            <w:r>
              <w:rPr>
                <w:noProof/>
                <w:color w:val="006100"/>
                <w:sz w:val="22"/>
              </w:rPr>
              <w:t>59</w:t>
            </w:r>
          </w:p>
        </w:tc>
        <w:tc>
          <w:tcPr>
            <w:tcW w:w="1559" w:type="dxa"/>
            <w:tcBorders>
              <w:top w:val="single" w:sz="4" w:space="0" w:color="auto"/>
              <w:left w:val="nil"/>
              <w:bottom w:val="single" w:sz="4" w:space="0" w:color="auto"/>
              <w:right w:val="single" w:sz="4" w:space="0" w:color="auto"/>
            </w:tcBorders>
            <w:shd w:val="clear" w:color="auto" w:fill="C6EFCE"/>
            <w:noWrap/>
          </w:tcPr>
          <w:p w14:paraId="3BD8CD71" w14:textId="11EFB374" w:rsidR="007D2EF7" w:rsidRPr="00DD6A04" w:rsidRDefault="007D2EF7" w:rsidP="007D2EF7">
            <w:pPr>
              <w:spacing w:before="0" w:after="0" w:line="240" w:lineRule="auto"/>
              <w:rPr>
                <w:rFonts w:eastAsia="Times New Roman"/>
                <w:noProof/>
                <w:color w:val="006100"/>
                <w:sz w:val="22"/>
              </w:rPr>
            </w:pPr>
            <w:r>
              <w:rPr>
                <w:noProof/>
                <w:color w:val="006100"/>
                <w:sz w:val="22"/>
              </w:rPr>
              <w:t>C: Povečanje zmogljivosti železniške infrastrukture</w:t>
            </w:r>
          </w:p>
        </w:tc>
        <w:tc>
          <w:tcPr>
            <w:tcW w:w="1134" w:type="dxa"/>
            <w:tcBorders>
              <w:top w:val="single" w:sz="4" w:space="0" w:color="auto"/>
              <w:left w:val="nil"/>
              <w:bottom w:val="single" w:sz="4" w:space="0" w:color="auto"/>
              <w:right w:val="single" w:sz="4" w:space="0" w:color="auto"/>
            </w:tcBorders>
            <w:shd w:val="clear" w:color="auto" w:fill="C6EFCE"/>
            <w:noWrap/>
          </w:tcPr>
          <w:p w14:paraId="074E44F7" w14:textId="33C42203"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0659A1C3" w14:textId="77777777" w:rsidR="007D2EF7" w:rsidRPr="00DD6A04" w:rsidRDefault="007D2EF7" w:rsidP="007D2EF7">
            <w:pPr>
              <w:spacing w:before="0" w:after="0" w:line="256" w:lineRule="auto"/>
              <w:rPr>
                <w:rFonts w:eastAsia="Times New Roman"/>
                <w:noProof/>
                <w:color w:val="006100"/>
                <w:sz w:val="22"/>
                <w:lang w:val="en-GB" w:eastAsia="en-GB"/>
              </w:rPr>
            </w:pPr>
          </w:p>
          <w:p w14:paraId="60B87432" w14:textId="379F730F"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Nadgrajene železniške postaje </w:t>
            </w:r>
          </w:p>
        </w:tc>
        <w:tc>
          <w:tcPr>
            <w:tcW w:w="1805" w:type="dxa"/>
            <w:tcBorders>
              <w:top w:val="single" w:sz="4" w:space="0" w:color="auto"/>
              <w:left w:val="nil"/>
              <w:bottom w:val="single" w:sz="4" w:space="0" w:color="auto"/>
              <w:right w:val="single" w:sz="4" w:space="0" w:color="auto"/>
            </w:tcBorders>
            <w:shd w:val="clear" w:color="auto" w:fill="C6EFCE"/>
            <w:noWrap/>
          </w:tcPr>
          <w:p w14:paraId="1F4E9269" w14:textId="7B0DC948"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5AEFD042"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Število</w:t>
            </w:r>
          </w:p>
          <w:p w14:paraId="24537D5E" w14:textId="3D154C9E" w:rsidR="007D2EF7" w:rsidRPr="00DD6A04" w:rsidRDefault="007D2EF7" w:rsidP="007D2EF7">
            <w:pPr>
              <w:spacing w:before="0" w:after="0" w:line="240" w:lineRule="auto"/>
              <w:rPr>
                <w:rFonts w:eastAsia="Times New Roman"/>
                <w:noProof/>
                <w:color w:val="006100"/>
                <w:sz w:val="22"/>
              </w:rPr>
            </w:pPr>
            <w:r>
              <w:rPr>
                <w:noProof/>
                <w:color w:val="006100"/>
                <w:sz w:val="22"/>
              </w:rPr>
              <w:t>(postaje)</w:t>
            </w:r>
          </w:p>
        </w:tc>
        <w:tc>
          <w:tcPr>
            <w:tcW w:w="1345" w:type="dxa"/>
            <w:tcBorders>
              <w:top w:val="single" w:sz="4" w:space="0" w:color="auto"/>
              <w:left w:val="nil"/>
              <w:bottom w:val="single" w:sz="4" w:space="0" w:color="auto"/>
              <w:right w:val="single" w:sz="4" w:space="0" w:color="auto"/>
            </w:tcBorders>
            <w:shd w:val="clear" w:color="auto" w:fill="C6EFCE"/>
            <w:noWrap/>
          </w:tcPr>
          <w:p w14:paraId="31FD53F8" w14:textId="75291EAA"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5E8B1C3F" w14:textId="458A54B9" w:rsidR="007D2EF7" w:rsidRPr="00DD6A04" w:rsidRDefault="007D2EF7" w:rsidP="007D2EF7">
            <w:pPr>
              <w:spacing w:before="0" w:after="0" w:line="240" w:lineRule="auto"/>
              <w:rPr>
                <w:rFonts w:eastAsia="Times New Roman"/>
                <w:noProof/>
                <w:color w:val="006100"/>
                <w:sz w:val="22"/>
              </w:rPr>
            </w:pPr>
            <w:r>
              <w:rPr>
                <w:noProof/>
                <w:color w:val="006100"/>
                <w:sz w:val="22"/>
              </w:rPr>
              <w:t>2</w:t>
            </w:r>
          </w:p>
        </w:tc>
        <w:tc>
          <w:tcPr>
            <w:tcW w:w="851" w:type="dxa"/>
            <w:tcBorders>
              <w:top w:val="single" w:sz="4" w:space="0" w:color="auto"/>
              <w:left w:val="nil"/>
              <w:bottom w:val="single" w:sz="4" w:space="0" w:color="auto"/>
              <w:right w:val="single" w:sz="4" w:space="0" w:color="auto"/>
            </w:tcBorders>
            <w:shd w:val="clear" w:color="auto" w:fill="C6EFCE"/>
            <w:noWrap/>
          </w:tcPr>
          <w:p w14:paraId="19C77DD9" w14:textId="66E10583"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708" w:type="dxa"/>
            <w:tcBorders>
              <w:top w:val="single" w:sz="4" w:space="0" w:color="auto"/>
              <w:left w:val="nil"/>
              <w:bottom w:val="single" w:sz="4" w:space="0" w:color="auto"/>
              <w:right w:val="single" w:sz="4" w:space="0" w:color="auto"/>
            </w:tcBorders>
            <w:shd w:val="clear" w:color="auto" w:fill="C6EFCE"/>
            <w:noWrap/>
          </w:tcPr>
          <w:p w14:paraId="1533A2F6" w14:textId="619D574B" w:rsidR="007D2EF7" w:rsidRPr="00DD6A04" w:rsidRDefault="007D2EF7" w:rsidP="007D2EF7">
            <w:pPr>
              <w:spacing w:before="0" w:after="0" w:line="240" w:lineRule="auto"/>
              <w:rPr>
                <w:rFonts w:eastAsia="Times New Roman"/>
                <w:noProof/>
                <w:color w:val="006100"/>
                <w:sz w:val="22"/>
              </w:rPr>
            </w:pPr>
            <w:r>
              <w:rPr>
                <w:noProof/>
                <w:color w:val="006100"/>
                <w:sz w:val="22"/>
              </w:rPr>
              <w:t>2024</w:t>
            </w:r>
          </w:p>
        </w:tc>
        <w:tc>
          <w:tcPr>
            <w:tcW w:w="3039" w:type="dxa"/>
            <w:tcBorders>
              <w:top w:val="single" w:sz="4" w:space="0" w:color="auto"/>
              <w:left w:val="nil"/>
              <w:bottom w:val="single" w:sz="4" w:space="0" w:color="auto"/>
              <w:right w:val="single" w:sz="4" w:space="0" w:color="auto"/>
            </w:tcBorders>
            <w:shd w:val="clear" w:color="auto" w:fill="C6EFCE"/>
            <w:noWrap/>
          </w:tcPr>
          <w:p w14:paraId="78FF6286" w14:textId="6C2AB6E1" w:rsidR="007D2EF7" w:rsidRPr="00DD6A04" w:rsidRDefault="007D2EF7" w:rsidP="007D2EF7">
            <w:pPr>
              <w:spacing w:before="0" w:after="0" w:line="240" w:lineRule="auto"/>
              <w:rPr>
                <w:rFonts w:eastAsia="Times New Roman"/>
                <w:noProof/>
                <w:color w:val="006100"/>
                <w:sz w:val="22"/>
              </w:rPr>
            </w:pPr>
            <w:r>
              <w:rPr>
                <w:noProof/>
                <w:color w:val="006100"/>
                <w:sz w:val="22"/>
              </w:rPr>
              <w:t>Dokončana obnovitvena dela na železniških postajah Grosuplje in Domžale v skladu z zahtevami iz mejnika 58.</w:t>
            </w:r>
          </w:p>
        </w:tc>
      </w:tr>
      <w:tr w:rsidR="00BE4788" w:rsidRPr="00DD6A04" w14:paraId="21921836"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28B7D320" w14:textId="3DB6BF63" w:rsidR="007D2EF7" w:rsidRPr="00DD6A04" w:rsidRDefault="007D2EF7" w:rsidP="007D2EF7">
            <w:pPr>
              <w:spacing w:before="0" w:after="0" w:line="240" w:lineRule="auto"/>
              <w:rPr>
                <w:rFonts w:eastAsia="Times New Roman"/>
                <w:noProof/>
                <w:color w:val="006100"/>
                <w:sz w:val="22"/>
              </w:rPr>
            </w:pPr>
            <w:r>
              <w:rPr>
                <w:noProof/>
                <w:color w:val="006100"/>
                <w:sz w:val="22"/>
              </w:rPr>
              <w:t>60</w:t>
            </w:r>
          </w:p>
        </w:tc>
        <w:tc>
          <w:tcPr>
            <w:tcW w:w="1559" w:type="dxa"/>
            <w:tcBorders>
              <w:top w:val="single" w:sz="4" w:space="0" w:color="auto"/>
              <w:left w:val="nil"/>
              <w:bottom w:val="single" w:sz="4" w:space="0" w:color="auto"/>
              <w:right w:val="single" w:sz="4" w:space="0" w:color="auto"/>
            </w:tcBorders>
            <w:shd w:val="clear" w:color="auto" w:fill="C6EFCE"/>
            <w:noWrap/>
          </w:tcPr>
          <w:p w14:paraId="2F2B2D98" w14:textId="26D9174D" w:rsidR="007D2EF7" w:rsidRPr="00DD6A04" w:rsidRDefault="007D2EF7" w:rsidP="007D2EF7">
            <w:pPr>
              <w:spacing w:before="0" w:after="0" w:line="240" w:lineRule="auto"/>
              <w:rPr>
                <w:rFonts w:eastAsia="Times New Roman"/>
                <w:noProof/>
                <w:color w:val="006100"/>
                <w:sz w:val="22"/>
              </w:rPr>
            </w:pPr>
            <w:r>
              <w:rPr>
                <w:noProof/>
                <w:color w:val="006100"/>
                <w:sz w:val="22"/>
              </w:rPr>
              <w:t>C: Povečanje zmogljivosti železniške infrastrukture</w:t>
            </w:r>
          </w:p>
        </w:tc>
        <w:tc>
          <w:tcPr>
            <w:tcW w:w="1134" w:type="dxa"/>
            <w:tcBorders>
              <w:top w:val="single" w:sz="4" w:space="0" w:color="auto"/>
              <w:left w:val="nil"/>
              <w:bottom w:val="single" w:sz="4" w:space="0" w:color="auto"/>
              <w:right w:val="single" w:sz="4" w:space="0" w:color="auto"/>
            </w:tcBorders>
            <w:shd w:val="clear" w:color="auto" w:fill="C6EFCE"/>
            <w:noWrap/>
          </w:tcPr>
          <w:p w14:paraId="2680F830" w14:textId="715FB2BF"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3CBE065B" w14:textId="7F59380D"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Dolžina nadgrajenih železniških prog </w:t>
            </w:r>
          </w:p>
        </w:tc>
        <w:tc>
          <w:tcPr>
            <w:tcW w:w="1805" w:type="dxa"/>
            <w:tcBorders>
              <w:top w:val="single" w:sz="4" w:space="0" w:color="auto"/>
              <w:left w:val="nil"/>
              <w:bottom w:val="single" w:sz="4" w:space="0" w:color="auto"/>
              <w:right w:val="single" w:sz="4" w:space="0" w:color="auto"/>
            </w:tcBorders>
            <w:shd w:val="clear" w:color="auto" w:fill="C6EFCE"/>
            <w:noWrap/>
          </w:tcPr>
          <w:p w14:paraId="61069E62" w14:textId="1CC855DE"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4C92E4F6"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Število</w:t>
            </w:r>
          </w:p>
          <w:p w14:paraId="55F700D3" w14:textId="3A669DDD" w:rsidR="007D2EF7" w:rsidRPr="00DD6A04" w:rsidRDefault="007D2EF7" w:rsidP="007D2EF7">
            <w:pPr>
              <w:spacing w:before="0" w:after="0" w:line="240" w:lineRule="auto"/>
              <w:rPr>
                <w:rFonts w:eastAsia="Times New Roman"/>
                <w:noProof/>
                <w:color w:val="006100"/>
                <w:sz w:val="22"/>
              </w:rPr>
            </w:pPr>
            <w:r>
              <w:rPr>
                <w:noProof/>
                <w:color w:val="006100"/>
                <w:sz w:val="22"/>
              </w:rPr>
              <w:t>(km)</w:t>
            </w:r>
          </w:p>
        </w:tc>
        <w:tc>
          <w:tcPr>
            <w:tcW w:w="1345" w:type="dxa"/>
            <w:tcBorders>
              <w:top w:val="single" w:sz="4" w:space="0" w:color="auto"/>
              <w:left w:val="nil"/>
              <w:bottom w:val="single" w:sz="4" w:space="0" w:color="auto"/>
              <w:right w:val="single" w:sz="4" w:space="0" w:color="auto"/>
            </w:tcBorders>
            <w:shd w:val="clear" w:color="auto" w:fill="C6EFCE"/>
            <w:noWrap/>
          </w:tcPr>
          <w:p w14:paraId="7FE775B7" w14:textId="0DC301BA"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6D9BF03A" w14:textId="47A98284" w:rsidR="007D2EF7" w:rsidRPr="00DD6A04" w:rsidRDefault="00B14529" w:rsidP="007D2EF7">
            <w:pPr>
              <w:spacing w:before="0" w:after="0" w:line="240" w:lineRule="auto"/>
              <w:rPr>
                <w:rFonts w:eastAsia="Times New Roman"/>
                <w:noProof/>
                <w:color w:val="006100"/>
                <w:sz w:val="22"/>
              </w:rPr>
            </w:pPr>
            <w:r>
              <w:rPr>
                <w:noProof/>
                <w:color w:val="006100"/>
                <w:sz w:val="22"/>
              </w:rPr>
              <w:t>41</w:t>
            </w:r>
          </w:p>
        </w:tc>
        <w:tc>
          <w:tcPr>
            <w:tcW w:w="851" w:type="dxa"/>
            <w:tcBorders>
              <w:top w:val="single" w:sz="4" w:space="0" w:color="auto"/>
              <w:left w:val="nil"/>
              <w:bottom w:val="single" w:sz="4" w:space="0" w:color="auto"/>
              <w:right w:val="single" w:sz="4" w:space="0" w:color="auto"/>
            </w:tcBorders>
            <w:shd w:val="clear" w:color="auto" w:fill="C6EFCE"/>
            <w:noWrap/>
          </w:tcPr>
          <w:p w14:paraId="125BDFED" w14:textId="04D85E21"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708" w:type="dxa"/>
            <w:tcBorders>
              <w:top w:val="single" w:sz="4" w:space="0" w:color="auto"/>
              <w:left w:val="nil"/>
              <w:bottom w:val="single" w:sz="4" w:space="0" w:color="auto"/>
              <w:right w:val="single" w:sz="4" w:space="0" w:color="auto"/>
            </w:tcBorders>
            <w:shd w:val="clear" w:color="auto" w:fill="C6EFCE"/>
            <w:noWrap/>
          </w:tcPr>
          <w:p w14:paraId="69AA4E81" w14:textId="7B9FC2D8"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039" w:type="dxa"/>
            <w:tcBorders>
              <w:top w:val="single" w:sz="4" w:space="0" w:color="auto"/>
              <w:left w:val="nil"/>
              <w:bottom w:val="single" w:sz="4" w:space="0" w:color="auto"/>
              <w:right w:val="single" w:sz="4" w:space="0" w:color="auto"/>
            </w:tcBorders>
            <w:shd w:val="clear" w:color="auto" w:fill="C6EFCE"/>
            <w:noWrap/>
          </w:tcPr>
          <w:p w14:paraId="459288AC" w14:textId="3B02D4C7" w:rsidR="007D2EF7" w:rsidRPr="00DD6A04" w:rsidRDefault="007D2EF7" w:rsidP="11EDEB1E">
            <w:pPr>
              <w:spacing w:before="0" w:after="0" w:line="240" w:lineRule="auto"/>
              <w:rPr>
                <w:rFonts w:eastAsia="Times New Roman"/>
                <w:noProof/>
                <w:color w:val="006100"/>
                <w:sz w:val="22"/>
              </w:rPr>
            </w:pPr>
            <w:r>
              <w:rPr>
                <w:noProof/>
                <w:color w:val="006100"/>
                <w:sz w:val="22"/>
              </w:rPr>
              <w:t>Kilometri obnovljene železniške proge (Kranj–Jesenice in Ljubljani–Brezovica–Borovnica) v skladu z zahtevami iz mejnika 57.</w:t>
            </w:r>
          </w:p>
        </w:tc>
      </w:tr>
      <w:tr w:rsidR="00BE4788" w:rsidRPr="00DD6A04" w14:paraId="72B35202"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31C6DE47" w14:textId="1AF63A5C" w:rsidR="007D2EF7" w:rsidRPr="00DD6A04" w:rsidRDefault="007D2EF7" w:rsidP="007D2EF7">
            <w:pPr>
              <w:spacing w:before="0" w:after="0" w:line="240" w:lineRule="auto"/>
              <w:rPr>
                <w:rFonts w:eastAsia="Times New Roman"/>
                <w:noProof/>
                <w:color w:val="006100"/>
                <w:sz w:val="22"/>
              </w:rPr>
            </w:pPr>
            <w:r>
              <w:rPr>
                <w:noProof/>
                <w:color w:val="006100"/>
                <w:sz w:val="22"/>
              </w:rPr>
              <w:t>62</w:t>
            </w:r>
          </w:p>
        </w:tc>
        <w:tc>
          <w:tcPr>
            <w:tcW w:w="1559" w:type="dxa"/>
            <w:tcBorders>
              <w:top w:val="single" w:sz="4" w:space="0" w:color="auto"/>
              <w:left w:val="nil"/>
              <w:bottom w:val="single" w:sz="4" w:space="0" w:color="auto"/>
              <w:right w:val="single" w:sz="4" w:space="0" w:color="auto"/>
            </w:tcBorders>
            <w:shd w:val="clear" w:color="auto" w:fill="C6EFCE"/>
            <w:noWrap/>
          </w:tcPr>
          <w:p w14:paraId="354A213C" w14:textId="73299B7C"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D: Digitalizacija železniške in cestne infrastrukture </w:t>
            </w:r>
          </w:p>
        </w:tc>
        <w:tc>
          <w:tcPr>
            <w:tcW w:w="1134" w:type="dxa"/>
            <w:tcBorders>
              <w:top w:val="single" w:sz="4" w:space="0" w:color="auto"/>
              <w:left w:val="nil"/>
              <w:bottom w:val="single" w:sz="4" w:space="0" w:color="auto"/>
              <w:right w:val="single" w:sz="4" w:space="0" w:color="auto"/>
            </w:tcBorders>
            <w:shd w:val="clear" w:color="auto" w:fill="C6EFCE"/>
            <w:noWrap/>
          </w:tcPr>
          <w:p w14:paraId="77E9D3A9" w14:textId="1E3EC981"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6069E491" w14:textId="69C50B3D"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Ceste, pokrite s sistemom za nadzor in vodenje prometa </w:t>
            </w:r>
          </w:p>
        </w:tc>
        <w:tc>
          <w:tcPr>
            <w:tcW w:w="1805" w:type="dxa"/>
            <w:tcBorders>
              <w:top w:val="single" w:sz="4" w:space="0" w:color="auto"/>
              <w:left w:val="nil"/>
              <w:bottom w:val="single" w:sz="4" w:space="0" w:color="auto"/>
              <w:right w:val="single" w:sz="4" w:space="0" w:color="auto"/>
            </w:tcBorders>
            <w:shd w:val="clear" w:color="auto" w:fill="C6EFCE"/>
            <w:noWrap/>
          </w:tcPr>
          <w:p w14:paraId="59727759" w14:textId="474D17E6"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739AAC3E"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Število</w:t>
            </w:r>
          </w:p>
          <w:p w14:paraId="17598805" w14:textId="0FCEB0A0" w:rsidR="007D2EF7" w:rsidRPr="00DD6A04" w:rsidRDefault="007D2EF7" w:rsidP="007D2EF7">
            <w:pPr>
              <w:spacing w:before="0" w:after="0" w:line="240" w:lineRule="auto"/>
              <w:rPr>
                <w:rFonts w:eastAsia="Times New Roman"/>
                <w:noProof/>
                <w:color w:val="006100"/>
                <w:sz w:val="22"/>
              </w:rPr>
            </w:pPr>
            <w:r>
              <w:rPr>
                <w:noProof/>
                <w:color w:val="006100"/>
                <w:sz w:val="22"/>
              </w:rPr>
              <w:t>(km)</w:t>
            </w:r>
          </w:p>
        </w:tc>
        <w:tc>
          <w:tcPr>
            <w:tcW w:w="1345" w:type="dxa"/>
            <w:tcBorders>
              <w:top w:val="single" w:sz="4" w:space="0" w:color="auto"/>
              <w:left w:val="nil"/>
              <w:bottom w:val="single" w:sz="4" w:space="0" w:color="auto"/>
              <w:right w:val="single" w:sz="4" w:space="0" w:color="auto"/>
            </w:tcBorders>
            <w:shd w:val="clear" w:color="auto" w:fill="C6EFCE"/>
            <w:noWrap/>
          </w:tcPr>
          <w:p w14:paraId="60C3F6DD" w14:textId="075AA566"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58E26E53" w14:textId="3B87E12B" w:rsidR="007D2EF7" w:rsidRPr="00DD6A04" w:rsidRDefault="007D2EF7" w:rsidP="007D2EF7">
            <w:pPr>
              <w:spacing w:before="0" w:after="0" w:line="240" w:lineRule="auto"/>
              <w:rPr>
                <w:rFonts w:eastAsia="Times New Roman"/>
                <w:noProof/>
                <w:color w:val="006100"/>
                <w:sz w:val="22"/>
              </w:rPr>
            </w:pPr>
            <w:r>
              <w:rPr>
                <w:noProof/>
                <w:color w:val="006100"/>
                <w:sz w:val="22"/>
              </w:rPr>
              <w:t>70</w:t>
            </w:r>
          </w:p>
        </w:tc>
        <w:tc>
          <w:tcPr>
            <w:tcW w:w="851" w:type="dxa"/>
            <w:tcBorders>
              <w:top w:val="single" w:sz="4" w:space="0" w:color="auto"/>
              <w:left w:val="nil"/>
              <w:bottom w:val="single" w:sz="4" w:space="0" w:color="auto"/>
              <w:right w:val="single" w:sz="4" w:space="0" w:color="auto"/>
            </w:tcBorders>
            <w:shd w:val="clear" w:color="auto" w:fill="C6EFCE"/>
            <w:noWrap/>
          </w:tcPr>
          <w:p w14:paraId="01AF5187" w14:textId="66D6016A"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708" w:type="dxa"/>
            <w:tcBorders>
              <w:top w:val="single" w:sz="4" w:space="0" w:color="auto"/>
              <w:left w:val="nil"/>
              <w:bottom w:val="single" w:sz="4" w:space="0" w:color="auto"/>
              <w:right w:val="single" w:sz="4" w:space="0" w:color="auto"/>
            </w:tcBorders>
            <w:shd w:val="clear" w:color="auto" w:fill="C6EFCE"/>
            <w:noWrap/>
          </w:tcPr>
          <w:p w14:paraId="3DD766AF" w14:textId="3B0134B2"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039" w:type="dxa"/>
            <w:tcBorders>
              <w:top w:val="single" w:sz="4" w:space="0" w:color="auto"/>
              <w:left w:val="nil"/>
              <w:bottom w:val="single" w:sz="4" w:space="0" w:color="auto"/>
              <w:right w:val="single" w:sz="4" w:space="0" w:color="auto"/>
            </w:tcBorders>
            <w:shd w:val="clear" w:color="auto" w:fill="C6EFCE"/>
            <w:noWrap/>
          </w:tcPr>
          <w:p w14:paraId="0B8B1BB9" w14:textId="384F6DCD" w:rsidR="007D2EF7" w:rsidRPr="00DD6A04" w:rsidRDefault="007D2EF7" w:rsidP="007D2EF7">
            <w:pPr>
              <w:spacing w:before="0" w:after="0" w:line="240" w:lineRule="auto"/>
              <w:rPr>
                <w:rFonts w:eastAsia="Times New Roman"/>
                <w:noProof/>
                <w:color w:val="006100"/>
                <w:sz w:val="22"/>
              </w:rPr>
            </w:pPr>
            <w:r>
              <w:rPr>
                <w:noProof/>
                <w:color w:val="006100"/>
                <w:sz w:val="22"/>
              </w:rPr>
              <w:t>Sistem za nadzor in vodenje prometa bo vključeval zlasti nadgrajeno hrbtenično optično omrežje, nadgrajen nadzorni center, cestne detektorje in simulacijsko orodje za načrtovanje prometa. Delno bo namenjen zmanjšanju emisij toplogrednih plinov ter bo med drugim vključeval optično omrežje za zagotavljanje hitrejšega in zanesljivejšega pretoka velike količine podatkov, cestne detektorje za pasivno zbiranje podatkov o prometu v realnem času, simulacijsko orodje za načrtovanje, nadzor in napovedi v elektro-prometnem sistemu ter obveščanje uporabnikov prek aplikativnih orodij.</w:t>
            </w:r>
          </w:p>
        </w:tc>
      </w:tr>
      <w:tr w:rsidR="00BE4788" w:rsidRPr="00DD6A04" w14:paraId="11C3BC2F"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1003C804" w14:textId="5A3422D8" w:rsidR="007D2EF7" w:rsidRPr="00DD6A04" w:rsidRDefault="007D2EF7" w:rsidP="007D2EF7">
            <w:pPr>
              <w:spacing w:before="0" w:after="0" w:line="240" w:lineRule="auto"/>
              <w:rPr>
                <w:rFonts w:eastAsia="Times New Roman"/>
                <w:noProof/>
                <w:color w:val="006100"/>
                <w:sz w:val="22"/>
              </w:rPr>
            </w:pPr>
            <w:bookmarkStart w:id="11" w:name="_Hlk142662238"/>
            <w:r>
              <w:rPr>
                <w:noProof/>
                <w:color w:val="006100"/>
                <w:sz w:val="22"/>
              </w:rPr>
              <w:t>63</w:t>
            </w:r>
          </w:p>
        </w:tc>
        <w:tc>
          <w:tcPr>
            <w:tcW w:w="1559" w:type="dxa"/>
            <w:tcBorders>
              <w:top w:val="single" w:sz="4" w:space="0" w:color="auto"/>
              <w:left w:val="nil"/>
              <w:bottom w:val="single" w:sz="4" w:space="0" w:color="auto"/>
              <w:right w:val="single" w:sz="4" w:space="0" w:color="auto"/>
            </w:tcBorders>
            <w:shd w:val="clear" w:color="auto" w:fill="C6EFCE"/>
            <w:noWrap/>
          </w:tcPr>
          <w:p w14:paraId="7C1D01AA" w14:textId="1D299C5A" w:rsidR="007D2EF7" w:rsidRPr="00DD6A04" w:rsidRDefault="007D2EF7" w:rsidP="007D2EF7">
            <w:pPr>
              <w:spacing w:before="0" w:after="0" w:line="240" w:lineRule="auto"/>
              <w:rPr>
                <w:rFonts w:eastAsia="Times New Roman"/>
                <w:noProof/>
                <w:color w:val="006100"/>
                <w:sz w:val="22"/>
              </w:rPr>
            </w:pPr>
            <w:r>
              <w:rPr>
                <w:noProof/>
                <w:color w:val="006100"/>
                <w:sz w:val="22"/>
              </w:rPr>
              <w:t>B: Reforma na področju uvajanja infrastrukture za alternativna goriva</w:t>
            </w:r>
          </w:p>
        </w:tc>
        <w:tc>
          <w:tcPr>
            <w:tcW w:w="1134" w:type="dxa"/>
            <w:tcBorders>
              <w:top w:val="single" w:sz="4" w:space="0" w:color="auto"/>
              <w:left w:val="nil"/>
              <w:bottom w:val="single" w:sz="4" w:space="0" w:color="auto"/>
              <w:right w:val="single" w:sz="4" w:space="0" w:color="auto"/>
            </w:tcBorders>
            <w:shd w:val="clear" w:color="auto" w:fill="C6EFCE"/>
            <w:noWrap/>
          </w:tcPr>
          <w:p w14:paraId="7FD5CA25" w14:textId="605FE10A" w:rsidR="007D2EF7" w:rsidRPr="00DD6A04" w:rsidRDefault="007D2EF7" w:rsidP="007D2EF7">
            <w:pPr>
              <w:spacing w:before="0" w:after="0" w:line="240" w:lineRule="auto"/>
              <w:rPr>
                <w:rFonts w:eastAsia="Times New Roman"/>
                <w:noProof/>
                <w:color w:val="006100"/>
                <w:sz w:val="22"/>
              </w:rPr>
            </w:pPr>
            <w:r>
              <w:rPr>
                <w:noProof/>
                <w:color w:val="006100"/>
                <w:sz w:val="22"/>
              </w:rPr>
              <w:t>Mejnik</w:t>
            </w:r>
          </w:p>
        </w:tc>
        <w:tc>
          <w:tcPr>
            <w:tcW w:w="1559" w:type="dxa"/>
            <w:tcBorders>
              <w:top w:val="single" w:sz="4" w:space="0" w:color="auto"/>
              <w:left w:val="nil"/>
              <w:bottom w:val="single" w:sz="4" w:space="0" w:color="auto"/>
              <w:right w:val="single" w:sz="4" w:space="0" w:color="auto"/>
            </w:tcBorders>
            <w:shd w:val="clear" w:color="auto" w:fill="C6EFCE"/>
            <w:noWrap/>
          </w:tcPr>
          <w:p w14:paraId="47B8E327" w14:textId="59492D40" w:rsidR="007D2EF7" w:rsidRPr="00DD6A04" w:rsidRDefault="007D2EF7" w:rsidP="007D2EF7">
            <w:pPr>
              <w:spacing w:before="0" w:after="0" w:line="240" w:lineRule="auto"/>
              <w:rPr>
                <w:rFonts w:eastAsia="Times New Roman"/>
                <w:noProof/>
                <w:color w:val="006100"/>
                <w:sz w:val="22"/>
              </w:rPr>
            </w:pPr>
            <w:r>
              <w:rPr>
                <w:noProof/>
                <w:color w:val="006100"/>
                <w:sz w:val="22"/>
              </w:rPr>
              <w:t>Začetek veljavnosti Zakona o alternativnih gorivih v prometu</w:t>
            </w:r>
          </w:p>
        </w:tc>
        <w:tc>
          <w:tcPr>
            <w:tcW w:w="1805" w:type="dxa"/>
            <w:tcBorders>
              <w:top w:val="single" w:sz="4" w:space="0" w:color="auto"/>
              <w:left w:val="nil"/>
              <w:bottom w:val="single" w:sz="4" w:space="0" w:color="auto"/>
              <w:right w:val="single" w:sz="4" w:space="0" w:color="auto"/>
            </w:tcBorders>
            <w:shd w:val="clear" w:color="auto" w:fill="C6EFCE"/>
            <w:noWrap/>
          </w:tcPr>
          <w:p w14:paraId="1AEF36CC" w14:textId="6759CA50"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Začetek veljavnosti zakona o vzpostavitvi nacionalnega regulativnega okvira na področju alternativnih goriv v prometu </w:t>
            </w:r>
          </w:p>
        </w:tc>
        <w:tc>
          <w:tcPr>
            <w:tcW w:w="1103" w:type="dxa"/>
            <w:tcBorders>
              <w:top w:val="single" w:sz="4" w:space="0" w:color="auto"/>
              <w:left w:val="nil"/>
              <w:bottom w:val="single" w:sz="4" w:space="0" w:color="auto"/>
              <w:right w:val="single" w:sz="4" w:space="0" w:color="auto"/>
            </w:tcBorders>
            <w:shd w:val="clear" w:color="auto" w:fill="C6EFCE"/>
            <w:noWrap/>
          </w:tcPr>
          <w:p w14:paraId="6615EB9A" w14:textId="7AB345A3"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345" w:type="dxa"/>
            <w:tcBorders>
              <w:top w:val="single" w:sz="4" w:space="0" w:color="auto"/>
              <w:left w:val="nil"/>
              <w:bottom w:val="single" w:sz="4" w:space="0" w:color="auto"/>
              <w:right w:val="single" w:sz="4" w:space="0" w:color="auto"/>
            </w:tcBorders>
            <w:shd w:val="clear" w:color="auto" w:fill="C6EFCE"/>
            <w:noWrap/>
          </w:tcPr>
          <w:p w14:paraId="71FC5553" w14:textId="4A83719B"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78623DF2" w14:textId="2FAA16A9"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851" w:type="dxa"/>
            <w:tcBorders>
              <w:top w:val="single" w:sz="4" w:space="0" w:color="auto"/>
              <w:left w:val="nil"/>
              <w:bottom w:val="single" w:sz="4" w:space="0" w:color="auto"/>
              <w:right w:val="single" w:sz="4" w:space="0" w:color="auto"/>
            </w:tcBorders>
            <w:shd w:val="clear" w:color="auto" w:fill="C6EFCE"/>
            <w:noWrap/>
          </w:tcPr>
          <w:p w14:paraId="6BEF6339" w14:textId="2B341295" w:rsidR="007D2EF7" w:rsidRPr="00DD6A04" w:rsidRDefault="007D2EF7" w:rsidP="007D2EF7">
            <w:pPr>
              <w:spacing w:before="0" w:after="0" w:line="240" w:lineRule="auto"/>
              <w:rPr>
                <w:rFonts w:eastAsia="Times New Roman"/>
                <w:noProof/>
                <w:color w:val="006100"/>
                <w:sz w:val="22"/>
              </w:rPr>
            </w:pPr>
            <w:r>
              <w:rPr>
                <w:noProof/>
                <w:color w:val="006100"/>
                <w:sz w:val="22"/>
              </w:rPr>
              <w:t>Q2</w:t>
            </w:r>
          </w:p>
        </w:tc>
        <w:tc>
          <w:tcPr>
            <w:tcW w:w="708" w:type="dxa"/>
            <w:tcBorders>
              <w:top w:val="single" w:sz="4" w:space="0" w:color="auto"/>
              <w:left w:val="nil"/>
              <w:bottom w:val="single" w:sz="4" w:space="0" w:color="auto"/>
              <w:right w:val="single" w:sz="4" w:space="0" w:color="auto"/>
            </w:tcBorders>
            <w:shd w:val="clear" w:color="auto" w:fill="C6EFCE"/>
            <w:noWrap/>
          </w:tcPr>
          <w:p w14:paraId="59BE7AB7" w14:textId="07B9B905" w:rsidR="007D2EF7" w:rsidRPr="00DD6A04" w:rsidRDefault="007D2EF7" w:rsidP="007D2EF7">
            <w:pPr>
              <w:spacing w:before="0" w:after="0" w:line="240" w:lineRule="auto"/>
              <w:rPr>
                <w:rFonts w:eastAsia="Times New Roman"/>
                <w:noProof/>
                <w:color w:val="006100"/>
                <w:sz w:val="22"/>
              </w:rPr>
            </w:pPr>
            <w:r>
              <w:rPr>
                <w:noProof/>
                <w:color w:val="006100"/>
                <w:sz w:val="22"/>
              </w:rPr>
              <w:t>2022</w:t>
            </w:r>
          </w:p>
        </w:tc>
        <w:tc>
          <w:tcPr>
            <w:tcW w:w="3039" w:type="dxa"/>
            <w:tcBorders>
              <w:top w:val="single" w:sz="4" w:space="0" w:color="auto"/>
              <w:left w:val="nil"/>
              <w:bottom w:val="single" w:sz="4" w:space="0" w:color="auto"/>
              <w:right w:val="single" w:sz="4" w:space="0" w:color="auto"/>
            </w:tcBorders>
            <w:shd w:val="clear" w:color="auto" w:fill="C6EFCE"/>
            <w:noWrap/>
          </w:tcPr>
          <w:p w14:paraId="7B76A5CE" w14:textId="06D9614E" w:rsidR="007D2EF7" w:rsidRPr="00DD6A04" w:rsidRDefault="7A4D9C3F" w:rsidP="6B3B27EA">
            <w:pPr>
              <w:spacing w:before="0" w:after="0" w:line="240" w:lineRule="auto"/>
              <w:rPr>
                <w:rFonts w:eastAsia="Times New Roman"/>
                <w:noProof/>
                <w:color w:val="006100"/>
                <w:sz w:val="22"/>
              </w:rPr>
            </w:pPr>
            <w:r>
              <w:rPr>
                <w:noProof/>
                <w:color w:val="006100"/>
                <w:sz w:val="22"/>
              </w:rPr>
              <w:t>Z zakonom bo vzpostavljen celovit pravni okvir za uporabo alternativnih goriv v prometu, ki bo za vse deležnike na enem mestu določal pravno zavezujoča pravila, da se olajša diverzifikacija predvsem osebnega prometa v nizkoemisijski in brezemisijski promet. Zajemal bo vzpostavitev, registracijo in delovanje polnilne/oskrbovalne infrastrukture.</w:t>
            </w:r>
          </w:p>
        </w:tc>
      </w:tr>
      <w:tr w:rsidR="00BE4788" w:rsidRPr="00DD6A04" w14:paraId="4CF1946A"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5FC7BB55" w14:textId="2559E110" w:rsidR="007D2EF7" w:rsidRPr="00DD6A04" w:rsidRDefault="007D2EF7" w:rsidP="007D2EF7">
            <w:pPr>
              <w:spacing w:before="0" w:after="0" w:line="240" w:lineRule="auto"/>
              <w:rPr>
                <w:rFonts w:eastAsia="Times New Roman"/>
                <w:noProof/>
                <w:color w:val="006100"/>
                <w:sz w:val="22"/>
              </w:rPr>
            </w:pPr>
            <w:r>
              <w:rPr>
                <w:noProof/>
                <w:color w:val="006100"/>
                <w:sz w:val="22"/>
              </w:rPr>
              <w:t>64</w:t>
            </w:r>
          </w:p>
        </w:tc>
        <w:tc>
          <w:tcPr>
            <w:tcW w:w="1559" w:type="dxa"/>
            <w:tcBorders>
              <w:top w:val="single" w:sz="4" w:space="0" w:color="auto"/>
              <w:left w:val="nil"/>
              <w:bottom w:val="single" w:sz="4" w:space="0" w:color="auto"/>
              <w:right w:val="single" w:sz="4" w:space="0" w:color="auto"/>
            </w:tcBorders>
            <w:shd w:val="clear" w:color="auto" w:fill="C6EFCE"/>
            <w:noWrap/>
          </w:tcPr>
          <w:p w14:paraId="0C6A8306" w14:textId="041BF65D" w:rsidR="007D2EF7" w:rsidRPr="00DD6A04" w:rsidRDefault="007D2EF7" w:rsidP="007D2EF7">
            <w:pPr>
              <w:spacing w:before="0" w:after="0" w:line="240" w:lineRule="auto"/>
              <w:rPr>
                <w:rFonts w:eastAsia="Times New Roman"/>
                <w:noProof/>
                <w:color w:val="006100"/>
                <w:sz w:val="22"/>
              </w:rPr>
            </w:pPr>
            <w:r>
              <w:rPr>
                <w:noProof/>
                <w:color w:val="006100"/>
                <w:sz w:val="22"/>
              </w:rPr>
              <w:t>B: Reforma na področju uvajanja infrastrukture za alternativna goriva</w:t>
            </w:r>
          </w:p>
        </w:tc>
        <w:tc>
          <w:tcPr>
            <w:tcW w:w="1134" w:type="dxa"/>
            <w:tcBorders>
              <w:top w:val="single" w:sz="4" w:space="0" w:color="auto"/>
              <w:left w:val="nil"/>
              <w:bottom w:val="single" w:sz="4" w:space="0" w:color="auto"/>
              <w:right w:val="single" w:sz="4" w:space="0" w:color="auto"/>
            </w:tcBorders>
            <w:shd w:val="clear" w:color="auto" w:fill="C6EFCE"/>
            <w:noWrap/>
          </w:tcPr>
          <w:p w14:paraId="6D313A2B" w14:textId="3FC6EF34"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14917E48" w14:textId="4DD3782E" w:rsidR="007D2EF7" w:rsidRPr="00DD6A04" w:rsidRDefault="007D2EF7" w:rsidP="007D2EF7">
            <w:pPr>
              <w:spacing w:before="0" w:after="0" w:line="240" w:lineRule="auto"/>
              <w:rPr>
                <w:rFonts w:eastAsia="Times New Roman"/>
                <w:noProof/>
                <w:color w:val="006100"/>
                <w:sz w:val="22"/>
              </w:rPr>
            </w:pPr>
            <w:r>
              <w:rPr>
                <w:noProof/>
                <w:color w:val="006100"/>
                <w:sz w:val="22"/>
              </w:rPr>
              <w:t>Operativna polnilna ali oskrbovalna mesta za vozila na alternativni pogon</w:t>
            </w:r>
          </w:p>
        </w:tc>
        <w:tc>
          <w:tcPr>
            <w:tcW w:w="1805" w:type="dxa"/>
            <w:tcBorders>
              <w:top w:val="single" w:sz="4" w:space="0" w:color="auto"/>
              <w:left w:val="nil"/>
              <w:bottom w:val="single" w:sz="4" w:space="0" w:color="auto"/>
              <w:right w:val="single" w:sz="4" w:space="0" w:color="auto"/>
            </w:tcBorders>
            <w:shd w:val="clear" w:color="auto" w:fill="C6EFCE"/>
            <w:noWrap/>
          </w:tcPr>
          <w:p w14:paraId="2CA650F9" w14:textId="44B651D4"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037D1882" w14:textId="216E190B"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345" w:type="dxa"/>
            <w:tcBorders>
              <w:top w:val="single" w:sz="4" w:space="0" w:color="auto"/>
              <w:left w:val="nil"/>
              <w:bottom w:val="single" w:sz="4" w:space="0" w:color="auto"/>
              <w:right w:val="single" w:sz="4" w:space="0" w:color="auto"/>
            </w:tcBorders>
            <w:shd w:val="clear" w:color="auto" w:fill="C6EFCE"/>
            <w:noWrap/>
          </w:tcPr>
          <w:p w14:paraId="7121E19B" w14:textId="17C38B79" w:rsidR="007D2EF7" w:rsidRPr="00DD6A04" w:rsidRDefault="007D2EF7" w:rsidP="007D2EF7">
            <w:pPr>
              <w:spacing w:before="0" w:after="0" w:line="240" w:lineRule="auto"/>
              <w:rPr>
                <w:rFonts w:eastAsia="Times New Roman"/>
                <w:noProof/>
                <w:color w:val="006100"/>
                <w:sz w:val="22"/>
              </w:rPr>
            </w:pPr>
            <w:r>
              <w:rPr>
                <w:noProof/>
                <w:color w:val="006100"/>
                <w:sz w:val="22"/>
              </w:rPr>
              <w:t>1300</w:t>
            </w:r>
          </w:p>
        </w:tc>
        <w:tc>
          <w:tcPr>
            <w:tcW w:w="850" w:type="dxa"/>
            <w:tcBorders>
              <w:top w:val="single" w:sz="4" w:space="0" w:color="auto"/>
              <w:left w:val="nil"/>
              <w:bottom w:val="single" w:sz="4" w:space="0" w:color="auto"/>
              <w:right w:val="single" w:sz="4" w:space="0" w:color="auto"/>
            </w:tcBorders>
            <w:shd w:val="clear" w:color="auto" w:fill="C6EFCE"/>
            <w:noWrap/>
          </w:tcPr>
          <w:p w14:paraId="3BD8E1DB" w14:textId="43CA5794" w:rsidR="007D2EF7" w:rsidRPr="00DD6A04" w:rsidRDefault="007D2EF7" w:rsidP="007D2EF7">
            <w:pPr>
              <w:spacing w:before="0" w:after="0" w:line="240" w:lineRule="auto"/>
              <w:rPr>
                <w:rFonts w:eastAsia="Times New Roman"/>
                <w:noProof/>
                <w:color w:val="006100"/>
                <w:sz w:val="22"/>
              </w:rPr>
            </w:pPr>
            <w:r>
              <w:rPr>
                <w:noProof/>
                <w:color w:val="006100"/>
                <w:sz w:val="22"/>
              </w:rPr>
              <w:t>1714</w:t>
            </w:r>
          </w:p>
        </w:tc>
        <w:tc>
          <w:tcPr>
            <w:tcW w:w="851" w:type="dxa"/>
            <w:tcBorders>
              <w:top w:val="single" w:sz="4" w:space="0" w:color="auto"/>
              <w:left w:val="nil"/>
              <w:bottom w:val="single" w:sz="4" w:space="0" w:color="auto"/>
              <w:right w:val="single" w:sz="4" w:space="0" w:color="auto"/>
            </w:tcBorders>
            <w:shd w:val="clear" w:color="auto" w:fill="C6EFCE"/>
            <w:noWrap/>
          </w:tcPr>
          <w:p w14:paraId="0A5D73CA" w14:textId="448EB290"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708" w:type="dxa"/>
            <w:tcBorders>
              <w:top w:val="single" w:sz="4" w:space="0" w:color="auto"/>
              <w:left w:val="nil"/>
              <w:bottom w:val="single" w:sz="4" w:space="0" w:color="auto"/>
              <w:right w:val="single" w:sz="4" w:space="0" w:color="auto"/>
            </w:tcBorders>
            <w:shd w:val="clear" w:color="auto" w:fill="C6EFCE"/>
            <w:noWrap/>
          </w:tcPr>
          <w:p w14:paraId="3E2FCF12" w14:textId="31652A6F"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039" w:type="dxa"/>
            <w:tcBorders>
              <w:top w:val="single" w:sz="4" w:space="0" w:color="auto"/>
              <w:left w:val="nil"/>
              <w:bottom w:val="single" w:sz="4" w:space="0" w:color="auto"/>
              <w:right w:val="single" w:sz="4" w:space="0" w:color="auto"/>
            </w:tcBorders>
            <w:shd w:val="clear" w:color="auto" w:fill="C6EFCE"/>
            <w:noWrap/>
          </w:tcPr>
          <w:p w14:paraId="4B27B257" w14:textId="1119C24A" w:rsidR="007D2EF7" w:rsidRPr="00DD6A04" w:rsidRDefault="007D2EF7" w:rsidP="007D2EF7">
            <w:pPr>
              <w:spacing w:before="0" w:after="0" w:line="240" w:lineRule="auto"/>
              <w:rPr>
                <w:rFonts w:eastAsia="Times New Roman"/>
                <w:noProof/>
                <w:color w:val="006100"/>
                <w:sz w:val="22"/>
              </w:rPr>
            </w:pPr>
            <w:r>
              <w:rPr>
                <w:noProof/>
                <w:color w:val="006100"/>
                <w:sz w:val="22"/>
              </w:rPr>
              <w:t>Število javno dostopnih polnilnih mest v državi naj bi se povečalo s 1 300 na 1 714, razen tistih, predvidenih v ciljih 65 in 66.</w:t>
            </w:r>
          </w:p>
        </w:tc>
      </w:tr>
      <w:bookmarkEnd w:id="11"/>
      <w:tr w:rsidR="00BE4788" w:rsidRPr="00DD6A04" w14:paraId="71E9E368"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0D1D79C3" w14:textId="243F3BD2" w:rsidR="007D2EF7" w:rsidRPr="00DD6A04" w:rsidRDefault="007D2EF7" w:rsidP="007D2EF7">
            <w:pPr>
              <w:spacing w:before="0" w:after="0" w:line="240" w:lineRule="auto"/>
              <w:rPr>
                <w:rFonts w:eastAsia="Times New Roman"/>
                <w:noProof/>
                <w:color w:val="006100"/>
                <w:sz w:val="22"/>
              </w:rPr>
            </w:pPr>
            <w:r>
              <w:rPr>
                <w:noProof/>
                <w:color w:val="006100"/>
                <w:sz w:val="22"/>
              </w:rPr>
              <w:t>65</w:t>
            </w:r>
          </w:p>
        </w:tc>
        <w:tc>
          <w:tcPr>
            <w:tcW w:w="1559" w:type="dxa"/>
            <w:tcBorders>
              <w:top w:val="single" w:sz="4" w:space="0" w:color="auto"/>
              <w:left w:val="nil"/>
              <w:bottom w:val="single" w:sz="4" w:space="0" w:color="auto"/>
              <w:right w:val="single" w:sz="4" w:space="0" w:color="auto"/>
            </w:tcBorders>
            <w:shd w:val="clear" w:color="auto" w:fill="C6EFCE"/>
            <w:noWrap/>
          </w:tcPr>
          <w:p w14:paraId="3ED4E300" w14:textId="28E69DD7" w:rsidR="007D2EF7" w:rsidRPr="00DD6A04" w:rsidRDefault="007D2EF7" w:rsidP="007D2EF7">
            <w:pPr>
              <w:spacing w:before="0" w:after="0" w:line="240" w:lineRule="auto"/>
              <w:rPr>
                <w:rFonts w:eastAsia="Times New Roman"/>
                <w:noProof/>
                <w:color w:val="006100"/>
                <w:sz w:val="22"/>
              </w:rPr>
            </w:pPr>
            <w:r>
              <w:rPr>
                <w:noProof/>
                <w:color w:val="006100"/>
                <w:sz w:val="22"/>
              </w:rPr>
              <w:t>E: Spodbujanje vzpostavitve infrastrukture za alternativna goriva v prometu</w:t>
            </w:r>
          </w:p>
        </w:tc>
        <w:tc>
          <w:tcPr>
            <w:tcW w:w="1134" w:type="dxa"/>
            <w:tcBorders>
              <w:top w:val="single" w:sz="4" w:space="0" w:color="auto"/>
              <w:left w:val="nil"/>
              <w:bottom w:val="single" w:sz="4" w:space="0" w:color="auto"/>
              <w:right w:val="single" w:sz="4" w:space="0" w:color="auto"/>
            </w:tcBorders>
            <w:shd w:val="clear" w:color="auto" w:fill="C6EFCE"/>
            <w:noWrap/>
          </w:tcPr>
          <w:p w14:paraId="08155F31" w14:textId="3241FD93"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36F1910D" w14:textId="28A9BA49" w:rsidR="007D2EF7" w:rsidRPr="00DD6A04" w:rsidRDefault="007D2EF7" w:rsidP="007D2EF7">
            <w:pPr>
              <w:spacing w:before="0" w:after="0" w:line="240" w:lineRule="auto"/>
              <w:rPr>
                <w:rFonts w:eastAsia="Times New Roman"/>
                <w:noProof/>
                <w:color w:val="006100"/>
                <w:sz w:val="22"/>
              </w:rPr>
            </w:pPr>
            <w:r>
              <w:rPr>
                <w:noProof/>
                <w:color w:val="006100"/>
                <w:sz w:val="22"/>
              </w:rPr>
              <w:t xml:space="preserve">Operativna javno dostopna polnilna mesta za električna vozila </w:t>
            </w:r>
          </w:p>
        </w:tc>
        <w:tc>
          <w:tcPr>
            <w:tcW w:w="1805" w:type="dxa"/>
            <w:tcBorders>
              <w:top w:val="single" w:sz="4" w:space="0" w:color="auto"/>
              <w:left w:val="nil"/>
              <w:bottom w:val="single" w:sz="4" w:space="0" w:color="auto"/>
              <w:right w:val="single" w:sz="4" w:space="0" w:color="auto"/>
            </w:tcBorders>
            <w:shd w:val="clear" w:color="auto" w:fill="C6EFCE"/>
            <w:noWrap/>
          </w:tcPr>
          <w:p w14:paraId="6C5666AD" w14:textId="125C39BF"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49ADFB93" w14:textId="772002D7"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345" w:type="dxa"/>
            <w:tcBorders>
              <w:top w:val="single" w:sz="4" w:space="0" w:color="auto"/>
              <w:left w:val="nil"/>
              <w:bottom w:val="single" w:sz="4" w:space="0" w:color="auto"/>
              <w:right w:val="single" w:sz="4" w:space="0" w:color="auto"/>
            </w:tcBorders>
            <w:shd w:val="clear" w:color="auto" w:fill="C6EFCE"/>
            <w:noWrap/>
          </w:tcPr>
          <w:p w14:paraId="329912A4" w14:textId="2219E3A0"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356CE80F" w14:textId="0EEC8AAE" w:rsidR="007D2EF7" w:rsidRPr="00DD6A04" w:rsidRDefault="007D2EF7" w:rsidP="007D2EF7">
            <w:pPr>
              <w:spacing w:before="0" w:after="0" w:line="240" w:lineRule="auto"/>
              <w:rPr>
                <w:rFonts w:eastAsia="Times New Roman"/>
                <w:noProof/>
                <w:color w:val="006100"/>
                <w:sz w:val="22"/>
              </w:rPr>
            </w:pPr>
            <w:r>
              <w:rPr>
                <w:noProof/>
                <w:color w:val="006100"/>
                <w:sz w:val="22"/>
              </w:rPr>
              <w:t>368</w:t>
            </w:r>
          </w:p>
        </w:tc>
        <w:tc>
          <w:tcPr>
            <w:tcW w:w="851" w:type="dxa"/>
            <w:tcBorders>
              <w:top w:val="single" w:sz="4" w:space="0" w:color="auto"/>
              <w:left w:val="nil"/>
              <w:bottom w:val="single" w:sz="4" w:space="0" w:color="auto"/>
              <w:right w:val="single" w:sz="4" w:space="0" w:color="auto"/>
            </w:tcBorders>
            <w:shd w:val="clear" w:color="auto" w:fill="C6EFCE"/>
            <w:noWrap/>
          </w:tcPr>
          <w:p w14:paraId="2E0F500E" w14:textId="18F2B14B"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708" w:type="dxa"/>
            <w:tcBorders>
              <w:top w:val="single" w:sz="4" w:space="0" w:color="auto"/>
              <w:left w:val="nil"/>
              <w:bottom w:val="single" w:sz="4" w:space="0" w:color="auto"/>
              <w:right w:val="single" w:sz="4" w:space="0" w:color="auto"/>
            </w:tcBorders>
            <w:shd w:val="clear" w:color="auto" w:fill="C6EFCE"/>
            <w:noWrap/>
          </w:tcPr>
          <w:p w14:paraId="1C7F034D" w14:textId="31885613"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039" w:type="dxa"/>
            <w:tcBorders>
              <w:top w:val="single" w:sz="4" w:space="0" w:color="auto"/>
              <w:left w:val="nil"/>
              <w:bottom w:val="single" w:sz="4" w:space="0" w:color="auto"/>
              <w:right w:val="single" w:sz="4" w:space="0" w:color="auto"/>
            </w:tcBorders>
            <w:shd w:val="clear" w:color="auto" w:fill="C6EFCE"/>
            <w:noWrap/>
          </w:tcPr>
          <w:p w14:paraId="565AE9D9" w14:textId="77777777" w:rsidR="007D2EF7" w:rsidRPr="00DD6A04" w:rsidRDefault="007D2EF7" w:rsidP="007D2EF7">
            <w:pPr>
              <w:spacing w:before="0" w:after="0" w:line="256" w:lineRule="auto"/>
              <w:rPr>
                <w:rFonts w:eastAsia="Times New Roman"/>
                <w:noProof/>
                <w:color w:val="006100"/>
                <w:sz w:val="22"/>
              </w:rPr>
            </w:pPr>
            <w:r>
              <w:rPr>
                <w:noProof/>
                <w:color w:val="006100"/>
                <w:sz w:val="22"/>
              </w:rPr>
              <w:t xml:space="preserve">Zgrajena in operativna polnilna mesta običajne in visoke moči za električna vozila. </w:t>
            </w:r>
          </w:p>
          <w:p w14:paraId="78CA0697" w14:textId="2390F906" w:rsidR="007D2EF7" w:rsidRPr="00DD6A04" w:rsidRDefault="007D2EF7" w:rsidP="007D2EF7">
            <w:pPr>
              <w:spacing w:before="0" w:after="0" w:line="256" w:lineRule="auto"/>
              <w:rPr>
                <w:rFonts w:eastAsia="Times New Roman"/>
                <w:noProof/>
                <w:color w:val="006100"/>
                <w:sz w:val="22"/>
              </w:rPr>
            </w:pPr>
            <w:r>
              <w:rPr>
                <w:noProof/>
                <w:color w:val="006100"/>
                <w:sz w:val="22"/>
              </w:rPr>
              <w:t>Polnilne postaje bodo v skladu z opredelitvami pojmov iz trenutno veljavne EU zakonodaje in nacionalne zakonodaje na področju infrastrukture za alternativna goriva, vključno z veljavnimi spremembami.</w:t>
            </w:r>
          </w:p>
          <w:p w14:paraId="4FAE6F1F" w14:textId="0BAE1D6B" w:rsidR="007D2EF7" w:rsidRPr="00DD6A04" w:rsidRDefault="007D2EF7" w:rsidP="007D2EF7">
            <w:pPr>
              <w:spacing w:before="0" w:after="0" w:line="240" w:lineRule="auto"/>
              <w:rPr>
                <w:rFonts w:eastAsia="Times New Roman"/>
                <w:noProof/>
                <w:color w:val="006100"/>
                <w:sz w:val="22"/>
                <w:lang w:val="en-GB" w:eastAsia="en-GB"/>
              </w:rPr>
            </w:pPr>
          </w:p>
        </w:tc>
      </w:tr>
      <w:tr w:rsidR="00BE4788" w:rsidRPr="00DD6A04" w14:paraId="0215E3B2" w14:textId="77777777" w:rsidTr="00BE4788">
        <w:trPr>
          <w:trHeight w:val="309"/>
          <w:jc w:val="center"/>
        </w:trPr>
        <w:tc>
          <w:tcPr>
            <w:tcW w:w="1369" w:type="dxa"/>
            <w:tcBorders>
              <w:top w:val="single" w:sz="4" w:space="0" w:color="auto"/>
              <w:left w:val="single" w:sz="4" w:space="0" w:color="auto"/>
              <w:bottom w:val="single" w:sz="4" w:space="0" w:color="auto"/>
              <w:right w:val="single" w:sz="4" w:space="0" w:color="auto"/>
            </w:tcBorders>
            <w:shd w:val="clear" w:color="auto" w:fill="C6EFCE"/>
            <w:noWrap/>
          </w:tcPr>
          <w:p w14:paraId="639BADD4" w14:textId="1C64C5D1" w:rsidR="007D2EF7" w:rsidRPr="00DD6A04" w:rsidRDefault="007D2EF7" w:rsidP="007D2EF7">
            <w:pPr>
              <w:spacing w:before="0" w:after="0" w:line="240" w:lineRule="auto"/>
              <w:rPr>
                <w:rFonts w:eastAsia="Times New Roman"/>
                <w:noProof/>
                <w:color w:val="006100"/>
                <w:sz w:val="22"/>
              </w:rPr>
            </w:pPr>
            <w:r>
              <w:rPr>
                <w:noProof/>
                <w:color w:val="006100"/>
                <w:sz w:val="22"/>
              </w:rPr>
              <w:t>66</w:t>
            </w:r>
          </w:p>
        </w:tc>
        <w:tc>
          <w:tcPr>
            <w:tcW w:w="1559" w:type="dxa"/>
            <w:tcBorders>
              <w:top w:val="single" w:sz="4" w:space="0" w:color="auto"/>
              <w:left w:val="nil"/>
              <w:bottom w:val="single" w:sz="4" w:space="0" w:color="auto"/>
              <w:right w:val="single" w:sz="4" w:space="0" w:color="auto"/>
            </w:tcBorders>
            <w:shd w:val="clear" w:color="auto" w:fill="C6EFCE"/>
            <w:noWrap/>
          </w:tcPr>
          <w:p w14:paraId="666891C7" w14:textId="61059B45" w:rsidR="007D2EF7" w:rsidRPr="00DD6A04" w:rsidRDefault="007D2EF7" w:rsidP="007D2EF7">
            <w:pPr>
              <w:spacing w:before="0" w:after="0" w:line="240" w:lineRule="auto"/>
              <w:rPr>
                <w:rFonts w:eastAsia="Times New Roman"/>
                <w:noProof/>
                <w:color w:val="006100"/>
                <w:sz w:val="22"/>
              </w:rPr>
            </w:pPr>
            <w:r>
              <w:rPr>
                <w:noProof/>
                <w:color w:val="006100"/>
                <w:sz w:val="22"/>
              </w:rPr>
              <w:t>E: Spodbujanje vzpostavitve infrastrukture za alternativna goriva v prometu</w:t>
            </w:r>
          </w:p>
        </w:tc>
        <w:tc>
          <w:tcPr>
            <w:tcW w:w="1134" w:type="dxa"/>
            <w:tcBorders>
              <w:top w:val="single" w:sz="4" w:space="0" w:color="auto"/>
              <w:left w:val="nil"/>
              <w:bottom w:val="single" w:sz="4" w:space="0" w:color="auto"/>
              <w:right w:val="single" w:sz="4" w:space="0" w:color="auto"/>
            </w:tcBorders>
            <w:shd w:val="clear" w:color="auto" w:fill="C6EFCE"/>
            <w:noWrap/>
          </w:tcPr>
          <w:p w14:paraId="54AD717C" w14:textId="2F2296AF" w:rsidR="007D2EF7" w:rsidRPr="00DD6A04" w:rsidRDefault="007D2EF7" w:rsidP="007D2EF7">
            <w:pPr>
              <w:spacing w:before="0" w:after="0" w:line="240" w:lineRule="auto"/>
              <w:rPr>
                <w:rFonts w:eastAsia="Times New Roman"/>
                <w:noProof/>
                <w:color w:val="006100"/>
                <w:sz w:val="22"/>
              </w:rPr>
            </w:pPr>
            <w:r>
              <w:rPr>
                <w:noProof/>
                <w:color w:val="006100"/>
                <w:sz w:val="22"/>
              </w:rPr>
              <w:t>Cilj</w:t>
            </w:r>
          </w:p>
        </w:tc>
        <w:tc>
          <w:tcPr>
            <w:tcW w:w="1559" w:type="dxa"/>
            <w:tcBorders>
              <w:top w:val="single" w:sz="4" w:space="0" w:color="auto"/>
              <w:left w:val="nil"/>
              <w:bottom w:val="single" w:sz="4" w:space="0" w:color="auto"/>
              <w:right w:val="single" w:sz="4" w:space="0" w:color="auto"/>
            </w:tcBorders>
            <w:shd w:val="clear" w:color="auto" w:fill="C6EFCE"/>
            <w:noWrap/>
          </w:tcPr>
          <w:p w14:paraId="1CE774FF" w14:textId="31AB5B3A" w:rsidR="007D2EF7" w:rsidRPr="00DD6A04" w:rsidRDefault="7A4D9C3F" w:rsidP="6B3B27EA">
            <w:pPr>
              <w:spacing w:before="0" w:after="0" w:line="240" w:lineRule="auto"/>
              <w:rPr>
                <w:rFonts w:eastAsia="Times New Roman"/>
                <w:noProof/>
                <w:color w:val="006100"/>
                <w:sz w:val="22"/>
              </w:rPr>
            </w:pPr>
            <w:r>
              <w:rPr>
                <w:noProof/>
                <w:color w:val="006100"/>
                <w:sz w:val="22"/>
              </w:rPr>
              <w:t>Operativna polnilna mesta za električna vozila, ki so v lasti državne uprave</w:t>
            </w:r>
          </w:p>
        </w:tc>
        <w:tc>
          <w:tcPr>
            <w:tcW w:w="1805" w:type="dxa"/>
            <w:tcBorders>
              <w:top w:val="single" w:sz="4" w:space="0" w:color="auto"/>
              <w:left w:val="nil"/>
              <w:bottom w:val="single" w:sz="4" w:space="0" w:color="auto"/>
              <w:right w:val="single" w:sz="4" w:space="0" w:color="auto"/>
            </w:tcBorders>
            <w:shd w:val="clear" w:color="auto" w:fill="C6EFCE"/>
            <w:noWrap/>
          </w:tcPr>
          <w:p w14:paraId="76801108" w14:textId="3A0F00CB" w:rsidR="007D2EF7" w:rsidRPr="00DD6A04" w:rsidRDefault="007D2EF7" w:rsidP="007D2EF7">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2A1A5B2A" w14:textId="6C9E38C5" w:rsidR="007D2EF7" w:rsidRPr="00DD6A04" w:rsidRDefault="007D2EF7" w:rsidP="007D2EF7">
            <w:pPr>
              <w:spacing w:before="0" w:after="0" w:line="240" w:lineRule="auto"/>
              <w:rPr>
                <w:rFonts w:eastAsia="Times New Roman"/>
                <w:noProof/>
                <w:color w:val="006100"/>
                <w:sz w:val="22"/>
              </w:rPr>
            </w:pPr>
            <w:r>
              <w:rPr>
                <w:noProof/>
                <w:color w:val="006100"/>
                <w:sz w:val="22"/>
              </w:rPr>
              <w:t>Število</w:t>
            </w:r>
          </w:p>
        </w:tc>
        <w:tc>
          <w:tcPr>
            <w:tcW w:w="1345" w:type="dxa"/>
            <w:tcBorders>
              <w:top w:val="single" w:sz="4" w:space="0" w:color="auto"/>
              <w:left w:val="nil"/>
              <w:bottom w:val="single" w:sz="4" w:space="0" w:color="auto"/>
              <w:right w:val="single" w:sz="4" w:space="0" w:color="auto"/>
            </w:tcBorders>
            <w:shd w:val="clear" w:color="auto" w:fill="C6EFCE"/>
            <w:noWrap/>
          </w:tcPr>
          <w:p w14:paraId="50282C74" w14:textId="0CF4D348" w:rsidR="007D2EF7" w:rsidRPr="00DD6A04" w:rsidRDefault="007D2EF7" w:rsidP="007D2EF7">
            <w:pPr>
              <w:spacing w:before="0" w:after="0" w:line="240"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303E41F2" w14:textId="15D7933E" w:rsidR="007D2EF7" w:rsidRPr="00DD6A04" w:rsidRDefault="007D2EF7" w:rsidP="007D2EF7">
            <w:pPr>
              <w:spacing w:before="0" w:after="0" w:line="240" w:lineRule="auto"/>
              <w:rPr>
                <w:rFonts w:eastAsia="Times New Roman"/>
                <w:noProof/>
                <w:color w:val="006100"/>
                <w:sz w:val="22"/>
              </w:rPr>
            </w:pPr>
            <w:r>
              <w:rPr>
                <w:noProof/>
                <w:color w:val="006100"/>
                <w:sz w:val="22"/>
              </w:rPr>
              <w:t>80</w:t>
            </w:r>
          </w:p>
        </w:tc>
        <w:tc>
          <w:tcPr>
            <w:tcW w:w="851" w:type="dxa"/>
            <w:tcBorders>
              <w:top w:val="single" w:sz="4" w:space="0" w:color="auto"/>
              <w:left w:val="nil"/>
              <w:bottom w:val="single" w:sz="4" w:space="0" w:color="auto"/>
              <w:right w:val="single" w:sz="4" w:space="0" w:color="auto"/>
            </w:tcBorders>
            <w:shd w:val="clear" w:color="auto" w:fill="C6EFCE"/>
            <w:noWrap/>
          </w:tcPr>
          <w:p w14:paraId="5F74B8A7" w14:textId="0A2105F4" w:rsidR="007D2EF7" w:rsidRPr="00DD6A04" w:rsidRDefault="007D2EF7" w:rsidP="007D2EF7">
            <w:pPr>
              <w:spacing w:before="0" w:after="0" w:line="240" w:lineRule="auto"/>
              <w:rPr>
                <w:rFonts w:eastAsia="Times New Roman"/>
                <w:noProof/>
                <w:color w:val="006100"/>
                <w:sz w:val="22"/>
              </w:rPr>
            </w:pPr>
            <w:r>
              <w:rPr>
                <w:noProof/>
                <w:color w:val="006100"/>
                <w:sz w:val="22"/>
              </w:rPr>
              <w:t>Q4</w:t>
            </w:r>
          </w:p>
        </w:tc>
        <w:tc>
          <w:tcPr>
            <w:tcW w:w="708" w:type="dxa"/>
            <w:tcBorders>
              <w:top w:val="single" w:sz="4" w:space="0" w:color="auto"/>
              <w:left w:val="nil"/>
              <w:bottom w:val="single" w:sz="4" w:space="0" w:color="auto"/>
              <w:right w:val="single" w:sz="4" w:space="0" w:color="auto"/>
            </w:tcBorders>
            <w:shd w:val="clear" w:color="auto" w:fill="C6EFCE"/>
            <w:noWrap/>
          </w:tcPr>
          <w:p w14:paraId="1BDCD369" w14:textId="2FEE2813" w:rsidR="007D2EF7" w:rsidRPr="00DD6A04" w:rsidRDefault="007D2EF7" w:rsidP="007D2EF7">
            <w:pPr>
              <w:spacing w:before="0" w:after="0" w:line="240" w:lineRule="auto"/>
              <w:rPr>
                <w:rFonts w:eastAsia="Times New Roman"/>
                <w:noProof/>
                <w:color w:val="006100"/>
                <w:sz w:val="22"/>
              </w:rPr>
            </w:pPr>
            <w:r>
              <w:rPr>
                <w:noProof/>
                <w:color w:val="006100"/>
                <w:sz w:val="22"/>
              </w:rPr>
              <w:t>2025</w:t>
            </w:r>
          </w:p>
        </w:tc>
        <w:tc>
          <w:tcPr>
            <w:tcW w:w="3039" w:type="dxa"/>
            <w:tcBorders>
              <w:top w:val="single" w:sz="4" w:space="0" w:color="auto"/>
              <w:left w:val="nil"/>
              <w:bottom w:val="single" w:sz="4" w:space="0" w:color="auto"/>
              <w:right w:val="single" w:sz="4" w:space="0" w:color="auto"/>
            </w:tcBorders>
            <w:shd w:val="clear" w:color="auto" w:fill="C6EFCE"/>
            <w:noWrap/>
          </w:tcPr>
          <w:p w14:paraId="5E8430D9" w14:textId="648C539C" w:rsidR="007D2EF7" w:rsidRPr="00DD6A04" w:rsidRDefault="674F4697" w:rsidP="6B3B27EA">
            <w:pPr>
              <w:spacing w:before="0" w:after="0" w:line="256" w:lineRule="auto"/>
              <w:rPr>
                <w:rFonts w:eastAsia="Times New Roman"/>
                <w:noProof/>
                <w:color w:val="006100"/>
                <w:sz w:val="22"/>
              </w:rPr>
            </w:pPr>
            <w:r>
              <w:rPr>
                <w:noProof/>
                <w:color w:val="006100"/>
                <w:sz w:val="22"/>
              </w:rPr>
              <w:t>Cilj zajema infrastrukturo za polnjenje električnih vozil, ki bodo v državni lasti in na voljo državni upravi za izvajanje upravnih nalog.</w:t>
            </w:r>
            <w:r w:rsidR="00037751">
              <w:rPr>
                <w:noProof/>
                <w:color w:val="006100"/>
                <w:sz w:val="22"/>
              </w:rPr>
              <w:t xml:space="preserve"> </w:t>
            </w:r>
            <w:r>
              <w:rPr>
                <w:noProof/>
                <w:color w:val="006100"/>
                <w:sz w:val="22"/>
              </w:rPr>
              <w:t xml:space="preserve">Polnilne postaje bodo v skladu z opredelitvami pojmov iz trenutno veljavne EU zakonodaje in nacionalne zakonodaje na področju infrastrukture za alternativna goriva, vključno z veljavnimi spremembami. </w:t>
            </w:r>
          </w:p>
          <w:p w14:paraId="01A71679" w14:textId="5524631B" w:rsidR="007D2EF7" w:rsidRPr="00DD6A04" w:rsidRDefault="007D2EF7" w:rsidP="007D2EF7">
            <w:pPr>
              <w:spacing w:before="0" w:after="0" w:line="240" w:lineRule="auto"/>
              <w:rPr>
                <w:rFonts w:eastAsia="Times New Roman"/>
                <w:noProof/>
                <w:color w:val="006100"/>
                <w:sz w:val="22"/>
                <w:lang w:val="en-GB" w:eastAsia="en-GB"/>
              </w:rPr>
            </w:pPr>
          </w:p>
        </w:tc>
      </w:tr>
    </w:tbl>
    <w:p w14:paraId="604C5A61" w14:textId="4A5C2A5C" w:rsidR="007D2EF7" w:rsidRPr="00DD6A04" w:rsidRDefault="007D2EF7" w:rsidP="003C6015">
      <w:pPr>
        <w:spacing w:line="240" w:lineRule="auto"/>
        <w:ind w:left="850"/>
        <w:jc w:val="both"/>
        <w:rPr>
          <w:b/>
          <w:noProof/>
          <w:u w:val="single"/>
          <w:lang w:val="en-GB"/>
        </w:rPr>
      </w:pPr>
    </w:p>
    <w:p w14:paraId="25285AD4" w14:textId="77777777" w:rsidR="003C6015" w:rsidRPr="00DD6A04" w:rsidRDefault="003C6015" w:rsidP="007D2EF7">
      <w:pPr>
        <w:spacing w:line="240" w:lineRule="auto"/>
        <w:jc w:val="both"/>
        <w:rPr>
          <w:noProof/>
          <w:sz w:val="22"/>
          <w:lang w:val="en-GB"/>
        </w:rPr>
      </w:pPr>
    </w:p>
    <w:p w14:paraId="18314CA9" w14:textId="77777777" w:rsidR="003C6015" w:rsidRPr="00DD6A04" w:rsidRDefault="003C6015" w:rsidP="003C6015">
      <w:pPr>
        <w:spacing w:before="0" w:after="0" w:line="240" w:lineRule="auto"/>
        <w:rPr>
          <w:noProof/>
          <w:lang w:val="en-GB"/>
        </w:rPr>
        <w:sectPr w:rsidR="003C6015" w:rsidRPr="00DD6A04" w:rsidSect="00073927">
          <w:headerReference w:type="even" r:id="rId96"/>
          <w:headerReference w:type="default" r:id="rId97"/>
          <w:footerReference w:type="even" r:id="rId98"/>
          <w:footerReference w:type="default" r:id="rId99"/>
          <w:headerReference w:type="first" r:id="rId100"/>
          <w:footerReference w:type="first" r:id="rId101"/>
          <w:pgSz w:w="16839" w:h="11907" w:orient="landscape"/>
          <w:pgMar w:top="1134" w:right="1134" w:bottom="1134" w:left="1134" w:header="567" w:footer="567" w:gutter="0"/>
          <w:cols w:space="720"/>
          <w:docGrid w:linePitch="326"/>
        </w:sectPr>
      </w:pPr>
    </w:p>
    <w:p w14:paraId="3656BA79" w14:textId="468376E9" w:rsidR="003C6015" w:rsidRPr="00DD6A04" w:rsidRDefault="003C6015" w:rsidP="003C6015">
      <w:pPr>
        <w:spacing w:line="240" w:lineRule="auto"/>
        <w:jc w:val="both"/>
        <w:rPr>
          <w:b/>
          <w:i/>
          <w:noProof/>
          <w:color w:val="4F81BD"/>
        </w:rPr>
      </w:pPr>
      <w:r>
        <w:rPr>
          <w:b/>
          <w:noProof/>
        </w:rPr>
        <w:t xml:space="preserve">D.3 </w:t>
      </w:r>
      <w:r>
        <w:rPr>
          <w:noProof/>
        </w:rPr>
        <w:tab/>
      </w:r>
      <w:r>
        <w:rPr>
          <w:b/>
          <w:noProof/>
        </w:rPr>
        <w:t xml:space="preserve">Opis reform in naložb za pridobitev posojila </w:t>
      </w:r>
    </w:p>
    <w:p w14:paraId="0F7B0D96" w14:textId="52FA5200" w:rsidR="0015712B" w:rsidRPr="00DD6A04" w:rsidRDefault="0015712B" w:rsidP="0015712B">
      <w:pPr>
        <w:spacing w:line="240" w:lineRule="auto"/>
        <w:jc w:val="both"/>
        <w:rPr>
          <w:rFonts w:eastAsia="Times New Roman"/>
          <w:noProof/>
          <w:u w:val="single"/>
        </w:rPr>
      </w:pPr>
      <w:r>
        <w:rPr>
          <w:noProof/>
          <w:u w:val="single"/>
        </w:rPr>
        <w:t>Reforma F.</w:t>
      </w:r>
      <w:r w:rsidR="00037751">
        <w:rPr>
          <w:noProof/>
          <w:u w:val="single"/>
        </w:rPr>
        <w:t xml:space="preserve"> </w:t>
      </w:r>
      <w:r>
        <w:rPr>
          <w:noProof/>
          <w:u w:val="single"/>
        </w:rPr>
        <w:t xml:space="preserve">Nadaljnje uvajanje infrastrukture za alternativna goriva </w:t>
      </w:r>
    </w:p>
    <w:p w14:paraId="7EC4F6D9" w14:textId="23824178" w:rsidR="0015712B" w:rsidRPr="00DD6A04" w:rsidRDefault="0015712B" w:rsidP="0015712B">
      <w:pPr>
        <w:spacing w:line="240" w:lineRule="auto"/>
        <w:jc w:val="both"/>
        <w:rPr>
          <w:rFonts w:eastAsia="Times New Roman"/>
          <w:noProof/>
        </w:rPr>
      </w:pPr>
      <w:r>
        <w:rPr>
          <w:noProof/>
        </w:rPr>
        <w:t xml:space="preserve">Cilj te reforme je olajšati pospešeno uvajanje infrastrukture za alternativna goriva v prometnem sektorju. Cilj reforme je vzpostaviti sistem za strateško načrtovanje in postavitev infrastrukture za alternativna goriva, vključitev v elektroenergetski sistem in financiranje prometa brez emisij. </w:t>
      </w:r>
    </w:p>
    <w:p w14:paraId="653EEE59" w14:textId="246984DB" w:rsidR="0015712B" w:rsidRPr="00DD6A04" w:rsidRDefault="0015712B" w:rsidP="0015712B">
      <w:pPr>
        <w:spacing w:line="240" w:lineRule="auto"/>
        <w:jc w:val="both"/>
        <w:rPr>
          <w:rFonts w:eastAsia="Times New Roman"/>
          <w:noProof/>
        </w:rPr>
      </w:pPr>
      <w:r>
        <w:rPr>
          <w:noProof/>
        </w:rPr>
        <w:t>Z reformo se vzpostavi nacionalni mehanizem spodbud za uvajanje infrastrukture za alternativna goriva v prometu z (i) uvedbo novega okvira politike, ki zajema strateško načrtovanje in upravljanje infrastrukture za alternativna goriva (vzpostavitev in delovanje javne službe), (ii) pripravo državnih in lokalnih načrtov polnilne infrastrukture ter vzpostavitvijo nacionalne digitalne platforme za spodbujanje investicij ter (iii) uvedbo sistemskega vira financiranja za postavitev strateško načrtovane infrastrukture za alternativna goriva in prehod na čista vozila.</w:t>
      </w:r>
    </w:p>
    <w:p w14:paraId="3A4AAE90" w14:textId="77777777" w:rsidR="0015712B" w:rsidRPr="00DD6A04" w:rsidRDefault="0015712B" w:rsidP="0015712B">
      <w:pPr>
        <w:spacing w:line="240" w:lineRule="auto"/>
        <w:jc w:val="both"/>
        <w:rPr>
          <w:rFonts w:eastAsia="Times New Roman"/>
          <w:noProof/>
          <w:color w:val="000000" w:themeColor="text1"/>
        </w:rPr>
      </w:pPr>
      <w:r>
        <w:rPr>
          <w:noProof/>
        </w:rPr>
        <w:t xml:space="preserve">Reforma se izvede z začetkom veljavnosti </w:t>
      </w:r>
      <w:r>
        <w:rPr>
          <w:noProof/>
          <w:color w:val="000000" w:themeColor="text1"/>
        </w:rPr>
        <w:t>Zakona o infrastrukturi za alternativna goriva in spodbujanju prehoda na alternativna goriva v prometu.</w:t>
      </w:r>
    </w:p>
    <w:p w14:paraId="5E17A92C" w14:textId="77777777" w:rsidR="0015712B" w:rsidRPr="00DD6A04" w:rsidRDefault="0015712B" w:rsidP="0015712B">
      <w:pPr>
        <w:spacing w:line="240" w:lineRule="auto"/>
        <w:jc w:val="both"/>
        <w:rPr>
          <w:rFonts w:eastAsia="Times New Roman"/>
          <w:noProof/>
        </w:rPr>
      </w:pPr>
      <w:r>
        <w:rPr>
          <w:noProof/>
        </w:rPr>
        <w:t>Ukrep se izvede do 30. junija 2023.</w:t>
      </w:r>
    </w:p>
    <w:p w14:paraId="383C8DF2" w14:textId="1D14640F" w:rsidR="003C6015" w:rsidRPr="00DD6A04" w:rsidRDefault="003C6015" w:rsidP="00CF5FDB">
      <w:pPr>
        <w:spacing w:line="240" w:lineRule="auto"/>
        <w:jc w:val="both"/>
        <w:rPr>
          <w:noProof/>
          <w:u w:val="single"/>
        </w:rPr>
      </w:pPr>
      <w:r>
        <w:rPr>
          <w:noProof/>
          <w:u w:val="single"/>
        </w:rPr>
        <w:t>Investicija C. Dodatno povečanje zmogljivosti železniške infrastrukture</w:t>
      </w:r>
    </w:p>
    <w:p w14:paraId="541A3CC3" w14:textId="34C139AA" w:rsidR="003C6015" w:rsidRPr="00DD6A04" w:rsidRDefault="003C6015" w:rsidP="63AD9947">
      <w:pPr>
        <w:spacing w:line="240" w:lineRule="auto"/>
        <w:jc w:val="both"/>
        <w:rPr>
          <w:rFonts w:eastAsia="Times New Roman"/>
          <w:noProof/>
          <w:szCs w:val="24"/>
        </w:rPr>
      </w:pPr>
      <w:r>
        <w:rPr>
          <w:noProof/>
        </w:rPr>
        <w:t xml:space="preserve">Cilj investicije je spodbujati železniški promet in povezljivost z mestnimi središči s pomočjo povečanja zmogljivosti železniške infrastrukture. Cilj investicije je tudi izboljšanje dostopnosti železniških postaj za širše prebivalstvo, vključno z invalidi. </w:t>
      </w:r>
    </w:p>
    <w:p w14:paraId="5BBB0687" w14:textId="73CDFC88" w:rsidR="003C6015" w:rsidRPr="00DD6A04" w:rsidRDefault="56F5B2E5" w:rsidP="00F21E0B">
      <w:pPr>
        <w:spacing w:line="240" w:lineRule="auto"/>
        <w:jc w:val="both"/>
        <w:rPr>
          <w:rFonts w:eastAsia="Times New Roman"/>
          <w:noProof/>
          <w:szCs w:val="24"/>
        </w:rPr>
      </w:pPr>
      <w:r>
        <w:rPr>
          <w:noProof/>
        </w:rPr>
        <w:t>Cilj izbranih projektov bo izboljšati prevozne storitve za potniški in tovorni promet, in sicer z:</w:t>
      </w:r>
    </w:p>
    <w:p w14:paraId="4BB2FBE7" w14:textId="343B77B4" w:rsidR="003C6015" w:rsidRPr="00DD6A04" w:rsidRDefault="56F5B2E5" w:rsidP="00F21E0B">
      <w:pPr>
        <w:pStyle w:val="ListParagraph"/>
        <w:numPr>
          <w:ilvl w:val="0"/>
          <w:numId w:val="50"/>
        </w:numPr>
        <w:spacing w:after="0" w:line="240" w:lineRule="auto"/>
        <w:jc w:val="both"/>
        <w:rPr>
          <w:rFonts w:eastAsia="Times New Roman"/>
          <w:noProof/>
          <w:szCs w:val="24"/>
        </w:rPr>
      </w:pPr>
      <w:r>
        <w:rPr>
          <w:rFonts w:ascii="Times New Roman" w:hAnsi="Times New Roman"/>
          <w:noProof/>
          <w:sz w:val="24"/>
        </w:rPr>
        <w:t xml:space="preserve">nadgradnjo železniške postaje Ljubljana, </w:t>
      </w:r>
    </w:p>
    <w:p w14:paraId="28CCDA6C" w14:textId="405DDC13" w:rsidR="003C6015" w:rsidRPr="00DD6A04" w:rsidRDefault="56F5B2E5" w:rsidP="00F21E0B">
      <w:pPr>
        <w:pStyle w:val="ListParagraph"/>
        <w:numPr>
          <w:ilvl w:val="0"/>
          <w:numId w:val="50"/>
        </w:numPr>
        <w:spacing w:after="0" w:line="240" w:lineRule="auto"/>
        <w:jc w:val="both"/>
        <w:rPr>
          <w:rFonts w:eastAsia="Times New Roman"/>
          <w:noProof/>
          <w:szCs w:val="24"/>
        </w:rPr>
      </w:pPr>
      <w:r>
        <w:rPr>
          <w:rFonts w:ascii="Times New Roman" w:hAnsi="Times New Roman"/>
          <w:noProof/>
          <w:sz w:val="24"/>
        </w:rPr>
        <w:t xml:space="preserve">nadgradnjo železniške postaje Nova Gorica, </w:t>
      </w:r>
    </w:p>
    <w:p w14:paraId="5A744852" w14:textId="2BF02D89" w:rsidR="003C6015" w:rsidRPr="00DD6A04" w:rsidRDefault="56F5B2E5" w:rsidP="00F21E0B">
      <w:pPr>
        <w:pStyle w:val="ListParagraph"/>
        <w:numPr>
          <w:ilvl w:val="0"/>
          <w:numId w:val="50"/>
        </w:numPr>
        <w:spacing w:after="0" w:line="240" w:lineRule="auto"/>
        <w:jc w:val="both"/>
        <w:rPr>
          <w:rFonts w:eastAsia="Times New Roman"/>
          <w:noProof/>
          <w:szCs w:val="24"/>
        </w:rPr>
      </w:pPr>
      <w:r>
        <w:rPr>
          <w:rFonts w:ascii="Times New Roman" w:hAnsi="Times New Roman"/>
          <w:noProof/>
          <w:sz w:val="24"/>
        </w:rPr>
        <w:t>nadgradnjo odsekov na regionalni železniški progi Jesenice–Sežana, regionalni železniški progi Maribor–Prevalje–državna meja in železniški progi Ljubljana–Divača.</w:t>
      </w:r>
    </w:p>
    <w:p w14:paraId="7063F229" w14:textId="77777777" w:rsidR="003F70C2" w:rsidRPr="00DD6A04" w:rsidRDefault="003F70C2" w:rsidP="00F21E0B">
      <w:pPr>
        <w:spacing w:before="0" w:after="0" w:line="240" w:lineRule="auto"/>
        <w:jc w:val="both"/>
        <w:rPr>
          <w:rFonts w:eastAsia="Times New Roman"/>
          <w:noProof/>
          <w:szCs w:val="24"/>
          <w:lang w:val="en-GB"/>
        </w:rPr>
      </w:pPr>
    </w:p>
    <w:p w14:paraId="3A9A8540" w14:textId="605A04C7" w:rsidR="003F70C2" w:rsidRPr="00DD6A04" w:rsidRDefault="003F70C2" w:rsidP="00F21E0B">
      <w:pPr>
        <w:spacing w:before="0" w:after="0" w:line="240" w:lineRule="auto"/>
        <w:jc w:val="both"/>
        <w:rPr>
          <w:rFonts w:eastAsia="Times New Roman"/>
          <w:noProof/>
          <w:szCs w:val="24"/>
          <w:lang w:val="en-GB"/>
        </w:rPr>
      </w:pPr>
    </w:p>
    <w:p w14:paraId="667DF8DD" w14:textId="2EFA73C4" w:rsidR="003F70C2" w:rsidRPr="00DD6A04" w:rsidRDefault="56F5B2E5" w:rsidP="00F21E0B">
      <w:pPr>
        <w:spacing w:before="0" w:after="0" w:line="240" w:lineRule="auto"/>
        <w:jc w:val="both"/>
        <w:rPr>
          <w:rFonts w:eastAsia="Times New Roman"/>
          <w:noProof/>
          <w:szCs w:val="24"/>
        </w:rPr>
      </w:pPr>
      <w:r>
        <w:rPr>
          <w:noProof/>
        </w:rPr>
        <w:t xml:space="preserve">Investicije bodo omogočile izboljšanje učinkovitosti železniškega prometa za končne uporabnike. </w:t>
      </w:r>
      <w:r>
        <w:rPr>
          <w:noProof/>
          <w:color w:val="000000" w:themeColor="text1"/>
        </w:rPr>
        <w:t xml:space="preserve">Prenova železniške postaje v Ljubljani bo povečala kapacitete za tovorni in potniški promet v širšem mestnem območju. </w:t>
      </w:r>
      <w:r>
        <w:rPr>
          <w:noProof/>
        </w:rPr>
        <w:t xml:space="preserve">Z dokončano investicijo na odseku Ljubljana–Divača se pričakuje, da bosta ti investiciji izboljšali omrežje TEN-T in prispevali k boljši povezljivosti. Cilj nadgradnje železniške proge Ljubljana–Divača je povečanje varnosti odseka z nadgrajenimi varovanimi cestnimi prehodi. Odsek Ljubljana–Brezovica–Borovnica železniške proge Ljubljana–Divača je sofinanciran tako iz sredstev RRF kot iz nacionalnih sredstev. </w:t>
      </w:r>
    </w:p>
    <w:p w14:paraId="676F3882" w14:textId="77777777" w:rsidR="002A0030" w:rsidRPr="00DD6A04" w:rsidRDefault="002A0030" w:rsidP="00F21E0B">
      <w:pPr>
        <w:spacing w:before="0" w:after="0" w:line="240" w:lineRule="auto"/>
        <w:jc w:val="both"/>
        <w:rPr>
          <w:rFonts w:eastAsia="Times New Roman"/>
          <w:noProof/>
          <w:szCs w:val="24"/>
          <w:lang w:val="en-GB"/>
        </w:rPr>
      </w:pPr>
    </w:p>
    <w:p w14:paraId="1E6247A1" w14:textId="09FB83AB" w:rsidR="003F70C2" w:rsidRPr="00DD6A04" w:rsidRDefault="00C0541B" w:rsidP="00F21E0B">
      <w:pPr>
        <w:spacing w:before="0" w:after="0" w:line="240" w:lineRule="auto"/>
        <w:jc w:val="both"/>
        <w:rPr>
          <w:rFonts w:eastAsia="Times New Roman"/>
          <w:noProof/>
          <w:szCs w:val="24"/>
        </w:rPr>
      </w:pPr>
      <w:r>
        <w:rPr>
          <w:noProof/>
        </w:rPr>
        <w:t xml:space="preserve">Prenova železniške postaje Nova Gorica bo potnikom omogočila dodatno dostopnost. </w:t>
      </w:r>
    </w:p>
    <w:p w14:paraId="779DD2CC" w14:textId="77777777" w:rsidR="003F70C2" w:rsidRPr="00DD6A04" w:rsidRDefault="003F70C2" w:rsidP="00F21E0B">
      <w:pPr>
        <w:spacing w:before="0" w:after="0" w:line="240" w:lineRule="auto"/>
        <w:jc w:val="both"/>
        <w:rPr>
          <w:rFonts w:eastAsia="Times New Roman"/>
          <w:noProof/>
          <w:szCs w:val="24"/>
          <w:lang w:val="en-GB"/>
        </w:rPr>
      </w:pPr>
    </w:p>
    <w:p w14:paraId="397F28D4" w14:textId="10F6DF23" w:rsidR="002A0030" w:rsidRPr="00DD6A04" w:rsidRDefault="003F70C2" w:rsidP="00F21E0B">
      <w:pPr>
        <w:spacing w:before="0" w:after="0" w:line="240" w:lineRule="auto"/>
        <w:jc w:val="both"/>
        <w:rPr>
          <w:rFonts w:eastAsia="Times New Roman"/>
          <w:noProof/>
        </w:rPr>
      </w:pPr>
      <w:r>
        <w:rPr>
          <w:noProof/>
        </w:rPr>
        <w:t>Regionalni železniški progi Jesenice–Sežana na odseku Bled Jezero–Bohinjska Bistrica ter Maribor–Prevalje–državna meja in na odseku Sveti Daniel–Dravograd–državna meja se nahajata na območjih, ki sta bili prizadeti v letošnjih naravnih nesrečah (2023). Prenova obeh odsekov bo izboljšala dostopnost teh dveh regij po železnici.</w:t>
      </w:r>
    </w:p>
    <w:p w14:paraId="20427D21" w14:textId="77777777" w:rsidR="002A0030" w:rsidRPr="00DD6A04" w:rsidRDefault="002A0030" w:rsidP="00F21E0B">
      <w:pPr>
        <w:spacing w:before="0" w:after="0" w:line="240" w:lineRule="auto"/>
        <w:jc w:val="both"/>
        <w:rPr>
          <w:rFonts w:eastAsia="Times New Roman"/>
          <w:noProof/>
          <w:lang w:val="en-GB"/>
        </w:rPr>
      </w:pPr>
    </w:p>
    <w:p w14:paraId="74381CE1" w14:textId="5E34BD20" w:rsidR="003F70C2" w:rsidRPr="00DD6A04" w:rsidRDefault="003F70C2" w:rsidP="003F70C2">
      <w:pPr>
        <w:spacing w:before="0" w:after="0" w:line="240" w:lineRule="auto"/>
        <w:jc w:val="both"/>
        <w:rPr>
          <w:rFonts w:eastAsia="Times New Roman"/>
          <w:noProof/>
          <w:szCs w:val="24"/>
        </w:rPr>
      </w:pPr>
      <w:r>
        <w:rPr>
          <w:noProof/>
        </w:rPr>
        <w:t>Mejniki in cilji v zvezi z izvedbo investicije bodo doseženi do 30. junija 2026.</w:t>
      </w:r>
    </w:p>
    <w:p w14:paraId="4BD4F97B" w14:textId="77777777" w:rsidR="003C6015" w:rsidRPr="00DD6A04" w:rsidRDefault="003C6015" w:rsidP="00165D9D">
      <w:pPr>
        <w:rPr>
          <w:noProof/>
          <w:lang w:val="en-GB"/>
        </w:rPr>
        <w:sectPr w:rsidR="003C6015" w:rsidRPr="00DD6A04" w:rsidSect="00073927">
          <w:headerReference w:type="even" r:id="rId102"/>
          <w:headerReference w:type="default" r:id="rId103"/>
          <w:footerReference w:type="even" r:id="rId104"/>
          <w:footerReference w:type="default" r:id="rId105"/>
          <w:headerReference w:type="first" r:id="rId106"/>
          <w:footerReference w:type="first" r:id="rId107"/>
          <w:pgSz w:w="11907" w:h="16839"/>
          <w:pgMar w:top="1134" w:right="1134" w:bottom="1134" w:left="1134" w:header="567" w:footer="567" w:gutter="0"/>
          <w:cols w:space="720"/>
          <w:docGrid w:linePitch="326"/>
        </w:sectPr>
      </w:pPr>
    </w:p>
    <w:p w14:paraId="230190AE" w14:textId="2D4BB2F9" w:rsidR="003C6015" w:rsidRPr="00DD6A04" w:rsidRDefault="003C6015" w:rsidP="003C6015">
      <w:pPr>
        <w:spacing w:line="240" w:lineRule="auto"/>
        <w:ind w:left="850"/>
        <w:jc w:val="both"/>
        <w:rPr>
          <w:b/>
          <w:noProof/>
          <w:u w:val="single"/>
        </w:rPr>
      </w:pPr>
      <w:r>
        <w:rPr>
          <w:b/>
          <w:noProof/>
          <w:u w:val="single"/>
        </w:rPr>
        <w:t xml:space="preserve">D.4 </w:t>
      </w:r>
      <w:r>
        <w:rPr>
          <w:noProof/>
        </w:rPr>
        <w:tab/>
      </w:r>
      <w:r>
        <w:rPr>
          <w:b/>
          <w:noProof/>
          <w:u w:val="single"/>
        </w:rPr>
        <w:t xml:space="preserve">Mejniki, cilji, kazalniki in časovni razpored za spremljanje in izvajanje posojila </w:t>
      </w:r>
    </w:p>
    <w:p w14:paraId="054AB1A0" w14:textId="77777777" w:rsidR="003C6015" w:rsidRPr="00DD6A04" w:rsidRDefault="003C6015" w:rsidP="003C6015">
      <w:pPr>
        <w:spacing w:line="240" w:lineRule="auto"/>
        <w:ind w:left="709"/>
        <w:jc w:val="both"/>
        <w:rPr>
          <w:noProof/>
          <w:szCs w:val="24"/>
          <w:lang w:val="en-GB"/>
        </w:rPr>
      </w:pPr>
    </w:p>
    <w:tbl>
      <w:tblPr>
        <w:tblW w:w="15162" w:type="dxa"/>
        <w:jc w:val="center"/>
        <w:tblLayout w:type="fixed"/>
        <w:tblLook w:val="04A0" w:firstRow="1" w:lastRow="0" w:firstColumn="1" w:lastColumn="0" w:noHBand="0" w:noVBand="1"/>
      </w:tblPr>
      <w:tblGrid>
        <w:gridCol w:w="1381"/>
        <w:gridCol w:w="1195"/>
        <w:gridCol w:w="1122"/>
        <w:gridCol w:w="1701"/>
        <w:gridCol w:w="1675"/>
        <w:gridCol w:w="1103"/>
        <w:gridCol w:w="1269"/>
        <w:gridCol w:w="946"/>
        <w:gridCol w:w="1018"/>
        <w:gridCol w:w="888"/>
        <w:gridCol w:w="2864"/>
      </w:tblGrid>
      <w:tr w:rsidR="000F657A" w:rsidRPr="00DD6A04" w14:paraId="3F4074F6" w14:textId="77777777" w:rsidTr="00BE4788">
        <w:trPr>
          <w:trHeight w:val="740"/>
          <w:tblHeader/>
          <w:jc w:val="center"/>
        </w:trPr>
        <w:tc>
          <w:tcPr>
            <w:tcW w:w="13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55E5DB" w14:textId="77777777" w:rsidR="000F657A" w:rsidRPr="00DD6A04" w:rsidRDefault="000F657A" w:rsidP="0094251A">
            <w:pPr>
              <w:spacing w:before="0" w:after="0" w:line="240" w:lineRule="auto"/>
              <w:jc w:val="center"/>
              <w:rPr>
                <w:rFonts w:eastAsia="Times New Roman"/>
                <w:b/>
                <w:bCs/>
                <w:noProof/>
              </w:rPr>
            </w:pPr>
            <w:r>
              <w:rPr>
                <w:b/>
                <w:noProof/>
              </w:rPr>
              <w:t>Zaporedna številka</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5FB7E8" w14:textId="77777777" w:rsidR="000F657A" w:rsidRPr="00DD6A04" w:rsidRDefault="000F657A" w:rsidP="0094251A">
            <w:pPr>
              <w:spacing w:before="0" w:after="0" w:line="240" w:lineRule="auto"/>
              <w:jc w:val="center"/>
              <w:rPr>
                <w:rFonts w:eastAsia="Times New Roman"/>
                <w:b/>
                <w:bCs/>
                <w:noProof/>
              </w:rPr>
            </w:pPr>
            <w:r>
              <w:rPr>
                <w:b/>
                <w:noProof/>
              </w:rPr>
              <w:t>Povezani ukrep (reforma ali naložba)</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1F25B5" w14:textId="77777777" w:rsidR="000F657A" w:rsidRPr="00DD6A04" w:rsidRDefault="000F657A" w:rsidP="0094251A">
            <w:pPr>
              <w:spacing w:before="0" w:after="0" w:line="240" w:lineRule="auto"/>
              <w:jc w:val="center"/>
              <w:rPr>
                <w:rFonts w:eastAsia="Times New Roman"/>
                <w:b/>
                <w:bCs/>
                <w:noProof/>
              </w:rPr>
            </w:pPr>
            <w:r>
              <w:rPr>
                <w:b/>
                <w:noProof/>
              </w:rPr>
              <w:t>Mejnik/cilj</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5DF67635" w14:textId="77777777" w:rsidR="000F657A" w:rsidRPr="00DD6A04" w:rsidRDefault="000F657A" w:rsidP="0094251A">
            <w:pPr>
              <w:spacing w:before="0" w:after="0" w:line="240" w:lineRule="auto"/>
              <w:jc w:val="center"/>
              <w:rPr>
                <w:rFonts w:eastAsia="Times New Roman"/>
                <w:b/>
                <w:bCs/>
                <w:noProof/>
              </w:rPr>
            </w:pPr>
            <w:r>
              <w:rPr>
                <w:b/>
                <w:noProof/>
              </w:rPr>
              <w:t>Ime</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21A6FE" w14:textId="77777777" w:rsidR="000F657A" w:rsidRPr="00DD6A04" w:rsidRDefault="000F657A" w:rsidP="0094251A">
            <w:pPr>
              <w:spacing w:before="0" w:after="0" w:line="240" w:lineRule="auto"/>
              <w:jc w:val="center"/>
              <w:rPr>
                <w:rFonts w:eastAsia="Times New Roman"/>
                <w:b/>
                <w:bCs/>
                <w:noProof/>
              </w:rPr>
            </w:pPr>
            <w:r>
              <w:rPr>
                <w:b/>
                <w:noProof/>
              </w:rPr>
              <w:t>Kvalitativni kazalniki</w:t>
            </w:r>
            <w:r>
              <w:rPr>
                <w:noProof/>
              </w:rPr>
              <w:t xml:space="preserve"> </w:t>
            </w:r>
            <w:r>
              <w:rPr>
                <w:b/>
                <w:noProof/>
              </w:rPr>
              <w:t>(za mejnike)</w:t>
            </w:r>
          </w:p>
        </w:tc>
        <w:tc>
          <w:tcPr>
            <w:tcW w:w="3318" w:type="dxa"/>
            <w:gridSpan w:val="3"/>
            <w:tcBorders>
              <w:top w:val="single" w:sz="4" w:space="0" w:color="auto"/>
              <w:left w:val="nil"/>
              <w:bottom w:val="single" w:sz="4" w:space="0" w:color="auto"/>
              <w:right w:val="single" w:sz="4" w:space="0" w:color="auto"/>
            </w:tcBorders>
            <w:shd w:val="clear" w:color="auto" w:fill="BDD7EE"/>
            <w:vAlign w:val="center"/>
            <w:hideMark/>
          </w:tcPr>
          <w:p w14:paraId="4D105303" w14:textId="77777777" w:rsidR="000F657A" w:rsidRPr="00DD6A04" w:rsidRDefault="000F657A" w:rsidP="0094251A">
            <w:pPr>
              <w:spacing w:before="0" w:after="0" w:line="240" w:lineRule="auto"/>
              <w:jc w:val="center"/>
              <w:rPr>
                <w:rFonts w:eastAsia="Times New Roman"/>
                <w:b/>
                <w:bCs/>
                <w:noProof/>
              </w:rPr>
            </w:pPr>
            <w:r>
              <w:rPr>
                <w:b/>
                <w:noProof/>
              </w:rPr>
              <w:t>Kvantitativni kazalniki</w:t>
            </w:r>
            <w:r>
              <w:rPr>
                <w:noProof/>
              </w:rPr>
              <w:t xml:space="preserve"> </w:t>
            </w:r>
            <w:r>
              <w:rPr>
                <w:b/>
                <w:noProof/>
              </w:rPr>
              <w:t>(za cilje)</w:t>
            </w:r>
          </w:p>
        </w:tc>
        <w:tc>
          <w:tcPr>
            <w:tcW w:w="1906" w:type="dxa"/>
            <w:gridSpan w:val="2"/>
            <w:tcBorders>
              <w:top w:val="single" w:sz="4" w:space="0" w:color="auto"/>
              <w:left w:val="nil"/>
              <w:bottom w:val="single" w:sz="4" w:space="0" w:color="auto"/>
              <w:right w:val="single" w:sz="4" w:space="0" w:color="auto"/>
            </w:tcBorders>
            <w:shd w:val="clear" w:color="auto" w:fill="BDD7EE"/>
            <w:vAlign w:val="center"/>
            <w:hideMark/>
          </w:tcPr>
          <w:p w14:paraId="064D73C8" w14:textId="77777777" w:rsidR="000F657A" w:rsidRPr="00DD6A04" w:rsidRDefault="000F657A" w:rsidP="0094251A">
            <w:pPr>
              <w:spacing w:before="0" w:after="0" w:line="240" w:lineRule="auto"/>
              <w:jc w:val="center"/>
              <w:rPr>
                <w:rFonts w:eastAsia="Times New Roman"/>
                <w:b/>
                <w:bCs/>
                <w:noProof/>
              </w:rPr>
            </w:pPr>
            <w:r>
              <w:rPr>
                <w:b/>
                <w:noProof/>
              </w:rPr>
              <w:t xml:space="preserve">Okvirni časovni razpored za dokončanje </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5F8364" w14:textId="77777777" w:rsidR="000F657A" w:rsidRPr="00DD6A04" w:rsidRDefault="000F657A" w:rsidP="0094251A">
            <w:pPr>
              <w:spacing w:before="0" w:after="0" w:line="240" w:lineRule="auto"/>
              <w:jc w:val="center"/>
              <w:rPr>
                <w:rFonts w:eastAsia="Times New Roman"/>
                <w:b/>
                <w:bCs/>
                <w:noProof/>
              </w:rPr>
            </w:pPr>
            <w:r>
              <w:rPr>
                <w:b/>
                <w:noProof/>
              </w:rPr>
              <w:t>Opis vsakega mejnika in cilja</w:t>
            </w:r>
          </w:p>
        </w:tc>
      </w:tr>
      <w:tr w:rsidR="000F657A" w:rsidRPr="00DD6A04" w14:paraId="45B677A9" w14:textId="77777777" w:rsidTr="00BE4788">
        <w:trPr>
          <w:trHeight w:val="751"/>
          <w:tblHeader/>
          <w:jc w:val="center"/>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26D3CED8" w14:textId="77777777" w:rsidR="000F657A" w:rsidRPr="00DD6A04" w:rsidRDefault="000F657A" w:rsidP="0094251A">
            <w:pPr>
              <w:spacing w:before="0" w:after="0" w:line="240" w:lineRule="auto"/>
              <w:rPr>
                <w:rFonts w:eastAsia="Times New Roman"/>
                <w:b/>
                <w:noProof/>
                <w:sz w:val="22"/>
                <w:lang w:val="en-GB" w:eastAsia="en-GB"/>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6B30744" w14:textId="77777777" w:rsidR="000F657A" w:rsidRPr="00DD6A04" w:rsidRDefault="000F657A" w:rsidP="0094251A">
            <w:pPr>
              <w:spacing w:before="0" w:after="0" w:line="240" w:lineRule="auto"/>
              <w:rPr>
                <w:rFonts w:eastAsia="Times New Roman"/>
                <w:b/>
                <w:noProof/>
                <w:sz w:val="22"/>
                <w:lang w:val="en-GB" w:eastAsia="en-GB"/>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3D2A8A87" w14:textId="77777777" w:rsidR="000F657A" w:rsidRPr="00DD6A04" w:rsidRDefault="000F657A" w:rsidP="0094251A">
            <w:pPr>
              <w:spacing w:before="0" w:after="0" w:line="240" w:lineRule="auto"/>
              <w:rPr>
                <w:rFonts w:eastAsia="Times New Roman"/>
                <w:b/>
                <w:noProof/>
                <w:sz w:val="22"/>
                <w:lang w:val="en-GB"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113A2E" w14:textId="77777777" w:rsidR="000F657A" w:rsidRPr="00DD6A04" w:rsidRDefault="000F657A" w:rsidP="0094251A">
            <w:pPr>
              <w:spacing w:before="0" w:after="0" w:line="240" w:lineRule="auto"/>
              <w:rPr>
                <w:rFonts w:eastAsia="Times New Roman"/>
                <w:b/>
                <w:noProof/>
                <w:sz w:val="22"/>
                <w:lang w:val="en-GB" w:eastAsia="en-GB"/>
              </w:rPr>
            </w:pPr>
          </w:p>
        </w:tc>
        <w:tc>
          <w:tcPr>
            <w:tcW w:w="1675" w:type="dxa"/>
            <w:vMerge/>
            <w:tcBorders>
              <w:top w:val="single" w:sz="4" w:space="0" w:color="auto"/>
              <w:left w:val="single" w:sz="4" w:space="0" w:color="auto"/>
              <w:bottom w:val="single" w:sz="4" w:space="0" w:color="auto"/>
            </w:tcBorders>
            <w:vAlign w:val="center"/>
            <w:hideMark/>
          </w:tcPr>
          <w:p w14:paraId="43F1C815" w14:textId="77777777" w:rsidR="000F657A" w:rsidRPr="00DD6A04" w:rsidRDefault="000F657A" w:rsidP="0094251A">
            <w:pPr>
              <w:spacing w:before="0" w:after="0" w:line="240" w:lineRule="auto"/>
              <w:rPr>
                <w:rFonts w:eastAsia="Times New Roman"/>
                <w:b/>
                <w:noProof/>
                <w:sz w:val="22"/>
                <w:lang w:val="en-GB" w:eastAsia="en-GB"/>
              </w:rPr>
            </w:pPr>
          </w:p>
        </w:tc>
        <w:tc>
          <w:tcPr>
            <w:tcW w:w="110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D95B183" w14:textId="77777777" w:rsidR="000F657A" w:rsidRPr="00DD6A04" w:rsidRDefault="000F657A" w:rsidP="0094251A">
            <w:pPr>
              <w:spacing w:before="0" w:after="0" w:line="240" w:lineRule="auto"/>
              <w:jc w:val="center"/>
              <w:rPr>
                <w:rFonts w:eastAsia="Times New Roman"/>
                <w:b/>
                <w:bCs/>
                <w:noProof/>
                <w:sz w:val="22"/>
              </w:rPr>
            </w:pPr>
            <w:r>
              <w:rPr>
                <w:b/>
                <w:noProof/>
                <w:sz w:val="22"/>
              </w:rPr>
              <w:t>Enota merjenja</w:t>
            </w:r>
          </w:p>
        </w:tc>
        <w:tc>
          <w:tcPr>
            <w:tcW w:w="126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2C7A6EF" w14:textId="77777777" w:rsidR="000F657A" w:rsidRPr="00DD6A04" w:rsidRDefault="000F657A" w:rsidP="0094251A">
            <w:pPr>
              <w:spacing w:before="0" w:after="0" w:line="240" w:lineRule="auto"/>
              <w:jc w:val="center"/>
              <w:rPr>
                <w:rFonts w:eastAsia="Times New Roman"/>
                <w:b/>
                <w:bCs/>
                <w:noProof/>
                <w:sz w:val="22"/>
              </w:rPr>
            </w:pPr>
            <w:r>
              <w:rPr>
                <w:b/>
                <w:noProof/>
                <w:sz w:val="22"/>
              </w:rPr>
              <w:t xml:space="preserve">Izhodiščna raven </w:t>
            </w:r>
          </w:p>
        </w:tc>
        <w:tc>
          <w:tcPr>
            <w:tcW w:w="9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05C0F72" w14:textId="77777777" w:rsidR="000F657A" w:rsidRPr="00DD6A04" w:rsidRDefault="000F657A" w:rsidP="0094251A">
            <w:pPr>
              <w:spacing w:before="0" w:after="0" w:line="240" w:lineRule="auto"/>
              <w:jc w:val="center"/>
              <w:rPr>
                <w:rFonts w:eastAsia="Times New Roman"/>
                <w:b/>
                <w:bCs/>
                <w:noProof/>
                <w:sz w:val="22"/>
              </w:rPr>
            </w:pPr>
            <w:r>
              <w:rPr>
                <w:b/>
                <w:noProof/>
                <w:sz w:val="22"/>
              </w:rPr>
              <w:t xml:space="preserve">Ciljna raven </w:t>
            </w:r>
          </w:p>
        </w:tc>
        <w:tc>
          <w:tcPr>
            <w:tcW w:w="10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6C93C1E" w14:textId="77777777" w:rsidR="000F657A" w:rsidRPr="00DD6A04" w:rsidRDefault="000F657A" w:rsidP="0094251A">
            <w:pPr>
              <w:spacing w:before="0" w:after="0" w:line="240" w:lineRule="auto"/>
              <w:jc w:val="center"/>
              <w:rPr>
                <w:rFonts w:eastAsia="Times New Roman"/>
                <w:b/>
                <w:bCs/>
                <w:noProof/>
                <w:sz w:val="22"/>
              </w:rPr>
            </w:pPr>
            <w:r>
              <w:rPr>
                <w:b/>
                <w:noProof/>
                <w:sz w:val="22"/>
              </w:rPr>
              <w:t>Četrtletje</w:t>
            </w:r>
          </w:p>
        </w:tc>
        <w:tc>
          <w:tcPr>
            <w:tcW w:w="88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140B1C" w14:textId="77777777" w:rsidR="000F657A" w:rsidRPr="00DD6A04" w:rsidRDefault="000F657A" w:rsidP="0094251A">
            <w:pPr>
              <w:spacing w:before="0" w:after="0" w:line="240" w:lineRule="auto"/>
              <w:jc w:val="center"/>
              <w:rPr>
                <w:rFonts w:eastAsia="Times New Roman"/>
                <w:b/>
                <w:bCs/>
                <w:noProof/>
                <w:sz w:val="22"/>
              </w:rPr>
            </w:pPr>
            <w:r>
              <w:rPr>
                <w:b/>
                <w:noProof/>
                <w:sz w:val="22"/>
              </w:rPr>
              <w:t>Leto</w:t>
            </w:r>
          </w:p>
        </w:tc>
        <w:tc>
          <w:tcPr>
            <w:tcW w:w="2864" w:type="dxa"/>
            <w:vMerge/>
            <w:tcBorders>
              <w:bottom w:val="single" w:sz="4" w:space="0" w:color="auto"/>
              <w:right w:val="single" w:sz="4" w:space="0" w:color="auto"/>
            </w:tcBorders>
            <w:vAlign w:val="center"/>
            <w:hideMark/>
          </w:tcPr>
          <w:p w14:paraId="28FB2490" w14:textId="77777777" w:rsidR="000F657A" w:rsidRPr="00DD6A04" w:rsidRDefault="000F657A" w:rsidP="0094251A">
            <w:pPr>
              <w:spacing w:before="0" w:after="0" w:line="240" w:lineRule="auto"/>
              <w:rPr>
                <w:rFonts w:eastAsia="Times New Roman"/>
                <w:b/>
                <w:noProof/>
                <w:sz w:val="22"/>
                <w:lang w:val="en-GB" w:eastAsia="en-GB"/>
              </w:rPr>
            </w:pPr>
          </w:p>
        </w:tc>
      </w:tr>
      <w:tr w:rsidR="000F657A" w:rsidRPr="00DD6A04" w14:paraId="277A7916" w14:textId="77777777" w:rsidTr="00BE4788">
        <w:trPr>
          <w:trHeight w:val="309"/>
          <w:jc w:val="center"/>
        </w:trPr>
        <w:tc>
          <w:tcPr>
            <w:tcW w:w="1381" w:type="dxa"/>
            <w:tcBorders>
              <w:top w:val="single" w:sz="4" w:space="0" w:color="auto"/>
              <w:left w:val="single" w:sz="4" w:space="0" w:color="auto"/>
              <w:bottom w:val="single" w:sz="4" w:space="0" w:color="auto"/>
              <w:right w:val="single" w:sz="4" w:space="0" w:color="auto"/>
            </w:tcBorders>
            <w:shd w:val="clear" w:color="auto" w:fill="C6EFCE"/>
            <w:noWrap/>
          </w:tcPr>
          <w:p w14:paraId="041975F3"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67bis</w:t>
            </w:r>
          </w:p>
        </w:tc>
        <w:tc>
          <w:tcPr>
            <w:tcW w:w="1195" w:type="dxa"/>
            <w:tcBorders>
              <w:top w:val="single" w:sz="4" w:space="0" w:color="auto"/>
              <w:left w:val="nil"/>
              <w:bottom w:val="single" w:sz="4" w:space="0" w:color="auto"/>
              <w:right w:val="single" w:sz="4" w:space="0" w:color="auto"/>
            </w:tcBorders>
            <w:shd w:val="clear" w:color="auto" w:fill="C6EFCE"/>
            <w:noWrap/>
          </w:tcPr>
          <w:p w14:paraId="5FCE9FCD"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C: Dodatno povečanje zmogljivosti železniške infrastrukture</w:t>
            </w:r>
          </w:p>
        </w:tc>
        <w:tc>
          <w:tcPr>
            <w:tcW w:w="1122" w:type="dxa"/>
            <w:tcBorders>
              <w:top w:val="single" w:sz="4" w:space="0" w:color="auto"/>
              <w:left w:val="nil"/>
              <w:bottom w:val="single" w:sz="4" w:space="0" w:color="auto"/>
              <w:right w:val="single" w:sz="4" w:space="0" w:color="auto"/>
            </w:tcBorders>
            <w:shd w:val="clear" w:color="auto" w:fill="C6EFCE"/>
            <w:noWrap/>
          </w:tcPr>
          <w:p w14:paraId="14D561FA"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591C79E1" w14:textId="7947CA9A" w:rsidR="000F657A" w:rsidRPr="00DD6A04" w:rsidRDefault="000F657A" w:rsidP="0094251A">
            <w:pPr>
              <w:spacing w:before="0" w:after="0" w:line="240" w:lineRule="auto"/>
              <w:rPr>
                <w:rFonts w:eastAsia="Times New Roman"/>
                <w:noProof/>
                <w:color w:val="006100"/>
                <w:sz w:val="22"/>
              </w:rPr>
            </w:pPr>
            <w:r>
              <w:rPr>
                <w:noProof/>
                <w:color w:val="006100"/>
                <w:sz w:val="22"/>
              </w:rPr>
              <w:t>Oddaja naročil za nadgradnjo odsekov železniške proge</w:t>
            </w:r>
            <w:r w:rsidR="00037751">
              <w:rPr>
                <w:noProof/>
                <w:color w:val="006100"/>
                <w:sz w:val="22"/>
              </w:rPr>
              <w:t xml:space="preserve"> </w:t>
            </w:r>
          </w:p>
        </w:tc>
        <w:tc>
          <w:tcPr>
            <w:tcW w:w="1675" w:type="dxa"/>
            <w:tcBorders>
              <w:top w:val="single" w:sz="4" w:space="0" w:color="auto"/>
              <w:left w:val="nil"/>
              <w:bottom w:val="single" w:sz="4" w:space="0" w:color="auto"/>
              <w:right w:val="single" w:sz="4" w:space="0" w:color="auto"/>
            </w:tcBorders>
            <w:shd w:val="clear" w:color="auto" w:fill="C6EFCE"/>
            <w:noWrap/>
          </w:tcPr>
          <w:p w14:paraId="347C8036"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Objava rezultatov razpisa za nadgradnjo železniške proge na odsekih: Bled Jezero–Bohinjska Bistrica in Sveti Daniel–Dravograd–državna meja</w:t>
            </w:r>
          </w:p>
        </w:tc>
        <w:tc>
          <w:tcPr>
            <w:tcW w:w="1103" w:type="dxa"/>
            <w:tcBorders>
              <w:top w:val="single" w:sz="4" w:space="0" w:color="auto"/>
              <w:left w:val="nil"/>
              <w:bottom w:val="single" w:sz="4" w:space="0" w:color="auto"/>
              <w:right w:val="single" w:sz="4" w:space="0" w:color="auto"/>
            </w:tcBorders>
            <w:shd w:val="clear" w:color="auto" w:fill="C6EFCE"/>
            <w:noWrap/>
          </w:tcPr>
          <w:p w14:paraId="274F586F" w14:textId="77777777" w:rsidR="000F657A" w:rsidRPr="00DD6A04" w:rsidRDefault="000F657A" w:rsidP="0094251A">
            <w:pPr>
              <w:spacing w:before="0" w:after="0" w:line="240" w:lineRule="auto"/>
              <w:rPr>
                <w:rFonts w:eastAsia="Times New Roman"/>
                <w:noProof/>
                <w:color w:val="006100"/>
                <w:sz w:val="22"/>
                <w:lang w:val="en-GB" w:eastAsia="en-GB"/>
              </w:rPr>
            </w:pPr>
          </w:p>
        </w:tc>
        <w:tc>
          <w:tcPr>
            <w:tcW w:w="1269" w:type="dxa"/>
            <w:tcBorders>
              <w:top w:val="single" w:sz="4" w:space="0" w:color="auto"/>
              <w:left w:val="nil"/>
              <w:bottom w:val="single" w:sz="4" w:space="0" w:color="auto"/>
              <w:right w:val="single" w:sz="4" w:space="0" w:color="auto"/>
            </w:tcBorders>
            <w:shd w:val="clear" w:color="auto" w:fill="C6EFCE"/>
            <w:noWrap/>
          </w:tcPr>
          <w:p w14:paraId="2A00525F" w14:textId="77777777" w:rsidR="000F657A" w:rsidRPr="00DD6A04" w:rsidRDefault="000F657A" w:rsidP="0094251A">
            <w:pPr>
              <w:spacing w:before="0" w:after="0" w:line="240" w:lineRule="auto"/>
              <w:rPr>
                <w:rFonts w:eastAsia="Times New Roman"/>
                <w:noProof/>
                <w:color w:val="006100"/>
                <w:sz w:val="22"/>
                <w:lang w:val="en-GB"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6964DB41" w14:textId="77777777" w:rsidR="000F657A" w:rsidRPr="00DD6A04" w:rsidRDefault="000F657A" w:rsidP="0094251A">
            <w:pPr>
              <w:spacing w:before="0" w:after="0" w:line="240" w:lineRule="auto"/>
              <w:rPr>
                <w:rFonts w:eastAsia="Times New Roman"/>
                <w:noProof/>
                <w:color w:val="006100"/>
                <w:sz w:val="22"/>
                <w:lang w:val="en-GB" w:eastAsia="en-GB"/>
              </w:rPr>
            </w:pPr>
          </w:p>
        </w:tc>
        <w:tc>
          <w:tcPr>
            <w:tcW w:w="1018" w:type="dxa"/>
            <w:tcBorders>
              <w:top w:val="single" w:sz="4" w:space="0" w:color="auto"/>
              <w:left w:val="nil"/>
              <w:bottom w:val="single" w:sz="4" w:space="0" w:color="auto"/>
              <w:right w:val="single" w:sz="4" w:space="0" w:color="auto"/>
            </w:tcBorders>
            <w:shd w:val="clear" w:color="auto" w:fill="C6EFCE"/>
            <w:noWrap/>
          </w:tcPr>
          <w:p w14:paraId="5D3C3729"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nil"/>
              <w:bottom w:val="single" w:sz="4" w:space="0" w:color="auto"/>
              <w:right w:val="single" w:sz="4" w:space="0" w:color="auto"/>
            </w:tcBorders>
            <w:shd w:val="clear" w:color="auto" w:fill="C6EFCE"/>
            <w:noWrap/>
          </w:tcPr>
          <w:p w14:paraId="6A1D04F8"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2025</w:t>
            </w:r>
          </w:p>
        </w:tc>
        <w:tc>
          <w:tcPr>
            <w:tcW w:w="2864" w:type="dxa"/>
            <w:tcBorders>
              <w:top w:val="single" w:sz="4" w:space="0" w:color="auto"/>
              <w:left w:val="nil"/>
              <w:bottom w:val="single" w:sz="4" w:space="0" w:color="auto"/>
              <w:right w:val="single" w:sz="4" w:space="0" w:color="auto"/>
            </w:tcBorders>
            <w:shd w:val="clear" w:color="auto" w:fill="C6EFCE"/>
            <w:noWrap/>
          </w:tcPr>
          <w:p w14:paraId="76549F91" w14:textId="631CC9B5" w:rsidR="000F657A" w:rsidRPr="00DD6A04" w:rsidRDefault="000F657A" w:rsidP="0094251A">
            <w:pPr>
              <w:spacing w:before="0" w:after="0" w:line="240" w:lineRule="auto"/>
              <w:rPr>
                <w:rFonts w:eastAsia="Times New Roman"/>
                <w:noProof/>
                <w:color w:val="006100"/>
                <w:sz w:val="22"/>
                <w:highlight w:val="yellow"/>
              </w:rPr>
            </w:pPr>
            <w:r>
              <w:rPr>
                <w:noProof/>
                <w:color w:val="006100"/>
                <w:sz w:val="22"/>
              </w:rPr>
              <w:t>Oddaja naročil za nadgradnjo železniške proge na odsekih:</w:t>
            </w:r>
            <w:r w:rsidR="00037751">
              <w:rPr>
                <w:noProof/>
                <w:color w:val="006100"/>
                <w:sz w:val="22"/>
              </w:rPr>
              <w:t xml:space="preserve"> </w:t>
            </w:r>
            <w:r>
              <w:rPr>
                <w:noProof/>
                <w:color w:val="006100"/>
                <w:sz w:val="22"/>
              </w:rPr>
              <w:t>Bled Jezero–Bohinjska Bistrica in Sveti Daniel–Dravograd–državna meja. Razpisne specifikacije bodo zagotavljale skladnost s tehničnimi smernicami za uporabo načela, da se ne škoduje bistveno (2021/C58/01), in naslednjimi zahtevami:</w:t>
            </w:r>
            <w:r w:rsidR="00037751">
              <w:rPr>
                <w:noProof/>
                <w:color w:val="006100"/>
                <w:sz w:val="22"/>
              </w:rPr>
              <w:t xml:space="preserve"> </w:t>
            </w:r>
            <w:r>
              <w:rPr>
                <w:noProof/>
                <w:color w:val="006100"/>
                <w:sz w:val="22"/>
              </w:rPr>
              <w:t>– povečanje pretočnosti železniškega prometa z odpravo ozkih grl na progi št. 34 Maribor–Prevalje–državna meja in progi 70 Jesenice–Sežana;</w:t>
            </w:r>
            <w:r w:rsidR="00037751">
              <w:rPr>
                <w:noProof/>
                <w:color w:val="006100"/>
                <w:sz w:val="22"/>
              </w:rPr>
              <w:t xml:space="preserve"> </w:t>
            </w:r>
            <w:r>
              <w:rPr>
                <w:noProof/>
                <w:color w:val="006100"/>
                <w:sz w:val="22"/>
              </w:rPr>
              <w:t>– nadgradnja prog in postaj v skladu s tehničnimi specifikacijami za interoperabilnost;</w:t>
            </w:r>
            <w:r w:rsidR="00037751">
              <w:rPr>
                <w:noProof/>
                <w:color w:val="006100"/>
                <w:sz w:val="22"/>
              </w:rPr>
              <w:t xml:space="preserve"> </w:t>
            </w:r>
            <w:r>
              <w:rPr>
                <w:noProof/>
                <w:color w:val="006100"/>
                <w:sz w:val="22"/>
              </w:rPr>
              <w:t>– smernice za nosilnost ustrezne kategorije D4 v višini 22,5 t/os in 8 t/m;</w:t>
            </w:r>
            <w:r w:rsidR="00037751">
              <w:rPr>
                <w:noProof/>
                <w:color w:val="006100"/>
                <w:sz w:val="22"/>
              </w:rPr>
              <w:t xml:space="preserve"> </w:t>
            </w:r>
            <w:r>
              <w:rPr>
                <w:noProof/>
                <w:color w:val="006100"/>
                <w:sz w:val="22"/>
              </w:rPr>
              <w:t>– dvig hitrosti vlakov na nove projektirane hitrosti.</w:t>
            </w:r>
          </w:p>
        </w:tc>
      </w:tr>
      <w:tr w:rsidR="0015712B" w:rsidRPr="00DD6A04" w14:paraId="502771DE" w14:textId="77777777" w:rsidTr="00BE4788">
        <w:trPr>
          <w:trHeight w:val="309"/>
          <w:jc w:val="center"/>
        </w:trPr>
        <w:tc>
          <w:tcPr>
            <w:tcW w:w="1381" w:type="dxa"/>
            <w:tcBorders>
              <w:top w:val="single" w:sz="4" w:space="0" w:color="auto"/>
              <w:left w:val="single" w:sz="4" w:space="0" w:color="auto"/>
              <w:bottom w:val="single" w:sz="4" w:space="0" w:color="auto"/>
              <w:right w:val="single" w:sz="4" w:space="0" w:color="auto"/>
            </w:tcBorders>
            <w:shd w:val="clear" w:color="auto" w:fill="C6EFCE"/>
            <w:noWrap/>
          </w:tcPr>
          <w:p w14:paraId="552F3A96" w14:textId="629DEB3A" w:rsidR="0015712B" w:rsidRPr="00DD6A04" w:rsidRDefault="0015712B" w:rsidP="0015712B">
            <w:pPr>
              <w:spacing w:before="0" w:after="0" w:line="240" w:lineRule="auto"/>
              <w:rPr>
                <w:noProof/>
                <w:color w:val="006100"/>
                <w:sz w:val="22"/>
              </w:rPr>
            </w:pPr>
            <w:r>
              <w:rPr>
                <w:noProof/>
                <w:color w:val="006100"/>
                <w:sz w:val="22"/>
              </w:rPr>
              <w:t>67ter</w:t>
            </w:r>
          </w:p>
        </w:tc>
        <w:tc>
          <w:tcPr>
            <w:tcW w:w="1195" w:type="dxa"/>
            <w:tcBorders>
              <w:top w:val="single" w:sz="4" w:space="0" w:color="auto"/>
              <w:left w:val="nil"/>
              <w:bottom w:val="single" w:sz="4" w:space="0" w:color="auto"/>
              <w:right w:val="single" w:sz="4" w:space="0" w:color="auto"/>
            </w:tcBorders>
            <w:shd w:val="clear" w:color="auto" w:fill="C6EFCE"/>
            <w:noWrap/>
          </w:tcPr>
          <w:p w14:paraId="0FE76789" w14:textId="7B937178" w:rsidR="0015712B" w:rsidRPr="00DD6A04" w:rsidRDefault="00491501" w:rsidP="00491501">
            <w:pPr>
              <w:spacing w:before="0" w:after="0" w:line="240" w:lineRule="auto"/>
              <w:rPr>
                <w:noProof/>
                <w:color w:val="006100"/>
                <w:sz w:val="22"/>
              </w:rPr>
            </w:pPr>
            <w:r>
              <w:rPr>
                <w:noProof/>
                <w:color w:val="006100"/>
                <w:sz w:val="22"/>
              </w:rPr>
              <w:t xml:space="preserve">F: Nadgradnja ukrepa spodbujanja vzpostavitve infrastrukture za alternativna goriva </w:t>
            </w:r>
          </w:p>
        </w:tc>
        <w:tc>
          <w:tcPr>
            <w:tcW w:w="1122" w:type="dxa"/>
            <w:tcBorders>
              <w:top w:val="single" w:sz="4" w:space="0" w:color="auto"/>
              <w:left w:val="nil"/>
              <w:bottom w:val="single" w:sz="4" w:space="0" w:color="auto"/>
              <w:right w:val="single" w:sz="4" w:space="0" w:color="auto"/>
            </w:tcBorders>
            <w:shd w:val="clear" w:color="auto" w:fill="C6EFCE"/>
            <w:noWrap/>
          </w:tcPr>
          <w:p w14:paraId="3B7B9A7B" w14:textId="77777777" w:rsidR="0015712B" w:rsidRPr="00DD6A04" w:rsidRDefault="0015712B" w:rsidP="0015712B">
            <w:pPr>
              <w:spacing w:before="0" w:after="0" w:line="240" w:lineRule="auto"/>
              <w:rPr>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0FE244DE" w14:textId="77777777" w:rsidR="0015712B" w:rsidRPr="00DD6A04" w:rsidRDefault="0015712B" w:rsidP="0015712B">
            <w:pPr>
              <w:spacing w:before="0" w:after="0" w:line="240" w:lineRule="auto"/>
              <w:rPr>
                <w:noProof/>
                <w:color w:val="006100"/>
                <w:sz w:val="22"/>
              </w:rPr>
            </w:pPr>
            <w:r>
              <w:rPr>
                <w:noProof/>
                <w:color w:val="006100"/>
                <w:sz w:val="22"/>
              </w:rPr>
              <w:t xml:space="preserve">Začetek veljavnosti Zakona o infrastrukturi za alternativna goriva in spodbujanju prehoda na alternativna goriva v prometu </w:t>
            </w:r>
          </w:p>
          <w:p w14:paraId="7678A680" w14:textId="77777777" w:rsidR="0015712B" w:rsidRPr="00DD6A04" w:rsidRDefault="0015712B" w:rsidP="0015712B">
            <w:pPr>
              <w:spacing w:before="0" w:after="0" w:line="240" w:lineRule="auto"/>
              <w:rPr>
                <w:noProof/>
                <w:color w:val="006100"/>
                <w:sz w:val="22"/>
                <w:lang w:val="en-GB"/>
              </w:rPr>
            </w:pPr>
          </w:p>
        </w:tc>
        <w:tc>
          <w:tcPr>
            <w:tcW w:w="1675" w:type="dxa"/>
            <w:tcBorders>
              <w:top w:val="single" w:sz="4" w:space="0" w:color="auto"/>
              <w:left w:val="nil"/>
              <w:bottom w:val="single" w:sz="4" w:space="0" w:color="auto"/>
              <w:right w:val="single" w:sz="4" w:space="0" w:color="auto"/>
            </w:tcBorders>
            <w:shd w:val="clear" w:color="auto" w:fill="C6EFCE"/>
            <w:noWrap/>
          </w:tcPr>
          <w:p w14:paraId="0D988300" w14:textId="77777777" w:rsidR="0015712B" w:rsidRPr="00DD6A04" w:rsidRDefault="0015712B" w:rsidP="0015712B">
            <w:pPr>
              <w:spacing w:before="0" w:after="0" w:line="240" w:lineRule="auto"/>
              <w:rPr>
                <w:noProof/>
                <w:color w:val="006100"/>
                <w:sz w:val="22"/>
              </w:rPr>
            </w:pPr>
            <w:r>
              <w:rPr>
                <w:noProof/>
                <w:color w:val="006100"/>
                <w:sz w:val="22"/>
              </w:rPr>
              <w:t>Zakonodajne določbe o začetku veljavnosti zadevnega zakona</w:t>
            </w:r>
          </w:p>
        </w:tc>
        <w:tc>
          <w:tcPr>
            <w:tcW w:w="1103" w:type="dxa"/>
            <w:tcBorders>
              <w:top w:val="single" w:sz="4" w:space="0" w:color="auto"/>
              <w:left w:val="nil"/>
              <w:bottom w:val="single" w:sz="4" w:space="0" w:color="auto"/>
              <w:right w:val="single" w:sz="4" w:space="0" w:color="auto"/>
            </w:tcBorders>
            <w:shd w:val="clear" w:color="auto" w:fill="C6EFCE"/>
            <w:noWrap/>
          </w:tcPr>
          <w:p w14:paraId="2EE64C46" w14:textId="77777777" w:rsidR="0015712B" w:rsidRPr="00DD6A04" w:rsidRDefault="0015712B" w:rsidP="0015712B">
            <w:pPr>
              <w:spacing w:before="0" w:after="0" w:line="240" w:lineRule="auto"/>
              <w:rPr>
                <w:rFonts w:eastAsia="Times New Roman"/>
                <w:noProof/>
                <w:color w:val="006100"/>
                <w:sz w:val="22"/>
                <w:lang w:val="en-GB" w:eastAsia="en-GB"/>
              </w:rPr>
            </w:pPr>
          </w:p>
        </w:tc>
        <w:tc>
          <w:tcPr>
            <w:tcW w:w="1269" w:type="dxa"/>
            <w:tcBorders>
              <w:top w:val="single" w:sz="4" w:space="0" w:color="auto"/>
              <w:left w:val="nil"/>
              <w:bottom w:val="single" w:sz="4" w:space="0" w:color="auto"/>
              <w:right w:val="single" w:sz="4" w:space="0" w:color="auto"/>
            </w:tcBorders>
            <w:shd w:val="clear" w:color="auto" w:fill="C6EFCE"/>
            <w:noWrap/>
          </w:tcPr>
          <w:p w14:paraId="5408F8E3" w14:textId="77777777" w:rsidR="0015712B" w:rsidRPr="00DD6A04" w:rsidRDefault="0015712B" w:rsidP="0015712B">
            <w:pPr>
              <w:spacing w:before="0" w:after="0" w:line="240" w:lineRule="auto"/>
              <w:rPr>
                <w:rFonts w:eastAsia="Times New Roman"/>
                <w:noProof/>
                <w:color w:val="006100"/>
                <w:sz w:val="22"/>
                <w:lang w:val="en-GB"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77410609" w14:textId="77777777" w:rsidR="0015712B" w:rsidRPr="00DD6A04" w:rsidRDefault="0015712B" w:rsidP="0015712B">
            <w:pPr>
              <w:spacing w:before="0" w:after="0" w:line="240" w:lineRule="auto"/>
              <w:rPr>
                <w:rFonts w:eastAsia="Times New Roman"/>
                <w:noProof/>
                <w:color w:val="006100"/>
                <w:sz w:val="22"/>
                <w:lang w:val="en-GB" w:eastAsia="en-GB"/>
              </w:rPr>
            </w:pPr>
          </w:p>
        </w:tc>
        <w:tc>
          <w:tcPr>
            <w:tcW w:w="1018" w:type="dxa"/>
            <w:tcBorders>
              <w:top w:val="single" w:sz="4" w:space="0" w:color="auto"/>
              <w:left w:val="nil"/>
              <w:bottom w:val="single" w:sz="4" w:space="0" w:color="auto"/>
              <w:right w:val="single" w:sz="4" w:space="0" w:color="auto"/>
            </w:tcBorders>
            <w:shd w:val="clear" w:color="auto" w:fill="C6EFCE"/>
            <w:noWrap/>
          </w:tcPr>
          <w:p w14:paraId="149184DA" w14:textId="77777777" w:rsidR="0015712B" w:rsidRPr="00DD6A04" w:rsidRDefault="0015712B" w:rsidP="0015712B">
            <w:pPr>
              <w:spacing w:before="0" w:after="0" w:line="240" w:lineRule="auto"/>
              <w:rPr>
                <w:noProof/>
                <w:color w:val="006100"/>
                <w:sz w:val="22"/>
              </w:rPr>
            </w:pPr>
            <w:r>
              <w:rPr>
                <w:noProof/>
                <w:color w:val="006100"/>
                <w:sz w:val="22"/>
              </w:rPr>
              <w:t>Q2</w:t>
            </w:r>
          </w:p>
        </w:tc>
        <w:tc>
          <w:tcPr>
            <w:tcW w:w="888" w:type="dxa"/>
            <w:tcBorders>
              <w:top w:val="single" w:sz="4" w:space="0" w:color="auto"/>
              <w:left w:val="nil"/>
              <w:bottom w:val="single" w:sz="4" w:space="0" w:color="auto"/>
              <w:right w:val="single" w:sz="4" w:space="0" w:color="auto"/>
            </w:tcBorders>
            <w:shd w:val="clear" w:color="auto" w:fill="C6EFCE"/>
            <w:noWrap/>
          </w:tcPr>
          <w:p w14:paraId="2DA26328" w14:textId="77777777" w:rsidR="0015712B" w:rsidRPr="00DD6A04" w:rsidRDefault="0015712B" w:rsidP="0015712B">
            <w:pPr>
              <w:spacing w:before="0" w:after="0" w:line="240" w:lineRule="auto"/>
              <w:rPr>
                <w:noProof/>
                <w:color w:val="006100"/>
                <w:sz w:val="22"/>
              </w:rPr>
            </w:pPr>
            <w:r>
              <w:rPr>
                <w:noProof/>
                <w:color w:val="006100"/>
                <w:sz w:val="22"/>
              </w:rPr>
              <w:t>2023</w:t>
            </w:r>
          </w:p>
        </w:tc>
        <w:tc>
          <w:tcPr>
            <w:tcW w:w="2864" w:type="dxa"/>
            <w:tcBorders>
              <w:top w:val="single" w:sz="4" w:space="0" w:color="auto"/>
              <w:left w:val="nil"/>
              <w:bottom w:val="single" w:sz="4" w:space="0" w:color="auto"/>
              <w:right w:val="single" w:sz="4" w:space="0" w:color="auto"/>
            </w:tcBorders>
            <w:shd w:val="clear" w:color="auto" w:fill="C6EFCE"/>
            <w:noWrap/>
          </w:tcPr>
          <w:p w14:paraId="49C2C5B4" w14:textId="77777777" w:rsidR="0015712B" w:rsidRPr="00DD6A04" w:rsidRDefault="0015712B" w:rsidP="0015712B">
            <w:pPr>
              <w:spacing w:before="0" w:after="0" w:line="240" w:lineRule="auto"/>
              <w:rPr>
                <w:noProof/>
                <w:color w:val="006100"/>
                <w:sz w:val="22"/>
              </w:rPr>
            </w:pPr>
            <w:r>
              <w:rPr>
                <w:noProof/>
                <w:color w:val="006100"/>
                <w:sz w:val="22"/>
              </w:rPr>
              <w:t>Zakon določa (i) uvedbo novega okvira politike, ki zajema strateško načrtovanje in upravljanje infrastrukture za alternativna goriva (vzpostavitev in delovanje javne službe), (ii) pripravo državnih in lokalnih načrtov polnilne infrastrukture ter vzpostavitvijo nacionalne digitalne platforme za spodbujanje investicij ter (iii) uvedbo sistemskega vira financiranja za postavitev strateško načrtovane infrastrukture za alternativna goriva in prehod na čista vozila.</w:t>
            </w:r>
          </w:p>
        </w:tc>
      </w:tr>
      <w:tr w:rsidR="000F657A" w:rsidRPr="00DD6A04" w14:paraId="4EC0E1A5" w14:textId="77777777" w:rsidTr="00BE4788">
        <w:trPr>
          <w:trHeight w:val="309"/>
          <w:jc w:val="center"/>
        </w:trPr>
        <w:tc>
          <w:tcPr>
            <w:tcW w:w="1381" w:type="dxa"/>
            <w:tcBorders>
              <w:top w:val="single" w:sz="4" w:space="0" w:color="auto"/>
              <w:left w:val="single" w:sz="4" w:space="0" w:color="auto"/>
              <w:bottom w:val="single" w:sz="4" w:space="0" w:color="auto"/>
              <w:right w:val="single" w:sz="4" w:space="0" w:color="auto"/>
            </w:tcBorders>
            <w:shd w:val="clear" w:color="auto" w:fill="C6EFCE"/>
            <w:noWrap/>
          </w:tcPr>
          <w:p w14:paraId="2083FAC4"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67</w:t>
            </w:r>
          </w:p>
        </w:tc>
        <w:tc>
          <w:tcPr>
            <w:tcW w:w="1195" w:type="dxa"/>
            <w:tcBorders>
              <w:top w:val="single" w:sz="4" w:space="0" w:color="auto"/>
              <w:left w:val="nil"/>
              <w:bottom w:val="single" w:sz="4" w:space="0" w:color="auto"/>
              <w:right w:val="single" w:sz="4" w:space="0" w:color="auto"/>
            </w:tcBorders>
            <w:shd w:val="clear" w:color="auto" w:fill="C6EFCE"/>
            <w:noWrap/>
          </w:tcPr>
          <w:p w14:paraId="0237E668" w14:textId="77777777" w:rsidR="000F657A" w:rsidRPr="00DD6A04" w:rsidRDefault="000F657A" w:rsidP="0094251A">
            <w:pPr>
              <w:spacing w:before="0" w:after="0" w:line="240" w:lineRule="auto"/>
              <w:rPr>
                <w:rFonts w:eastAsia="Times New Roman"/>
                <w:noProof/>
                <w:color w:val="006100"/>
                <w:sz w:val="22"/>
              </w:rPr>
            </w:pPr>
            <w:r>
              <w:rPr>
                <w:noProof/>
                <w:color w:val="006100"/>
              </w:rPr>
              <w:t xml:space="preserve">C: </w:t>
            </w:r>
            <w:r>
              <w:rPr>
                <w:noProof/>
                <w:color w:val="006100"/>
                <w:sz w:val="22"/>
              </w:rPr>
              <w:t>Dodatno povečanje zmogljivosti železniške infrastrukture</w:t>
            </w:r>
          </w:p>
        </w:tc>
        <w:tc>
          <w:tcPr>
            <w:tcW w:w="1122" w:type="dxa"/>
            <w:tcBorders>
              <w:top w:val="single" w:sz="4" w:space="0" w:color="auto"/>
              <w:left w:val="nil"/>
              <w:bottom w:val="single" w:sz="4" w:space="0" w:color="auto"/>
              <w:right w:val="single" w:sz="4" w:space="0" w:color="auto"/>
            </w:tcBorders>
            <w:shd w:val="clear" w:color="auto" w:fill="C6EFCE"/>
            <w:noWrap/>
          </w:tcPr>
          <w:p w14:paraId="358ED5E9"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43B112FB"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Oddaja naročil za nadgradnjo železniških postaj Ljubljana in Nova Gorica</w:t>
            </w:r>
          </w:p>
        </w:tc>
        <w:tc>
          <w:tcPr>
            <w:tcW w:w="1675" w:type="dxa"/>
            <w:tcBorders>
              <w:top w:val="single" w:sz="4" w:space="0" w:color="auto"/>
              <w:left w:val="nil"/>
              <w:bottom w:val="single" w:sz="4" w:space="0" w:color="auto"/>
              <w:right w:val="single" w:sz="4" w:space="0" w:color="auto"/>
            </w:tcBorders>
            <w:shd w:val="clear" w:color="auto" w:fill="C6EFCE"/>
            <w:noWrap/>
          </w:tcPr>
          <w:p w14:paraId="7B31EEA9"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Objava rezultatov razpisa</w:t>
            </w:r>
          </w:p>
        </w:tc>
        <w:tc>
          <w:tcPr>
            <w:tcW w:w="1103" w:type="dxa"/>
            <w:tcBorders>
              <w:top w:val="single" w:sz="4" w:space="0" w:color="auto"/>
              <w:left w:val="nil"/>
              <w:bottom w:val="single" w:sz="4" w:space="0" w:color="auto"/>
              <w:right w:val="single" w:sz="4" w:space="0" w:color="auto"/>
            </w:tcBorders>
            <w:shd w:val="clear" w:color="auto" w:fill="C6EFCE"/>
            <w:noWrap/>
          </w:tcPr>
          <w:p w14:paraId="459DD489"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 </w:t>
            </w:r>
          </w:p>
        </w:tc>
        <w:tc>
          <w:tcPr>
            <w:tcW w:w="1269" w:type="dxa"/>
            <w:tcBorders>
              <w:top w:val="single" w:sz="4" w:space="0" w:color="auto"/>
              <w:left w:val="nil"/>
              <w:bottom w:val="single" w:sz="4" w:space="0" w:color="auto"/>
              <w:right w:val="single" w:sz="4" w:space="0" w:color="auto"/>
            </w:tcBorders>
            <w:shd w:val="clear" w:color="auto" w:fill="C6EFCE"/>
            <w:noWrap/>
          </w:tcPr>
          <w:p w14:paraId="52EF7172"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 </w:t>
            </w:r>
          </w:p>
        </w:tc>
        <w:tc>
          <w:tcPr>
            <w:tcW w:w="946" w:type="dxa"/>
            <w:tcBorders>
              <w:top w:val="single" w:sz="4" w:space="0" w:color="auto"/>
              <w:left w:val="nil"/>
              <w:bottom w:val="single" w:sz="4" w:space="0" w:color="auto"/>
              <w:right w:val="single" w:sz="4" w:space="0" w:color="auto"/>
            </w:tcBorders>
            <w:shd w:val="clear" w:color="auto" w:fill="C6EFCE"/>
            <w:noWrap/>
          </w:tcPr>
          <w:p w14:paraId="46E00EE9"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 </w:t>
            </w:r>
          </w:p>
        </w:tc>
        <w:tc>
          <w:tcPr>
            <w:tcW w:w="1018" w:type="dxa"/>
            <w:tcBorders>
              <w:top w:val="single" w:sz="4" w:space="0" w:color="auto"/>
              <w:left w:val="nil"/>
              <w:bottom w:val="single" w:sz="4" w:space="0" w:color="auto"/>
              <w:right w:val="single" w:sz="4" w:space="0" w:color="auto"/>
            </w:tcBorders>
            <w:shd w:val="clear" w:color="auto" w:fill="C6EFCE"/>
            <w:noWrap/>
          </w:tcPr>
          <w:p w14:paraId="1CA8DB16"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nil"/>
              <w:bottom w:val="single" w:sz="4" w:space="0" w:color="auto"/>
              <w:right w:val="single" w:sz="4" w:space="0" w:color="auto"/>
            </w:tcBorders>
            <w:shd w:val="clear" w:color="auto" w:fill="C6EFCE"/>
            <w:noWrap/>
          </w:tcPr>
          <w:p w14:paraId="14E997B0"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2024</w:t>
            </w:r>
          </w:p>
        </w:tc>
        <w:tc>
          <w:tcPr>
            <w:tcW w:w="2864" w:type="dxa"/>
            <w:tcBorders>
              <w:top w:val="single" w:sz="4" w:space="0" w:color="auto"/>
              <w:left w:val="nil"/>
              <w:bottom w:val="single" w:sz="4" w:space="0" w:color="auto"/>
              <w:right w:val="single" w:sz="4" w:space="0" w:color="auto"/>
            </w:tcBorders>
            <w:shd w:val="clear" w:color="auto" w:fill="C6EFCE"/>
            <w:noWrap/>
          </w:tcPr>
          <w:p w14:paraId="606CF35B" w14:textId="53CCAD27" w:rsidR="000F657A" w:rsidRPr="00DD6A04" w:rsidRDefault="000F657A" w:rsidP="0094251A">
            <w:pPr>
              <w:spacing w:before="0" w:after="0" w:line="240" w:lineRule="auto"/>
              <w:rPr>
                <w:rFonts w:eastAsia="Times New Roman"/>
                <w:noProof/>
                <w:color w:val="006100"/>
                <w:sz w:val="22"/>
              </w:rPr>
            </w:pPr>
            <w:r>
              <w:rPr>
                <w:noProof/>
                <w:color w:val="006100"/>
                <w:sz w:val="22"/>
              </w:rPr>
              <w:t>Oddaja naročil za nadgradnjo železniških postaj Ljubljana in Nova Gorica. Razpisne specifikacije bodo zagotavljale skladnost s tehničnimi smernicami za uporabo načela, da se ne škoduje bistveno (2021/C58/01), ter vključevale izboljšave trenutne dostopnosti za potnike in zmogljivosti prog.</w:t>
            </w:r>
            <w:r>
              <w:rPr>
                <w:noProof/>
                <w:sz w:val="22"/>
              </w:rPr>
              <w:t xml:space="preserve"> </w:t>
            </w:r>
            <w:r>
              <w:rPr>
                <w:noProof/>
                <w:color w:val="006100"/>
                <w:sz w:val="22"/>
              </w:rPr>
              <w:t>Projekt nadgradnje železniške postaje Ljubljana bo zagotovil zmogljivost železniške proge do osne obremenitve kategorije D4 (22,5 t/os) za tovorni promet, višje hitrosti, možnost prevoza vlakov z dolžino 740 m za tovorni promet in standard, ki ga zahtevajo tehnične specifikacije za uredbo o interoperabilnosti.</w:t>
            </w:r>
          </w:p>
        </w:tc>
      </w:tr>
      <w:tr w:rsidR="000F657A" w:rsidRPr="00DD6A04" w14:paraId="1FF21EB5" w14:textId="77777777" w:rsidTr="00BE4788">
        <w:trPr>
          <w:trHeight w:val="309"/>
          <w:jc w:val="center"/>
        </w:trPr>
        <w:tc>
          <w:tcPr>
            <w:tcW w:w="1381" w:type="dxa"/>
            <w:tcBorders>
              <w:top w:val="single" w:sz="4" w:space="0" w:color="auto"/>
              <w:left w:val="single" w:sz="4" w:space="0" w:color="auto"/>
              <w:bottom w:val="single" w:sz="4" w:space="0" w:color="auto"/>
              <w:right w:val="single" w:sz="4" w:space="0" w:color="auto"/>
            </w:tcBorders>
            <w:shd w:val="clear" w:color="auto" w:fill="C6EFCE"/>
            <w:noWrap/>
          </w:tcPr>
          <w:p w14:paraId="589D4CE2"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68</w:t>
            </w:r>
          </w:p>
        </w:tc>
        <w:tc>
          <w:tcPr>
            <w:tcW w:w="1195" w:type="dxa"/>
            <w:tcBorders>
              <w:top w:val="single" w:sz="4" w:space="0" w:color="auto"/>
              <w:left w:val="nil"/>
              <w:bottom w:val="single" w:sz="4" w:space="0" w:color="auto"/>
              <w:right w:val="single" w:sz="4" w:space="0" w:color="auto"/>
            </w:tcBorders>
            <w:shd w:val="clear" w:color="auto" w:fill="C6EFCE"/>
            <w:noWrap/>
          </w:tcPr>
          <w:p w14:paraId="259B610E" w14:textId="77777777" w:rsidR="000F657A" w:rsidRPr="00DD6A04" w:rsidRDefault="000F657A" w:rsidP="0094251A">
            <w:pPr>
              <w:spacing w:before="0" w:after="0" w:line="240" w:lineRule="auto"/>
              <w:rPr>
                <w:rFonts w:eastAsia="Times New Roman"/>
                <w:noProof/>
                <w:color w:val="006100"/>
              </w:rPr>
            </w:pPr>
            <w:r>
              <w:rPr>
                <w:noProof/>
                <w:color w:val="006100"/>
              </w:rPr>
              <w:t xml:space="preserve">C: </w:t>
            </w:r>
            <w:r>
              <w:rPr>
                <w:noProof/>
                <w:color w:val="006100"/>
                <w:sz w:val="22"/>
              </w:rPr>
              <w:t>Dodatno povečanje zmogljivosti železniške infrastrukture</w:t>
            </w:r>
          </w:p>
        </w:tc>
        <w:tc>
          <w:tcPr>
            <w:tcW w:w="1122" w:type="dxa"/>
            <w:tcBorders>
              <w:top w:val="single" w:sz="4" w:space="0" w:color="auto"/>
              <w:left w:val="nil"/>
              <w:bottom w:val="single" w:sz="4" w:space="0" w:color="auto"/>
              <w:right w:val="single" w:sz="4" w:space="0" w:color="auto"/>
            </w:tcBorders>
            <w:shd w:val="clear" w:color="auto" w:fill="C6EFCE"/>
            <w:noWrap/>
          </w:tcPr>
          <w:p w14:paraId="41B3C4F6"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tcPr>
          <w:p w14:paraId="2897FACB"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Nadgrajeni železniški postaji Ljubljana in Nova Gorica</w:t>
            </w:r>
          </w:p>
        </w:tc>
        <w:tc>
          <w:tcPr>
            <w:tcW w:w="1675" w:type="dxa"/>
            <w:tcBorders>
              <w:top w:val="single" w:sz="4" w:space="0" w:color="auto"/>
              <w:left w:val="nil"/>
              <w:bottom w:val="single" w:sz="4" w:space="0" w:color="auto"/>
              <w:right w:val="single" w:sz="4" w:space="0" w:color="auto"/>
            </w:tcBorders>
            <w:shd w:val="clear" w:color="auto" w:fill="C6EFCE"/>
            <w:noWrap/>
          </w:tcPr>
          <w:p w14:paraId="697D0706"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 Dokončana gradbena dela in izdano poročilo o tehničnem pregledu</w:t>
            </w:r>
          </w:p>
        </w:tc>
        <w:tc>
          <w:tcPr>
            <w:tcW w:w="1103" w:type="dxa"/>
            <w:tcBorders>
              <w:top w:val="single" w:sz="4" w:space="0" w:color="auto"/>
              <w:left w:val="nil"/>
              <w:bottom w:val="single" w:sz="4" w:space="0" w:color="auto"/>
              <w:right w:val="single" w:sz="4" w:space="0" w:color="auto"/>
            </w:tcBorders>
            <w:shd w:val="clear" w:color="auto" w:fill="C6EFCE"/>
            <w:noWrap/>
          </w:tcPr>
          <w:p w14:paraId="7C8363BE" w14:textId="77777777" w:rsidR="000F657A" w:rsidRPr="00DD6A04" w:rsidRDefault="000F657A" w:rsidP="0094251A">
            <w:pPr>
              <w:spacing w:before="0" w:after="0" w:line="240" w:lineRule="auto"/>
              <w:rPr>
                <w:rFonts w:eastAsia="Times New Roman"/>
                <w:noProof/>
                <w:color w:val="006100"/>
                <w:sz w:val="22"/>
                <w:lang w:val="en-GB" w:eastAsia="en-GB"/>
              </w:rPr>
            </w:pPr>
          </w:p>
        </w:tc>
        <w:tc>
          <w:tcPr>
            <w:tcW w:w="1269" w:type="dxa"/>
            <w:tcBorders>
              <w:top w:val="single" w:sz="4" w:space="0" w:color="auto"/>
              <w:left w:val="nil"/>
              <w:bottom w:val="single" w:sz="4" w:space="0" w:color="auto"/>
              <w:right w:val="single" w:sz="4" w:space="0" w:color="auto"/>
            </w:tcBorders>
            <w:shd w:val="clear" w:color="auto" w:fill="C6EFCE"/>
            <w:noWrap/>
          </w:tcPr>
          <w:p w14:paraId="579665CF" w14:textId="77777777" w:rsidR="000F657A" w:rsidRPr="00DD6A04" w:rsidRDefault="000F657A" w:rsidP="0094251A">
            <w:pPr>
              <w:spacing w:before="0" w:after="0" w:line="240" w:lineRule="auto"/>
              <w:rPr>
                <w:rFonts w:eastAsia="Times New Roman"/>
                <w:noProof/>
                <w:color w:val="006100"/>
                <w:sz w:val="22"/>
                <w:lang w:val="en-GB"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3FCCA4B8" w14:textId="77777777" w:rsidR="000F657A" w:rsidRPr="00DD6A04" w:rsidRDefault="000F657A" w:rsidP="0094251A">
            <w:pPr>
              <w:spacing w:before="0" w:after="0" w:line="240" w:lineRule="auto"/>
              <w:rPr>
                <w:rFonts w:eastAsia="Times New Roman"/>
                <w:noProof/>
                <w:color w:val="006100"/>
                <w:sz w:val="22"/>
                <w:lang w:val="en-GB" w:eastAsia="en-GB"/>
              </w:rPr>
            </w:pPr>
          </w:p>
        </w:tc>
        <w:tc>
          <w:tcPr>
            <w:tcW w:w="1018" w:type="dxa"/>
            <w:tcBorders>
              <w:top w:val="single" w:sz="4" w:space="0" w:color="auto"/>
              <w:left w:val="nil"/>
              <w:bottom w:val="single" w:sz="4" w:space="0" w:color="auto"/>
              <w:right w:val="single" w:sz="4" w:space="0" w:color="auto"/>
            </w:tcBorders>
            <w:shd w:val="clear" w:color="auto" w:fill="C6EFCE"/>
            <w:noWrap/>
          </w:tcPr>
          <w:p w14:paraId="28D7FD9D"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nil"/>
              <w:bottom w:val="single" w:sz="4" w:space="0" w:color="auto"/>
              <w:right w:val="single" w:sz="4" w:space="0" w:color="auto"/>
            </w:tcBorders>
            <w:shd w:val="clear" w:color="auto" w:fill="C6EFCE"/>
            <w:noWrap/>
          </w:tcPr>
          <w:p w14:paraId="0129308D"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2026</w:t>
            </w:r>
          </w:p>
        </w:tc>
        <w:tc>
          <w:tcPr>
            <w:tcW w:w="2864" w:type="dxa"/>
            <w:tcBorders>
              <w:top w:val="single" w:sz="4" w:space="0" w:color="auto"/>
              <w:left w:val="nil"/>
              <w:bottom w:val="single" w:sz="4" w:space="0" w:color="auto"/>
              <w:right w:val="single" w:sz="4" w:space="0" w:color="auto"/>
            </w:tcBorders>
            <w:shd w:val="clear" w:color="auto" w:fill="C6EFCE"/>
            <w:noWrap/>
          </w:tcPr>
          <w:p w14:paraId="243853C3" w14:textId="5303423F" w:rsidR="000F657A" w:rsidRPr="00DD6A04" w:rsidRDefault="000F657A" w:rsidP="0094251A">
            <w:pPr>
              <w:spacing w:before="0" w:after="0" w:line="240" w:lineRule="auto"/>
              <w:rPr>
                <w:rFonts w:eastAsia="Times New Roman"/>
                <w:noProof/>
                <w:color w:val="006100"/>
                <w:sz w:val="22"/>
              </w:rPr>
            </w:pPr>
            <w:r>
              <w:rPr>
                <w:noProof/>
                <w:color w:val="006100"/>
                <w:sz w:val="22"/>
              </w:rPr>
              <w:t>Dokončana obnovitvena dela na železniških postajah Ljubljana in Nova Gorica v skladu z zahtevami iz mejnika 67 in izdano poročilo o tehničnem pregledu.</w:t>
            </w:r>
          </w:p>
        </w:tc>
      </w:tr>
      <w:tr w:rsidR="000F657A" w:rsidRPr="00DD6A04" w14:paraId="263A0B07" w14:textId="77777777" w:rsidTr="00BE4788">
        <w:trPr>
          <w:trHeight w:val="309"/>
          <w:jc w:val="center"/>
        </w:trPr>
        <w:tc>
          <w:tcPr>
            <w:tcW w:w="1381" w:type="dxa"/>
            <w:tcBorders>
              <w:top w:val="single" w:sz="4" w:space="0" w:color="auto"/>
              <w:left w:val="single" w:sz="4" w:space="0" w:color="auto"/>
              <w:bottom w:val="single" w:sz="4" w:space="0" w:color="auto"/>
              <w:right w:val="single" w:sz="4" w:space="0" w:color="auto"/>
            </w:tcBorders>
            <w:shd w:val="clear" w:color="auto" w:fill="C6EFCE"/>
            <w:noWrap/>
          </w:tcPr>
          <w:p w14:paraId="2690D3F2"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68bis</w:t>
            </w:r>
          </w:p>
        </w:tc>
        <w:tc>
          <w:tcPr>
            <w:tcW w:w="1195" w:type="dxa"/>
            <w:tcBorders>
              <w:top w:val="single" w:sz="4" w:space="0" w:color="auto"/>
              <w:left w:val="nil"/>
              <w:bottom w:val="single" w:sz="4" w:space="0" w:color="auto"/>
              <w:right w:val="single" w:sz="4" w:space="0" w:color="auto"/>
            </w:tcBorders>
            <w:shd w:val="clear" w:color="auto" w:fill="C6EFCE"/>
            <w:noWrap/>
          </w:tcPr>
          <w:p w14:paraId="1D1FA001" w14:textId="77777777" w:rsidR="000F657A" w:rsidRPr="00DD6A04" w:rsidRDefault="000F657A" w:rsidP="0094251A">
            <w:pPr>
              <w:spacing w:before="0" w:after="0" w:line="240" w:lineRule="auto"/>
              <w:rPr>
                <w:rFonts w:eastAsia="Times New Roman"/>
                <w:noProof/>
                <w:color w:val="006100"/>
              </w:rPr>
            </w:pPr>
            <w:r>
              <w:rPr>
                <w:noProof/>
                <w:color w:val="006100"/>
                <w:sz w:val="22"/>
              </w:rPr>
              <w:t>C: Dodatno povečanje zmogljivosti železniške infrastrukture</w:t>
            </w:r>
          </w:p>
        </w:tc>
        <w:tc>
          <w:tcPr>
            <w:tcW w:w="1122" w:type="dxa"/>
            <w:tcBorders>
              <w:top w:val="single" w:sz="4" w:space="0" w:color="auto"/>
              <w:left w:val="nil"/>
              <w:bottom w:val="single" w:sz="4" w:space="0" w:color="auto"/>
              <w:right w:val="single" w:sz="4" w:space="0" w:color="auto"/>
            </w:tcBorders>
            <w:shd w:val="clear" w:color="auto" w:fill="C6EFCE"/>
            <w:noWrap/>
          </w:tcPr>
          <w:p w14:paraId="614A0138" w14:textId="77777777" w:rsidR="000F657A" w:rsidRPr="00DD6A04" w:rsidRDefault="000F657A" w:rsidP="0094251A">
            <w:pPr>
              <w:spacing w:before="0" w:after="0" w:line="256" w:lineRule="auto"/>
              <w:rPr>
                <w:rFonts w:eastAsia="Times New Roman"/>
                <w:noProof/>
                <w:color w:val="006100"/>
                <w:sz w:val="22"/>
              </w:rPr>
            </w:pPr>
            <w:r>
              <w:rPr>
                <w:noProof/>
                <w:color w:val="006100"/>
                <w:sz w:val="22"/>
              </w:rPr>
              <w:t>Cilj</w:t>
            </w:r>
          </w:p>
        </w:tc>
        <w:tc>
          <w:tcPr>
            <w:tcW w:w="1701" w:type="dxa"/>
            <w:tcBorders>
              <w:top w:val="single" w:sz="4" w:space="0" w:color="auto"/>
              <w:left w:val="nil"/>
              <w:bottom w:val="single" w:sz="4" w:space="0" w:color="auto"/>
              <w:right w:val="single" w:sz="4" w:space="0" w:color="auto"/>
            </w:tcBorders>
            <w:shd w:val="clear" w:color="auto" w:fill="C6EFCE"/>
            <w:noWrap/>
          </w:tcPr>
          <w:p w14:paraId="6F1DA209"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 xml:space="preserve">Dolžina nadgrajenih železniških prog </w:t>
            </w:r>
          </w:p>
        </w:tc>
        <w:tc>
          <w:tcPr>
            <w:tcW w:w="1675" w:type="dxa"/>
            <w:tcBorders>
              <w:top w:val="single" w:sz="4" w:space="0" w:color="auto"/>
              <w:left w:val="nil"/>
              <w:bottom w:val="single" w:sz="4" w:space="0" w:color="auto"/>
              <w:right w:val="single" w:sz="4" w:space="0" w:color="auto"/>
            </w:tcBorders>
            <w:shd w:val="clear" w:color="auto" w:fill="C6EFCE"/>
            <w:noWrap/>
          </w:tcPr>
          <w:p w14:paraId="5EDE2FF3"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 </w:t>
            </w:r>
          </w:p>
        </w:tc>
        <w:tc>
          <w:tcPr>
            <w:tcW w:w="1103" w:type="dxa"/>
            <w:tcBorders>
              <w:top w:val="single" w:sz="4" w:space="0" w:color="auto"/>
              <w:left w:val="nil"/>
              <w:bottom w:val="single" w:sz="4" w:space="0" w:color="auto"/>
              <w:right w:val="single" w:sz="4" w:space="0" w:color="auto"/>
            </w:tcBorders>
            <w:shd w:val="clear" w:color="auto" w:fill="C6EFCE"/>
            <w:noWrap/>
          </w:tcPr>
          <w:p w14:paraId="0CE260B6" w14:textId="77777777" w:rsidR="000F657A" w:rsidRPr="00DD6A04" w:rsidRDefault="000F657A" w:rsidP="0094251A">
            <w:pPr>
              <w:spacing w:before="0" w:after="0" w:line="256" w:lineRule="auto"/>
              <w:rPr>
                <w:rFonts w:eastAsia="Times New Roman"/>
                <w:noProof/>
                <w:color w:val="006100"/>
                <w:sz w:val="22"/>
              </w:rPr>
            </w:pPr>
            <w:r>
              <w:rPr>
                <w:noProof/>
                <w:color w:val="006100"/>
                <w:sz w:val="22"/>
              </w:rPr>
              <w:t>Število</w:t>
            </w:r>
          </w:p>
          <w:p w14:paraId="63A4DB04"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(km)</w:t>
            </w:r>
          </w:p>
        </w:tc>
        <w:tc>
          <w:tcPr>
            <w:tcW w:w="1269" w:type="dxa"/>
            <w:tcBorders>
              <w:top w:val="single" w:sz="4" w:space="0" w:color="auto"/>
              <w:left w:val="nil"/>
              <w:bottom w:val="single" w:sz="4" w:space="0" w:color="auto"/>
              <w:right w:val="single" w:sz="4" w:space="0" w:color="auto"/>
            </w:tcBorders>
            <w:shd w:val="clear" w:color="auto" w:fill="C6EFCE"/>
            <w:noWrap/>
          </w:tcPr>
          <w:p w14:paraId="46730B6F"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0</w:t>
            </w:r>
          </w:p>
        </w:tc>
        <w:tc>
          <w:tcPr>
            <w:tcW w:w="946" w:type="dxa"/>
            <w:tcBorders>
              <w:top w:val="single" w:sz="4" w:space="0" w:color="auto"/>
              <w:left w:val="nil"/>
              <w:bottom w:val="single" w:sz="4" w:space="0" w:color="auto"/>
              <w:right w:val="single" w:sz="4" w:space="0" w:color="auto"/>
            </w:tcBorders>
            <w:shd w:val="clear" w:color="auto" w:fill="C6EFCE"/>
            <w:noWrap/>
          </w:tcPr>
          <w:p w14:paraId="468A7924"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54</w:t>
            </w:r>
          </w:p>
        </w:tc>
        <w:tc>
          <w:tcPr>
            <w:tcW w:w="1018" w:type="dxa"/>
            <w:tcBorders>
              <w:top w:val="single" w:sz="4" w:space="0" w:color="auto"/>
              <w:left w:val="nil"/>
              <w:bottom w:val="single" w:sz="4" w:space="0" w:color="auto"/>
              <w:right w:val="single" w:sz="4" w:space="0" w:color="auto"/>
            </w:tcBorders>
            <w:shd w:val="clear" w:color="auto" w:fill="C6EFCE"/>
            <w:noWrap/>
          </w:tcPr>
          <w:p w14:paraId="49562F6C"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nil"/>
              <w:bottom w:val="single" w:sz="4" w:space="0" w:color="auto"/>
              <w:right w:val="single" w:sz="4" w:space="0" w:color="auto"/>
            </w:tcBorders>
            <w:shd w:val="clear" w:color="auto" w:fill="C6EFCE"/>
            <w:noWrap/>
          </w:tcPr>
          <w:p w14:paraId="0A6617CE"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2026</w:t>
            </w:r>
          </w:p>
        </w:tc>
        <w:tc>
          <w:tcPr>
            <w:tcW w:w="2864" w:type="dxa"/>
            <w:tcBorders>
              <w:top w:val="single" w:sz="4" w:space="0" w:color="auto"/>
              <w:left w:val="nil"/>
              <w:bottom w:val="single" w:sz="4" w:space="0" w:color="auto"/>
              <w:right w:val="single" w:sz="4" w:space="0" w:color="auto"/>
            </w:tcBorders>
            <w:shd w:val="clear" w:color="auto" w:fill="C6EFCE"/>
            <w:noWrap/>
          </w:tcPr>
          <w:p w14:paraId="09ABFDF3" w14:textId="77777777" w:rsidR="000F657A" w:rsidRPr="00DD6A04" w:rsidRDefault="000F657A" w:rsidP="0094251A">
            <w:pPr>
              <w:spacing w:before="0" w:after="0" w:line="240" w:lineRule="auto"/>
              <w:rPr>
                <w:rFonts w:eastAsia="Times New Roman"/>
                <w:noProof/>
                <w:color w:val="006100"/>
                <w:sz w:val="22"/>
              </w:rPr>
            </w:pPr>
            <w:r>
              <w:rPr>
                <w:noProof/>
                <w:color w:val="006100"/>
                <w:sz w:val="22"/>
              </w:rPr>
              <w:t>Kilometri obnovljene železniške proge (Bled Jezero–Bohinjska Bistrica, Sveti Daniel–Dravograd–državna meja ter Ljubljana–Brezovica–Borovnica) v skladu z zahtevami iz mejnika 67bis (za odseka Bled Jezero–Bohinjska Bistrica, Sveti Daniel–Dravograd–državna meja) in v skladu z zahtevami mejnika 57 (za odsek Ljubljana–Brezovica–Borovnica).</w:t>
            </w:r>
          </w:p>
        </w:tc>
      </w:tr>
    </w:tbl>
    <w:p w14:paraId="2D756C9B" w14:textId="7A00A1C3" w:rsidR="000F657A" w:rsidRPr="00DD6A04" w:rsidRDefault="000F657A" w:rsidP="003C6015">
      <w:pPr>
        <w:spacing w:line="240" w:lineRule="auto"/>
        <w:ind w:left="709"/>
        <w:jc w:val="both"/>
        <w:rPr>
          <w:noProof/>
          <w:szCs w:val="24"/>
          <w:lang w:val="en-GB"/>
        </w:rPr>
        <w:sectPr w:rsidR="000F657A" w:rsidRPr="00DD6A04" w:rsidSect="00073927">
          <w:headerReference w:type="even" r:id="rId108"/>
          <w:headerReference w:type="default" r:id="rId109"/>
          <w:footerReference w:type="even" r:id="rId110"/>
          <w:footerReference w:type="default" r:id="rId111"/>
          <w:headerReference w:type="first" r:id="rId112"/>
          <w:footerReference w:type="first" r:id="rId113"/>
          <w:pgSz w:w="16839" w:h="11907" w:orient="landscape"/>
          <w:pgMar w:top="1134" w:right="1134" w:bottom="1134" w:left="1134" w:header="567" w:footer="567" w:gutter="0"/>
          <w:cols w:space="720"/>
          <w:docGrid w:linePitch="326"/>
        </w:sectPr>
      </w:pPr>
    </w:p>
    <w:p w14:paraId="0CD44F7A" w14:textId="77777777" w:rsidR="003C6015" w:rsidRPr="00DD6A04" w:rsidRDefault="003C6015" w:rsidP="003C6015">
      <w:pPr>
        <w:keepNext/>
        <w:tabs>
          <w:tab w:val="left" w:pos="850"/>
        </w:tabs>
        <w:spacing w:line="240" w:lineRule="auto"/>
        <w:jc w:val="both"/>
        <w:outlineLvl w:val="0"/>
        <w:rPr>
          <w:b/>
          <w:smallCaps/>
          <w:noProof/>
        </w:rPr>
      </w:pPr>
      <w:r>
        <w:rPr>
          <w:b/>
          <w:smallCaps/>
          <w:noProof/>
        </w:rPr>
        <w:t>E. KOMPONENTA 5: KROŽNO GOSPODARSTVO – UČINKOVITA RABA VIROV</w:t>
      </w:r>
    </w:p>
    <w:p w14:paraId="47F9B4A4" w14:textId="77777777" w:rsidR="003C6015" w:rsidRPr="00DD6A04" w:rsidRDefault="003C6015" w:rsidP="003C6015">
      <w:pPr>
        <w:spacing w:line="240" w:lineRule="auto"/>
        <w:jc w:val="both"/>
        <w:rPr>
          <w:noProof/>
        </w:rPr>
      </w:pPr>
      <w:r>
        <w:rPr>
          <w:noProof/>
        </w:rPr>
        <w:t>Ta komponenta slovenskega načrta za okrevanje in odpornost obravnava izzive, povezane z doseganjem podnebne nevtralnosti do leta 2050, povečanjem produktivnosti materialov, spodbujanjem energetske učinkovitosti in ekoloških inovacij, izboljšanjem sistema ravnanja z odpadki in krepitvijo lesne predelovalne verige. Komponenta uvaja tudi zeleno proračunsko načrtovanje.</w:t>
      </w:r>
    </w:p>
    <w:p w14:paraId="5193CFB1" w14:textId="77777777" w:rsidR="003C6015" w:rsidRPr="00DD6A04" w:rsidRDefault="003C6015" w:rsidP="003C6015">
      <w:pPr>
        <w:spacing w:line="240" w:lineRule="auto"/>
        <w:jc w:val="both"/>
        <w:rPr>
          <w:noProof/>
        </w:rPr>
      </w:pPr>
      <w:r>
        <w:rPr>
          <w:noProof/>
        </w:rPr>
        <w:t xml:space="preserve">Cilj komponente je podpreti prehod slovenskega linearnega gospodarstva na nizkoogljično krožno gospodarstvo v skladu s Strategijo razvoja Slovenije 2030 in novim akcijskim načrtom EU za krožno gospodarstvo: „ Za čistejšo in konkurenčnejšo Evropo“. </w:t>
      </w:r>
    </w:p>
    <w:p w14:paraId="2E93AA85" w14:textId="77777777" w:rsidR="003C6015" w:rsidRPr="00DD6A04" w:rsidRDefault="003C6015" w:rsidP="003C6015">
      <w:pPr>
        <w:spacing w:line="240" w:lineRule="auto"/>
        <w:jc w:val="both"/>
        <w:rPr>
          <w:noProof/>
        </w:rPr>
      </w:pPr>
      <w:r>
        <w:rPr>
          <w:noProof/>
        </w:rPr>
        <w:t>Te investicije in reforme bodo prispevale k specifičnim priporočilom za Slovenijo v zadnjih dveh letih, in sicer naj „ekonomsko politiko v zvezi z naložbami osredotoči na [...] nizkoogljični in energijski prehod“ (specifično priporočilo št. 3 iz leta 2019) ter „[u]smeri naložbe na zeleni [...] prehod, zlasti na čisto in učinkovito proizvodnjo in rabo energije, okoljsko infrastrukturo“ (specifično priporočilo št. 3 iz leta 2020).</w:t>
      </w:r>
    </w:p>
    <w:p w14:paraId="72017566" w14:textId="3B93F899"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05B0FAA5" w14:textId="77777777" w:rsidR="003C6015" w:rsidRPr="00DD6A04" w:rsidRDefault="003C6015" w:rsidP="003C6015">
      <w:pPr>
        <w:spacing w:line="240" w:lineRule="auto"/>
        <w:jc w:val="both"/>
        <w:rPr>
          <w:b/>
          <w:i/>
          <w:noProof/>
          <w:color w:val="4F81BD"/>
        </w:rPr>
      </w:pPr>
      <w:r>
        <w:rPr>
          <w:b/>
          <w:noProof/>
          <w:u w:val="single"/>
        </w:rPr>
        <w:t xml:space="preserve">E.1 </w:t>
      </w:r>
      <w:r>
        <w:rPr>
          <w:b/>
          <w:noProof/>
          <w:u w:val="single"/>
        </w:rPr>
        <w:tab/>
        <w:t>Opis reform in naložb za nepovratno finančno podporo</w:t>
      </w:r>
    </w:p>
    <w:p w14:paraId="718C4615" w14:textId="77777777" w:rsidR="003C6015" w:rsidRPr="00DD6A04" w:rsidRDefault="003C6015" w:rsidP="003C6015">
      <w:pPr>
        <w:spacing w:line="240" w:lineRule="auto"/>
        <w:jc w:val="both"/>
        <w:rPr>
          <w:noProof/>
          <w:u w:val="single"/>
        </w:rPr>
      </w:pPr>
      <w:r>
        <w:rPr>
          <w:noProof/>
          <w:u w:val="single"/>
        </w:rPr>
        <w:t>Reforma A. Vzpostavitev okvira za trajnostno in zeleno transformacijo</w:t>
      </w:r>
    </w:p>
    <w:p w14:paraId="2D699209" w14:textId="77777777" w:rsidR="003C6015" w:rsidRPr="00DD6A04" w:rsidRDefault="003C6015" w:rsidP="003C6015">
      <w:pPr>
        <w:spacing w:line="240" w:lineRule="auto"/>
        <w:jc w:val="both"/>
        <w:rPr>
          <w:noProof/>
        </w:rPr>
      </w:pPr>
      <w:r>
        <w:rPr>
          <w:noProof/>
        </w:rPr>
        <w:t xml:space="preserve">Cilj reforme je pospešiti prehod na krožno gospodarstvo za učinkovito rabo virov. </w:t>
      </w:r>
    </w:p>
    <w:p w14:paraId="4614273B" w14:textId="77777777" w:rsidR="003C6015" w:rsidRPr="00DD6A04" w:rsidRDefault="003C6015" w:rsidP="003C6015">
      <w:pPr>
        <w:spacing w:line="240" w:lineRule="auto"/>
        <w:jc w:val="both"/>
        <w:rPr>
          <w:noProof/>
        </w:rPr>
      </w:pPr>
      <w:r>
        <w:rPr>
          <w:noProof/>
        </w:rPr>
        <w:t xml:space="preserve">Vzpostavljen bo strateški in pravni okvir za prehod na krožno gospodarstvo, da se izboljša podaljšana odgovornost proizvajalcev in spodbudi vključevanje recikliranih materialov v nove izdelke. Z reformo bo vzpostavljeno zeleno proračunsko načrtovanje, pri čemer bo uvedena metodologija za opredelitev in oceno elementov javnega proračuna, ki vplivajo na okoljske politike. Reforma bo olajšala usmerjanje proračuna ter podpirala skladnost proračunskih in fiskalnih politik s podnebnimi cilji. Poleg tega bo z vključevanjem načel krožnega gospodarstva okrepila obstoječi sistem zelenih javnih naročil. V okviru reforme bo vzpostavljena enotna točka, ki bo podpirala podjetja, zlasti mala in srednja podjetja (MSP), pri prehodu na krožno gospodarstvo. </w:t>
      </w:r>
    </w:p>
    <w:p w14:paraId="0E31D29C" w14:textId="77777777" w:rsidR="003C6015" w:rsidRPr="00DD6A04" w:rsidRDefault="003C6015" w:rsidP="003C6015">
      <w:pPr>
        <w:spacing w:line="240" w:lineRule="auto"/>
        <w:jc w:val="both"/>
        <w:rPr>
          <w:noProof/>
        </w:rPr>
      </w:pPr>
      <w:r>
        <w:rPr>
          <w:noProof/>
        </w:rPr>
        <w:t>Mejniki v zvezi z izvedbo reforme bodo doseženi do 31. decembra 2023.</w:t>
      </w:r>
    </w:p>
    <w:p w14:paraId="28696BC9" w14:textId="77777777" w:rsidR="003C6015" w:rsidRPr="00DD6A04" w:rsidRDefault="003C6015" w:rsidP="003C6015">
      <w:pPr>
        <w:spacing w:line="240" w:lineRule="auto"/>
        <w:jc w:val="both"/>
        <w:rPr>
          <w:noProof/>
        </w:rPr>
      </w:pPr>
      <w:r>
        <w:rPr>
          <w:noProof/>
          <w:u w:val="single"/>
        </w:rPr>
        <w:t>Investicija B. Celoviti strateški projekt razogljičenja Slovenije preko prehoda v krožno gospodarstvo</w:t>
      </w:r>
    </w:p>
    <w:p w14:paraId="6F58D1F0" w14:textId="6FFAD514" w:rsidR="003C6015" w:rsidRPr="00DD6A04" w:rsidRDefault="003C6015" w:rsidP="003C6015">
      <w:pPr>
        <w:spacing w:line="240" w:lineRule="auto"/>
        <w:jc w:val="both"/>
        <w:rPr>
          <w:noProof/>
        </w:rPr>
      </w:pPr>
      <w:r>
        <w:rPr>
          <w:noProof/>
        </w:rPr>
        <w:t xml:space="preserve">Cilj investicije je povečati učinkovitost virov podjetij in podpreti njihov prehod v krožno gospodarstvo. </w:t>
      </w:r>
    </w:p>
    <w:p w14:paraId="3D7ACED0" w14:textId="5A2E763B" w:rsidR="003C6015" w:rsidRPr="00DD6A04" w:rsidRDefault="0739A87F" w:rsidP="003C6015">
      <w:pPr>
        <w:spacing w:line="240" w:lineRule="auto"/>
        <w:jc w:val="both"/>
        <w:rPr>
          <w:noProof/>
        </w:rPr>
      </w:pPr>
      <w:r>
        <w:rPr>
          <w:noProof/>
        </w:rPr>
        <w:t>Projekti v okviru te investicije bodo zajemali podpiranje zagonskih podjetij na področju nizkoogljičnega krožnega gospodarstva, usposabljanje mentorjev za pomoč podjetjem pri iskanju in razvoju transformativnih rešitev ter podpiranje krožnih vrednostnih verig prek okolju prijaznega poslovnega okolja za vlagatelje.</w:t>
      </w:r>
    </w:p>
    <w:p w14:paraId="2B5CC753" w14:textId="77777777" w:rsidR="003C6015" w:rsidRPr="00DD6A04" w:rsidRDefault="003C6015" w:rsidP="003C6015">
      <w:pPr>
        <w:spacing w:line="240" w:lineRule="auto"/>
        <w:jc w:val="both"/>
        <w:rPr>
          <w:noProof/>
        </w:rPr>
      </w:pPr>
      <w:r>
        <w:rPr>
          <w:noProof/>
        </w:rPr>
        <w:t xml:space="preserve">Mejniki in cilji v zvezi z izvedbo investicije bodo doseženi do 31. decembra 2025. </w:t>
      </w:r>
    </w:p>
    <w:p w14:paraId="215772C0" w14:textId="77777777" w:rsidR="003C6015" w:rsidRPr="00DD6A04" w:rsidRDefault="003C6015" w:rsidP="003C6015">
      <w:pPr>
        <w:spacing w:line="240" w:lineRule="auto"/>
        <w:jc w:val="both"/>
        <w:rPr>
          <w:noProof/>
          <w:u w:val="single"/>
        </w:rPr>
      </w:pPr>
      <w:r>
        <w:rPr>
          <w:noProof/>
          <w:u w:val="single"/>
        </w:rPr>
        <w:t>Investicija C. Večja predelava lesa za hitrejši prehod v podnebno nevtralno družbo</w:t>
      </w:r>
    </w:p>
    <w:p w14:paraId="32DA010C" w14:textId="77777777" w:rsidR="003C6015" w:rsidRPr="00DD6A04" w:rsidRDefault="003C6015" w:rsidP="003C6015">
      <w:pPr>
        <w:spacing w:line="240" w:lineRule="auto"/>
        <w:jc w:val="both"/>
        <w:rPr>
          <w:noProof/>
        </w:rPr>
      </w:pPr>
      <w:r>
        <w:rPr>
          <w:noProof/>
        </w:rPr>
        <w:t>Ta investicija naj bi prispevala k večji domači predelavi lesa na podlagi okolju prijaznega proizvodnega procesa in učinkovite rabe virov.</w:t>
      </w:r>
    </w:p>
    <w:p w14:paraId="70670645" w14:textId="437AADD8" w:rsidR="003C6015" w:rsidRPr="00DD6A04" w:rsidRDefault="003C6015" w:rsidP="003C6015">
      <w:pPr>
        <w:spacing w:line="240" w:lineRule="auto"/>
        <w:jc w:val="both"/>
        <w:rPr>
          <w:noProof/>
        </w:rPr>
      </w:pPr>
      <w:r>
        <w:rPr>
          <w:noProof/>
        </w:rPr>
        <w:t>S to investicijo se bodo financirale nove zmogljivosti in širitev obstoječih zmogljivosti za predelavo lesa. V obeh primerih se bodo pri dejavnostih upoštevala načela trajnostne gradnje in uporabe najboljših razpoložljivih tehnik. Poleg tega bodo zanje veljala stroga merila za uporabo načela, da se ne škoduje bistveno, zlasti v zvezi z zaščito biotske raznovrstnosti.</w:t>
      </w:r>
    </w:p>
    <w:p w14:paraId="3B6867E6" w14:textId="77777777" w:rsidR="003C6015" w:rsidRPr="00DD6A04" w:rsidRDefault="003C6015" w:rsidP="003C6015">
      <w:pPr>
        <w:spacing w:line="240" w:lineRule="auto"/>
        <w:jc w:val="both"/>
        <w:rPr>
          <w:noProof/>
        </w:rPr>
      </w:pPr>
      <w:r>
        <w:rPr>
          <w:noProof/>
        </w:rPr>
        <w:t>Investicija bo dokončana do 30. junija 2026.</w:t>
      </w:r>
    </w:p>
    <w:p w14:paraId="2F66AC83" w14:textId="77777777" w:rsidR="003C6015" w:rsidRPr="00DD6A04" w:rsidRDefault="003C6015" w:rsidP="003C6015">
      <w:pPr>
        <w:spacing w:line="240" w:lineRule="auto"/>
        <w:ind w:left="850"/>
        <w:jc w:val="both"/>
        <w:rPr>
          <w:noProof/>
          <w:lang w:val="en-GB"/>
        </w:rPr>
      </w:pPr>
    </w:p>
    <w:p w14:paraId="10F4DBC9" w14:textId="77777777" w:rsidR="003C6015" w:rsidRPr="00DD6A04" w:rsidRDefault="003C6015" w:rsidP="003C6015">
      <w:pPr>
        <w:spacing w:line="240" w:lineRule="auto"/>
        <w:ind w:left="850"/>
        <w:jc w:val="both"/>
        <w:rPr>
          <w:noProof/>
          <w:u w:val="single"/>
          <w:lang w:val="en-GB"/>
        </w:rPr>
        <w:sectPr w:rsidR="003C6015" w:rsidRPr="00DD6A04" w:rsidSect="00073927">
          <w:headerReference w:type="even" r:id="rId114"/>
          <w:headerReference w:type="default" r:id="rId115"/>
          <w:footerReference w:type="even" r:id="rId116"/>
          <w:footerReference w:type="default" r:id="rId117"/>
          <w:headerReference w:type="first" r:id="rId118"/>
          <w:footerReference w:type="first" r:id="rId119"/>
          <w:pgSz w:w="11907" w:h="16839"/>
          <w:pgMar w:top="1134" w:right="1134" w:bottom="1134" w:left="1134" w:header="567" w:footer="567" w:gutter="0"/>
          <w:cols w:space="720"/>
          <w:docGrid w:linePitch="326"/>
        </w:sectPr>
      </w:pPr>
    </w:p>
    <w:p w14:paraId="1CA0585B" w14:textId="77777777" w:rsidR="003C6015" w:rsidRPr="00DD6A04" w:rsidRDefault="003C6015" w:rsidP="003C6015">
      <w:pPr>
        <w:spacing w:line="240" w:lineRule="auto"/>
        <w:ind w:left="850"/>
        <w:jc w:val="both"/>
        <w:rPr>
          <w:b/>
          <w:noProof/>
          <w:u w:val="single"/>
        </w:rPr>
      </w:pPr>
      <w:r>
        <w:rPr>
          <w:b/>
          <w:noProof/>
          <w:u w:val="single"/>
        </w:rPr>
        <w:t xml:space="preserve">E.2 </w:t>
      </w:r>
      <w:r>
        <w:rPr>
          <w:b/>
          <w:noProof/>
          <w:u w:val="single"/>
        </w:rPr>
        <w:tab/>
        <w:t>Mejniki, cilji, kazalniki in časovni razpored za spremljanje in izvajanje nepovratne finančne podpore</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559"/>
        <w:gridCol w:w="1066"/>
        <w:gridCol w:w="1624"/>
        <w:gridCol w:w="1732"/>
        <w:gridCol w:w="1079"/>
        <w:gridCol w:w="1079"/>
        <w:gridCol w:w="929"/>
        <w:gridCol w:w="1007"/>
        <w:gridCol w:w="782"/>
        <w:gridCol w:w="3807"/>
      </w:tblGrid>
      <w:tr w:rsidR="003C6015" w:rsidRPr="00DD6A04" w14:paraId="68EA9D00" w14:textId="77777777" w:rsidTr="00BE4788">
        <w:trPr>
          <w:trHeight w:val="927"/>
          <w:tblHeader/>
          <w:jc w:val="center"/>
        </w:trPr>
        <w:tc>
          <w:tcPr>
            <w:tcW w:w="1366" w:type="dxa"/>
            <w:vMerge w:val="restart"/>
            <w:shd w:val="clear" w:color="auto" w:fill="BDD7EE"/>
            <w:vAlign w:val="center"/>
            <w:hideMark/>
          </w:tcPr>
          <w:p w14:paraId="4E6A6696" w14:textId="77777777" w:rsidR="003C6015" w:rsidRPr="00DD6A04" w:rsidRDefault="003C6015" w:rsidP="003C6015">
            <w:pPr>
              <w:spacing w:before="0" w:after="0" w:line="256" w:lineRule="auto"/>
              <w:jc w:val="center"/>
              <w:rPr>
                <w:rFonts w:eastAsia="Times New Roman"/>
                <w:b/>
                <w:noProof/>
              </w:rPr>
            </w:pPr>
            <w:r>
              <w:rPr>
                <w:b/>
                <w:noProof/>
              </w:rPr>
              <w:t>Zaporedna številka</w:t>
            </w:r>
          </w:p>
        </w:tc>
        <w:tc>
          <w:tcPr>
            <w:tcW w:w="1559" w:type="dxa"/>
            <w:vMerge w:val="restart"/>
            <w:shd w:val="clear" w:color="auto" w:fill="BDD7EE"/>
            <w:vAlign w:val="center"/>
            <w:hideMark/>
          </w:tcPr>
          <w:p w14:paraId="62EE65ED" w14:textId="77777777" w:rsidR="003C6015" w:rsidRPr="00DD6A04" w:rsidRDefault="003C6015" w:rsidP="003C6015">
            <w:pPr>
              <w:spacing w:before="0" w:after="0" w:line="256" w:lineRule="auto"/>
              <w:jc w:val="center"/>
              <w:rPr>
                <w:rFonts w:eastAsia="Times New Roman"/>
                <w:b/>
                <w:noProof/>
              </w:rPr>
            </w:pPr>
            <w:r>
              <w:rPr>
                <w:b/>
                <w:noProof/>
              </w:rPr>
              <w:t>Povezani ukrep (reforma ali naložba)</w:t>
            </w:r>
          </w:p>
        </w:tc>
        <w:tc>
          <w:tcPr>
            <w:tcW w:w="1066" w:type="dxa"/>
            <w:vMerge w:val="restart"/>
            <w:shd w:val="clear" w:color="auto" w:fill="BDD7EE"/>
            <w:vAlign w:val="center"/>
            <w:hideMark/>
          </w:tcPr>
          <w:p w14:paraId="6EC92257" w14:textId="77777777" w:rsidR="003C6015" w:rsidRPr="00DD6A04" w:rsidRDefault="003C6015" w:rsidP="003C6015">
            <w:pPr>
              <w:spacing w:before="0" w:after="0" w:line="256" w:lineRule="auto"/>
              <w:jc w:val="center"/>
              <w:rPr>
                <w:rFonts w:eastAsia="Times New Roman"/>
                <w:b/>
                <w:noProof/>
              </w:rPr>
            </w:pPr>
            <w:r>
              <w:rPr>
                <w:b/>
                <w:noProof/>
              </w:rPr>
              <w:t>Mejnik/cilj</w:t>
            </w:r>
          </w:p>
        </w:tc>
        <w:tc>
          <w:tcPr>
            <w:tcW w:w="1624" w:type="dxa"/>
            <w:vMerge w:val="restart"/>
            <w:shd w:val="clear" w:color="auto" w:fill="BDD7EE"/>
            <w:vAlign w:val="center"/>
            <w:hideMark/>
          </w:tcPr>
          <w:p w14:paraId="35375D5D" w14:textId="77777777" w:rsidR="003C6015" w:rsidRPr="00DD6A04" w:rsidRDefault="003C6015" w:rsidP="003C6015">
            <w:pPr>
              <w:spacing w:before="0" w:after="0" w:line="256" w:lineRule="auto"/>
              <w:jc w:val="center"/>
              <w:rPr>
                <w:rFonts w:eastAsia="Times New Roman"/>
                <w:b/>
                <w:noProof/>
              </w:rPr>
            </w:pPr>
            <w:r>
              <w:rPr>
                <w:b/>
                <w:noProof/>
              </w:rPr>
              <w:t>Ime</w:t>
            </w:r>
          </w:p>
        </w:tc>
        <w:tc>
          <w:tcPr>
            <w:tcW w:w="1732" w:type="dxa"/>
            <w:vMerge w:val="restart"/>
            <w:shd w:val="clear" w:color="auto" w:fill="BDD7EE"/>
            <w:vAlign w:val="center"/>
            <w:hideMark/>
          </w:tcPr>
          <w:p w14:paraId="28059912" w14:textId="77777777" w:rsidR="003C6015" w:rsidRPr="00DD6A04" w:rsidRDefault="003C6015" w:rsidP="003C6015">
            <w:pPr>
              <w:spacing w:before="0" w:after="0" w:line="256" w:lineRule="auto"/>
              <w:jc w:val="center"/>
              <w:rPr>
                <w:rFonts w:eastAsia="Times New Roman"/>
                <w:b/>
                <w:noProof/>
              </w:rPr>
            </w:pPr>
            <w:r>
              <w:rPr>
                <w:b/>
                <w:noProof/>
              </w:rPr>
              <w:t>Kvalitativni kazalniki</w:t>
            </w:r>
            <w:r>
              <w:rPr>
                <w:noProof/>
              </w:rPr>
              <w:t xml:space="preserve"> </w:t>
            </w:r>
            <w:r>
              <w:rPr>
                <w:b/>
                <w:noProof/>
              </w:rPr>
              <w:t>(za mejnike)</w:t>
            </w:r>
          </w:p>
        </w:tc>
        <w:tc>
          <w:tcPr>
            <w:tcW w:w="3087" w:type="dxa"/>
            <w:gridSpan w:val="3"/>
            <w:shd w:val="clear" w:color="auto" w:fill="BDD7EE"/>
            <w:vAlign w:val="center"/>
            <w:hideMark/>
          </w:tcPr>
          <w:p w14:paraId="79CE0AAC" w14:textId="77777777" w:rsidR="003C6015" w:rsidRPr="00DD6A04" w:rsidRDefault="003C6015" w:rsidP="003C6015">
            <w:pPr>
              <w:spacing w:before="0" w:after="0" w:line="256" w:lineRule="auto"/>
              <w:jc w:val="center"/>
              <w:rPr>
                <w:rFonts w:eastAsia="Times New Roman"/>
                <w:b/>
                <w:noProof/>
              </w:rPr>
            </w:pPr>
            <w:r>
              <w:rPr>
                <w:b/>
                <w:noProof/>
              </w:rPr>
              <w:t>Kvantitativni kazalniki</w:t>
            </w:r>
            <w:r>
              <w:rPr>
                <w:noProof/>
              </w:rPr>
              <w:t xml:space="preserve"> </w:t>
            </w:r>
            <w:r>
              <w:rPr>
                <w:b/>
                <w:noProof/>
              </w:rPr>
              <w:t>(za cilje)</w:t>
            </w:r>
          </w:p>
        </w:tc>
        <w:tc>
          <w:tcPr>
            <w:tcW w:w="1789" w:type="dxa"/>
            <w:gridSpan w:val="2"/>
            <w:shd w:val="clear" w:color="auto" w:fill="BDD7EE"/>
            <w:vAlign w:val="center"/>
            <w:hideMark/>
          </w:tcPr>
          <w:p w14:paraId="707C5F18" w14:textId="77777777" w:rsidR="003C6015" w:rsidRPr="00DD6A04" w:rsidRDefault="003C6015" w:rsidP="003C6015">
            <w:pPr>
              <w:spacing w:before="0" w:after="0" w:line="256" w:lineRule="auto"/>
              <w:jc w:val="center"/>
              <w:rPr>
                <w:rFonts w:eastAsia="Times New Roman"/>
                <w:b/>
                <w:noProof/>
              </w:rPr>
            </w:pPr>
            <w:r>
              <w:rPr>
                <w:b/>
                <w:noProof/>
              </w:rPr>
              <w:t xml:space="preserve">Okvirni časovni razpored za dokončanje </w:t>
            </w:r>
          </w:p>
        </w:tc>
        <w:tc>
          <w:tcPr>
            <w:tcW w:w="3807" w:type="dxa"/>
            <w:vMerge w:val="restart"/>
            <w:shd w:val="clear" w:color="auto" w:fill="BDD7EE"/>
            <w:vAlign w:val="center"/>
            <w:hideMark/>
          </w:tcPr>
          <w:p w14:paraId="6E590A3C" w14:textId="77777777" w:rsidR="003C6015" w:rsidRPr="00DD6A04" w:rsidRDefault="003C6015" w:rsidP="003C6015">
            <w:pPr>
              <w:spacing w:before="0" w:after="0" w:line="256" w:lineRule="auto"/>
              <w:jc w:val="center"/>
              <w:rPr>
                <w:rFonts w:eastAsia="Times New Roman"/>
                <w:b/>
                <w:noProof/>
              </w:rPr>
            </w:pPr>
            <w:r>
              <w:rPr>
                <w:b/>
                <w:noProof/>
              </w:rPr>
              <w:t>Opis vsakega mejnika in cilja</w:t>
            </w:r>
          </w:p>
        </w:tc>
      </w:tr>
      <w:tr w:rsidR="003C6015" w:rsidRPr="00DD6A04" w14:paraId="7785AC57" w14:textId="77777777" w:rsidTr="00BE4788">
        <w:trPr>
          <w:trHeight w:val="615"/>
          <w:tblHeader/>
          <w:jc w:val="center"/>
        </w:trPr>
        <w:tc>
          <w:tcPr>
            <w:tcW w:w="1366" w:type="dxa"/>
            <w:vMerge/>
            <w:vAlign w:val="center"/>
            <w:hideMark/>
          </w:tcPr>
          <w:p w14:paraId="0B95F6EC" w14:textId="77777777" w:rsidR="003C6015" w:rsidRPr="00DD6A04" w:rsidRDefault="003C6015" w:rsidP="003C6015">
            <w:pPr>
              <w:spacing w:before="0" w:after="0" w:line="256" w:lineRule="auto"/>
              <w:rPr>
                <w:rFonts w:eastAsia="Times New Roman"/>
                <w:b/>
                <w:noProof/>
                <w:lang w:val="en-GB" w:eastAsia="en-GB"/>
              </w:rPr>
            </w:pPr>
          </w:p>
        </w:tc>
        <w:tc>
          <w:tcPr>
            <w:tcW w:w="1559" w:type="dxa"/>
            <w:vMerge/>
            <w:vAlign w:val="center"/>
            <w:hideMark/>
          </w:tcPr>
          <w:p w14:paraId="132E811F" w14:textId="77777777" w:rsidR="003C6015" w:rsidRPr="00DD6A04" w:rsidRDefault="003C6015" w:rsidP="003C6015">
            <w:pPr>
              <w:spacing w:before="0" w:after="0" w:line="256" w:lineRule="auto"/>
              <w:rPr>
                <w:rFonts w:eastAsia="Times New Roman"/>
                <w:b/>
                <w:noProof/>
                <w:lang w:val="en-GB" w:eastAsia="en-GB"/>
              </w:rPr>
            </w:pPr>
          </w:p>
        </w:tc>
        <w:tc>
          <w:tcPr>
            <w:tcW w:w="1066" w:type="dxa"/>
            <w:vMerge/>
            <w:vAlign w:val="center"/>
            <w:hideMark/>
          </w:tcPr>
          <w:p w14:paraId="7A1C3D60" w14:textId="77777777" w:rsidR="003C6015" w:rsidRPr="00DD6A04" w:rsidRDefault="003C6015" w:rsidP="003C6015">
            <w:pPr>
              <w:spacing w:before="0" w:after="0" w:line="256" w:lineRule="auto"/>
              <w:rPr>
                <w:rFonts w:eastAsia="Times New Roman"/>
                <w:b/>
                <w:noProof/>
                <w:lang w:val="en-GB" w:eastAsia="en-GB"/>
              </w:rPr>
            </w:pPr>
          </w:p>
        </w:tc>
        <w:tc>
          <w:tcPr>
            <w:tcW w:w="1624" w:type="dxa"/>
            <w:vMerge/>
            <w:vAlign w:val="center"/>
            <w:hideMark/>
          </w:tcPr>
          <w:p w14:paraId="286B9824" w14:textId="77777777" w:rsidR="003C6015" w:rsidRPr="00DD6A04" w:rsidRDefault="003C6015" w:rsidP="003C6015">
            <w:pPr>
              <w:spacing w:before="0" w:after="0" w:line="256" w:lineRule="auto"/>
              <w:rPr>
                <w:rFonts w:eastAsia="Times New Roman"/>
                <w:b/>
                <w:noProof/>
                <w:lang w:val="en-GB" w:eastAsia="en-GB"/>
              </w:rPr>
            </w:pPr>
          </w:p>
        </w:tc>
        <w:tc>
          <w:tcPr>
            <w:tcW w:w="1732" w:type="dxa"/>
            <w:vMerge/>
            <w:vAlign w:val="center"/>
            <w:hideMark/>
          </w:tcPr>
          <w:p w14:paraId="42B8781E" w14:textId="77777777" w:rsidR="003C6015" w:rsidRPr="00DD6A04" w:rsidRDefault="003C6015" w:rsidP="003C6015">
            <w:pPr>
              <w:spacing w:before="0" w:after="0" w:line="256" w:lineRule="auto"/>
              <w:rPr>
                <w:rFonts w:eastAsia="Times New Roman"/>
                <w:b/>
                <w:noProof/>
                <w:lang w:val="en-GB" w:eastAsia="en-GB"/>
              </w:rPr>
            </w:pPr>
          </w:p>
        </w:tc>
        <w:tc>
          <w:tcPr>
            <w:tcW w:w="1079" w:type="dxa"/>
            <w:shd w:val="clear" w:color="auto" w:fill="BDD7EE"/>
            <w:vAlign w:val="center"/>
            <w:hideMark/>
          </w:tcPr>
          <w:p w14:paraId="39E4E4F9" w14:textId="77777777" w:rsidR="003C6015" w:rsidRPr="00DD6A04" w:rsidRDefault="003C6015" w:rsidP="003C6015">
            <w:pPr>
              <w:spacing w:before="0" w:after="0" w:line="256" w:lineRule="auto"/>
              <w:jc w:val="center"/>
              <w:rPr>
                <w:rFonts w:eastAsia="Times New Roman"/>
                <w:b/>
                <w:noProof/>
                <w:sz w:val="22"/>
              </w:rPr>
            </w:pPr>
            <w:r>
              <w:rPr>
                <w:b/>
                <w:noProof/>
                <w:sz w:val="22"/>
              </w:rPr>
              <w:t>Enota merjenja</w:t>
            </w:r>
          </w:p>
        </w:tc>
        <w:tc>
          <w:tcPr>
            <w:tcW w:w="1079" w:type="dxa"/>
            <w:shd w:val="clear" w:color="auto" w:fill="BDD7EE"/>
            <w:vAlign w:val="center"/>
            <w:hideMark/>
          </w:tcPr>
          <w:p w14:paraId="1D3108A3"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Izhodiščna raven </w:t>
            </w:r>
          </w:p>
        </w:tc>
        <w:tc>
          <w:tcPr>
            <w:tcW w:w="929" w:type="dxa"/>
            <w:shd w:val="clear" w:color="auto" w:fill="BDD7EE"/>
            <w:vAlign w:val="center"/>
            <w:hideMark/>
          </w:tcPr>
          <w:p w14:paraId="7D25296E"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Ciljna raven </w:t>
            </w:r>
          </w:p>
        </w:tc>
        <w:tc>
          <w:tcPr>
            <w:tcW w:w="1007" w:type="dxa"/>
            <w:shd w:val="clear" w:color="auto" w:fill="BDD7EE"/>
            <w:vAlign w:val="center"/>
            <w:hideMark/>
          </w:tcPr>
          <w:p w14:paraId="15B36776" w14:textId="77777777" w:rsidR="003C6015" w:rsidRPr="00DD6A04" w:rsidRDefault="003C6015" w:rsidP="003C6015">
            <w:pPr>
              <w:spacing w:before="0" w:after="0" w:line="256" w:lineRule="auto"/>
              <w:jc w:val="center"/>
              <w:rPr>
                <w:rFonts w:eastAsia="Times New Roman"/>
                <w:b/>
                <w:noProof/>
                <w:sz w:val="22"/>
              </w:rPr>
            </w:pPr>
            <w:r>
              <w:rPr>
                <w:b/>
                <w:noProof/>
                <w:sz w:val="22"/>
              </w:rPr>
              <w:t>Četrtletje</w:t>
            </w:r>
          </w:p>
        </w:tc>
        <w:tc>
          <w:tcPr>
            <w:tcW w:w="782" w:type="dxa"/>
            <w:shd w:val="clear" w:color="auto" w:fill="BDD7EE"/>
            <w:vAlign w:val="center"/>
            <w:hideMark/>
          </w:tcPr>
          <w:p w14:paraId="1E94CF25" w14:textId="77777777" w:rsidR="003C6015" w:rsidRPr="00DD6A04" w:rsidRDefault="003C6015" w:rsidP="003C6015">
            <w:pPr>
              <w:spacing w:before="0" w:after="0" w:line="256" w:lineRule="auto"/>
              <w:jc w:val="center"/>
              <w:rPr>
                <w:rFonts w:eastAsia="Times New Roman"/>
                <w:b/>
                <w:noProof/>
                <w:sz w:val="22"/>
              </w:rPr>
            </w:pPr>
            <w:r>
              <w:rPr>
                <w:b/>
                <w:noProof/>
                <w:sz w:val="22"/>
              </w:rPr>
              <w:t>Leto</w:t>
            </w:r>
          </w:p>
        </w:tc>
        <w:tc>
          <w:tcPr>
            <w:tcW w:w="3807" w:type="dxa"/>
            <w:vMerge/>
            <w:vAlign w:val="center"/>
            <w:hideMark/>
          </w:tcPr>
          <w:p w14:paraId="4DDB7789" w14:textId="77777777" w:rsidR="003C6015" w:rsidRPr="00DD6A04" w:rsidRDefault="003C6015" w:rsidP="003C6015">
            <w:pPr>
              <w:spacing w:before="0" w:after="0" w:line="256" w:lineRule="auto"/>
              <w:rPr>
                <w:rFonts w:eastAsia="Times New Roman"/>
                <w:b/>
                <w:noProof/>
                <w:lang w:val="en-GB" w:eastAsia="en-GB"/>
              </w:rPr>
            </w:pPr>
          </w:p>
        </w:tc>
      </w:tr>
      <w:tr w:rsidR="003C6015" w:rsidRPr="00DD6A04" w14:paraId="02D7B92B"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hideMark/>
          </w:tcPr>
          <w:p w14:paraId="5E31832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69</w:t>
            </w:r>
          </w:p>
        </w:tc>
        <w:tc>
          <w:tcPr>
            <w:tcW w:w="1559" w:type="dxa"/>
            <w:tcBorders>
              <w:top w:val="single" w:sz="4" w:space="0" w:color="auto"/>
              <w:left w:val="single" w:sz="4" w:space="0" w:color="auto"/>
              <w:bottom w:val="single" w:sz="4" w:space="0" w:color="auto"/>
              <w:right w:val="single" w:sz="4" w:space="0" w:color="auto"/>
            </w:tcBorders>
            <w:shd w:val="clear" w:color="auto" w:fill="C6EFCE"/>
            <w:noWrap/>
            <w:hideMark/>
          </w:tcPr>
          <w:p w14:paraId="2C828C6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A: Vzpostavitev okvira za trajnostno in zeleno transformacijo</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2750F53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624" w:type="dxa"/>
            <w:tcBorders>
              <w:top w:val="single" w:sz="4" w:space="0" w:color="auto"/>
              <w:left w:val="single" w:sz="4" w:space="0" w:color="auto"/>
              <w:bottom w:val="single" w:sz="4" w:space="0" w:color="auto"/>
              <w:right w:val="single" w:sz="4" w:space="0" w:color="auto"/>
            </w:tcBorders>
            <w:shd w:val="clear" w:color="auto" w:fill="C6EFCE"/>
            <w:noWrap/>
            <w:hideMark/>
          </w:tcPr>
          <w:p w14:paraId="67DC998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Začetek veljavnosti sprememb podaljšane odgovornosti proizvajalcev in predelave odpadkov </w:t>
            </w:r>
          </w:p>
        </w:tc>
        <w:tc>
          <w:tcPr>
            <w:tcW w:w="1732" w:type="dxa"/>
            <w:tcBorders>
              <w:top w:val="single" w:sz="4" w:space="0" w:color="auto"/>
              <w:left w:val="single" w:sz="4" w:space="0" w:color="auto"/>
              <w:bottom w:val="single" w:sz="4" w:space="0" w:color="auto"/>
              <w:right w:val="single" w:sz="4" w:space="0" w:color="auto"/>
            </w:tcBorders>
            <w:shd w:val="clear" w:color="auto" w:fill="C6EFCE"/>
            <w:noWrap/>
            <w:hideMark/>
          </w:tcPr>
          <w:p w14:paraId="14FB63C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Zakonodajna določba o začetku veljavnosti sprememb Uredbe o ravnanju z embalažo in odpadno embalažo ter Uredbe o odpadkih</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0B2FB3E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4016040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29" w:type="dxa"/>
            <w:tcBorders>
              <w:top w:val="single" w:sz="4" w:space="0" w:color="auto"/>
              <w:left w:val="single" w:sz="4" w:space="0" w:color="auto"/>
              <w:bottom w:val="single" w:sz="4" w:space="0" w:color="auto"/>
              <w:right w:val="single" w:sz="4" w:space="0" w:color="auto"/>
            </w:tcBorders>
            <w:shd w:val="clear" w:color="auto" w:fill="C6EFCE"/>
            <w:noWrap/>
          </w:tcPr>
          <w:p w14:paraId="27A6641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07" w:type="dxa"/>
            <w:tcBorders>
              <w:top w:val="single" w:sz="4" w:space="0" w:color="auto"/>
              <w:left w:val="single" w:sz="4" w:space="0" w:color="auto"/>
              <w:bottom w:val="single" w:sz="4" w:space="0" w:color="auto"/>
              <w:right w:val="single" w:sz="4" w:space="0" w:color="auto"/>
            </w:tcBorders>
            <w:shd w:val="clear" w:color="auto" w:fill="C6EFCE"/>
            <w:noWrap/>
            <w:hideMark/>
          </w:tcPr>
          <w:p w14:paraId="355A28A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Q4</w:t>
            </w:r>
          </w:p>
        </w:tc>
        <w:tc>
          <w:tcPr>
            <w:tcW w:w="782" w:type="dxa"/>
            <w:tcBorders>
              <w:top w:val="single" w:sz="4" w:space="0" w:color="auto"/>
              <w:left w:val="single" w:sz="4" w:space="0" w:color="auto"/>
              <w:bottom w:val="single" w:sz="4" w:space="0" w:color="auto"/>
              <w:right w:val="single" w:sz="4" w:space="0" w:color="auto"/>
            </w:tcBorders>
            <w:shd w:val="clear" w:color="auto" w:fill="C6EFCE"/>
            <w:noWrap/>
            <w:hideMark/>
          </w:tcPr>
          <w:p w14:paraId="5ED79E1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2022</w:t>
            </w:r>
          </w:p>
        </w:tc>
        <w:tc>
          <w:tcPr>
            <w:tcW w:w="3807" w:type="dxa"/>
            <w:tcBorders>
              <w:top w:val="single" w:sz="4" w:space="0" w:color="auto"/>
              <w:left w:val="single" w:sz="4" w:space="0" w:color="auto"/>
              <w:bottom w:val="single" w:sz="4" w:space="0" w:color="auto"/>
              <w:right w:val="single" w:sz="4" w:space="0" w:color="auto"/>
            </w:tcBorders>
            <w:shd w:val="clear" w:color="auto" w:fill="C6EFCE"/>
            <w:noWrap/>
            <w:hideMark/>
          </w:tcPr>
          <w:p w14:paraId="10D97E8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S spremembami Uredbe o ravnanju z embalažo in odpadno embalažo ter Uredbe o odpadkih se bo povečala organizacijska in finančna odgovornost proizvajalcev ter spodbujalo vključevanje recikliranih materialov v nove izdelke. </w:t>
            </w:r>
          </w:p>
        </w:tc>
      </w:tr>
      <w:tr w:rsidR="003C6015" w:rsidRPr="00DD6A04" w14:paraId="4C948AD9"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hideMark/>
          </w:tcPr>
          <w:p w14:paraId="28E75BF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70</w:t>
            </w:r>
          </w:p>
        </w:tc>
        <w:tc>
          <w:tcPr>
            <w:tcW w:w="1559" w:type="dxa"/>
            <w:tcBorders>
              <w:top w:val="single" w:sz="4" w:space="0" w:color="auto"/>
              <w:left w:val="single" w:sz="4" w:space="0" w:color="auto"/>
              <w:bottom w:val="single" w:sz="4" w:space="0" w:color="auto"/>
              <w:right w:val="single" w:sz="4" w:space="0" w:color="auto"/>
            </w:tcBorders>
            <w:shd w:val="clear" w:color="auto" w:fill="C6EFCE"/>
            <w:noWrap/>
            <w:hideMark/>
          </w:tcPr>
          <w:p w14:paraId="4EC01F8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A: Vzpostavitev okvira za trajnostno in zeleno transformacijo</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3B862DC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624" w:type="dxa"/>
            <w:tcBorders>
              <w:top w:val="single" w:sz="4" w:space="0" w:color="auto"/>
              <w:left w:val="single" w:sz="4" w:space="0" w:color="auto"/>
              <w:bottom w:val="single" w:sz="4" w:space="0" w:color="auto"/>
              <w:right w:val="single" w:sz="4" w:space="0" w:color="auto"/>
            </w:tcBorders>
            <w:shd w:val="clear" w:color="auto" w:fill="C6EFCE"/>
            <w:noWrap/>
            <w:hideMark/>
          </w:tcPr>
          <w:p w14:paraId="2596D37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Razvoj in uporaba metodologije zelenega proračunskega načrtovanja</w:t>
            </w:r>
          </w:p>
        </w:tc>
        <w:tc>
          <w:tcPr>
            <w:tcW w:w="1732" w:type="dxa"/>
            <w:tcBorders>
              <w:top w:val="single" w:sz="4" w:space="0" w:color="auto"/>
              <w:left w:val="single" w:sz="4" w:space="0" w:color="auto"/>
              <w:bottom w:val="single" w:sz="4" w:space="0" w:color="auto"/>
              <w:right w:val="single" w:sz="4" w:space="0" w:color="auto"/>
            </w:tcBorders>
            <w:shd w:val="clear" w:color="auto" w:fill="C6EFCE"/>
            <w:noWrap/>
            <w:hideMark/>
          </w:tcPr>
          <w:p w14:paraId="263AF0C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Razvoj in začetek uporabe metodologije zelenega proračunskega načrtovanja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3E33710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56852ED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29" w:type="dxa"/>
            <w:tcBorders>
              <w:top w:val="single" w:sz="4" w:space="0" w:color="auto"/>
              <w:left w:val="single" w:sz="4" w:space="0" w:color="auto"/>
              <w:bottom w:val="single" w:sz="4" w:space="0" w:color="auto"/>
              <w:right w:val="single" w:sz="4" w:space="0" w:color="auto"/>
            </w:tcBorders>
            <w:shd w:val="clear" w:color="auto" w:fill="C6EFCE"/>
            <w:noWrap/>
          </w:tcPr>
          <w:p w14:paraId="4E6267D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07" w:type="dxa"/>
            <w:tcBorders>
              <w:top w:val="single" w:sz="4" w:space="0" w:color="auto"/>
              <w:left w:val="single" w:sz="4" w:space="0" w:color="auto"/>
              <w:bottom w:val="single" w:sz="4" w:space="0" w:color="auto"/>
              <w:right w:val="single" w:sz="4" w:space="0" w:color="auto"/>
            </w:tcBorders>
            <w:shd w:val="clear" w:color="auto" w:fill="C6EFCE"/>
            <w:noWrap/>
            <w:hideMark/>
          </w:tcPr>
          <w:p w14:paraId="3035668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Q4</w:t>
            </w:r>
          </w:p>
        </w:tc>
        <w:tc>
          <w:tcPr>
            <w:tcW w:w="782" w:type="dxa"/>
            <w:tcBorders>
              <w:top w:val="single" w:sz="4" w:space="0" w:color="auto"/>
              <w:left w:val="single" w:sz="4" w:space="0" w:color="auto"/>
              <w:bottom w:val="single" w:sz="4" w:space="0" w:color="auto"/>
              <w:right w:val="single" w:sz="4" w:space="0" w:color="auto"/>
            </w:tcBorders>
            <w:shd w:val="clear" w:color="auto" w:fill="C6EFCE"/>
            <w:noWrap/>
            <w:hideMark/>
          </w:tcPr>
          <w:p w14:paraId="0BAA822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2023</w:t>
            </w:r>
          </w:p>
        </w:tc>
        <w:tc>
          <w:tcPr>
            <w:tcW w:w="3807" w:type="dxa"/>
            <w:tcBorders>
              <w:top w:val="single" w:sz="4" w:space="0" w:color="auto"/>
              <w:left w:val="single" w:sz="4" w:space="0" w:color="auto"/>
              <w:bottom w:val="single" w:sz="4" w:space="0" w:color="auto"/>
              <w:right w:val="single" w:sz="4" w:space="0" w:color="auto"/>
            </w:tcBorders>
            <w:shd w:val="clear" w:color="auto" w:fill="C6EFCE"/>
            <w:noWrap/>
            <w:hideMark/>
          </w:tcPr>
          <w:p w14:paraId="27503F2E" w14:textId="702A4B55" w:rsidR="003C6015" w:rsidRPr="00DD6A04" w:rsidRDefault="003C6015" w:rsidP="003C6015">
            <w:pPr>
              <w:spacing w:before="0" w:after="0" w:line="256" w:lineRule="auto"/>
              <w:rPr>
                <w:rFonts w:eastAsia="Times New Roman"/>
                <w:noProof/>
                <w:color w:val="006100"/>
                <w:sz w:val="22"/>
              </w:rPr>
            </w:pPr>
            <w:r>
              <w:rPr>
                <w:noProof/>
                <w:color w:val="006100"/>
                <w:sz w:val="22"/>
              </w:rPr>
              <w:t>Ministrstvo za finance bo pripravilo in uporabljalo metodologijo ocenjevanja vpliva posameznih proračunskih postavk k okoljskim ciljem (</w:t>
            </w:r>
            <w:r>
              <w:rPr>
                <w:i/>
                <w:noProof/>
                <w:color w:val="006100"/>
                <w:sz w:val="22"/>
              </w:rPr>
              <w:t>climate tagging</w:t>
            </w:r>
            <w:r>
              <w:rPr>
                <w:noProof/>
                <w:color w:val="006100"/>
                <w:sz w:val="22"/>
              </w:rPr>
              <w:t xml:space="preserve">) v skladu s taksonomijo in načelom, da se ne škoduje bistveno, iz tehničnih smernic (2021/C58/01). Ko bo metodologija sprejeta, objavljena in začela veljati, bo omogočala spremljanje zelenih proračunskih odhodkov ter ocenjevanje vpliva fiskalne politike na okolje in podnebje. </w:t>
            </w:r>
          </w:p>
        </w:tc>
      </w:tr>
      <w:tr w:rsidR="003C6015" w:rsidRPr="00DD6A04" w14:paraId="3F7B1A21"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hideMark/>
          </w:tcPr>
          <w:p w14:paraId="799F771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71</w:t>
            </w:r>
          </w:p>
        </w:tc>
        <w:tc>
          <w:tcPr>
            <w:tcW w:w="1559" w:type="dxa"/>
            <w:tcBorders>
              <w:top w:val="single" w:sz="4" w:space="0" w:color="auto"/>
              <w:left w:val="single" w:sz="4" w:space="0" w:color="auto"/>
              <w:bottom w:val="single" w:sz="4" w:space="0" w:color="auto"/>
              <w:right w:val="single" w:sz="4" w:space="0" w:color="auto"/>
            </w:tcBorders>
            <w:shd w:val="clear" w:color="auto" w:fill="C6EFCE"/>
            <w:noWrap/>
            <w:hideMark/>
          </w:tcPr>
          <w:p w14:paraId="75A828B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A: Vzpostavitev okvira za trajnostno in zeleno transformacijo</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4F2E9E1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624" w:type="dxa"/>
            <w:tcBorders>
              <w:top w:val="single" w:sz="4" w:space="0" w:color="auto"/>
              <w:left w:val="single" w:sz="4" w:space="0" w:color="auto"/>
              <w:bottom w:val="single" w:sz="4" w:space="0" w:color="auto"/>
              <w:right w:val="single" w:sz="4" w:space="0" w:color="auto"/>
            </w:tcBorders>
            <w:shd w:val="clear" w:color="auto" w:fill="C6EFCE"/>
            <w:noWrap/>
            <w:hideMark/>
          </w:tcPr>
          <w:p w14:paraId="4A72C4D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Operativna enotna točka za krožno gospodarstvo</w:t>
            </w:r>
          </w:p>
        </w:tc>
        <w:tc>
          <w:tcPr>
            <w:tcW w:w="1732" w:type="dxa"/>
            <w:tcBorders>
              <w:top w:val="single" w:sz="4" w:space="0" w:color="auto"/>
              <w:left w:val="single" w:sz="4" w:space="0" w:color="auto"/>
              <w:bottom w:val="single" w:sz="4" w:space="0" w:color="auto"/>
              <w:right w:val="single" w:sz="4" w:space="0" w:color="auto"/>
            </w:tcBorders>
            <w:shd w:val="clear" w:color="auto" w:fill="C6EFCE"/>
            <w:noWrap/>
            <w:hideMark/>
          </w:tcPr>
          <w:p w14:paraId="2FF5938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Enotna točka za krožno gospodarstvo je operativna</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7B29FA8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147C443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29" w:type="dxa"/>
            <w:tcBorders>
              <w:top w:val="single" w:sz="4" w:space="0" w:color="auto"/>
              <w:left w:val="single" w:sz="4" w:space="0" w:color="auto"/>
              <w:bottom w:val="single" w:sz="4" w:space="0" w:color="auto"/>
              <w:right w:val="single" w:sz="4" w:space="0" w:color="auto"/>
            </w:tcBorders>
            <w:shd w:val="clear" w:color="auto" w:fill="C6EFCE"/>
            <w:noWrap/>
            <w:hideMark/>
          </w:tcPr>
          <w:p w14:paraId="7E51B68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07" w:type="dxa"/>
            <w:tcBorders>
              <w:top w:val="single" w:sz="4" w:space="0" w:color="auto"/>
              <w:left w:val="single" w:sz="4" w:space="0" w:color="auto"/>
              <w:bottom w:val="single" w:sz="4" w:space="0" w:color="auto"/>
              <w:right w:val="single" w:sz="4" w:space="0" w:color="auto"/>
            </w:tcBorders>
            <w:shd w:val="clear" w:color="auto" w:fill="C6EFCE"/>
            <w:noWrap/>
            <w:hideMark/>
          </w:tcPr>
          <w:p w14:paraId="1FD4ADB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Q2</w:t>
            </w:r>
          </w:p>
        </w:tc>
        <w:tc>
          <w:tcPr>
            <w:tcW w:w="782" w:type="dxa"/>
            <w:tcBorders>
              <w:top w:val="single" w:sz="4" w:space="0" w:color="auto"/>
              <w:left w:val="single" w:sz="4" w:space="0" w:color="auto"/>
              <w:bottom w:val="single" w:sz="4" w:space="0" w:color="auto"/>
              <w:right w:val="single" w:sz="4" w:space="0" w:color="auto"/>
            </w:tcBorders>
            <w:shd w:val="clear" w:color="auto" w:fill="C6EFCE"/>
            <w:noWrap/>
            <w:hideMark/>
          </w:tcPr>
          <w:p w14:paraId="3D1825F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2022</w:t>
            </w:r>
          </w:p>
        </w:tc>
        <w:tc>
          <w:tcPr>
            <w:tcW w:w="3807" w:type="dxa"/>
            <w:tcBorders>
              <w:top w:val="single" w:sz="4" w:space="0" w:color="auto"/>
              <w:left w:val="single" w:sz="4" w:space="0" w:color="auto"/>
              <w:bottom w:val="single" w:sz="4" w:space="0" w:color="auto"/>
              <w:right w:val="single" w:sz="4" w:space="0" w:color="auto"/>
            </w:tcBorders>
            <w:shd w:val="clear" w:color="auto" w:fill="C6EFCE"/>
            <w:noWrap/>
            <w:hideMark/>
          </w:tcPr>
          <w:p w14:paraId="62750CD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Enotna točka bo podpirala podjetja, zlasti mala in srednja podjetja (MSP), pri prehodu na krožno gospodarstvo. Med tem prehodom bo sistematično povezovala in usklajevala izvajanje šestih programov v okviru Celovitega strateškega projekta razogljičenja Slovenije. </w:t>
            </w:r>
          </w:p>
        </w:tc>
      </w:tr>
      <w:tr w:rsidR="003C6015" w:rsidRPr="00DD6A04" w14:paraId="72285296"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hideMark/>
          </w:tcPr>
          <w:p w14:paraId="70A6456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72</w:t>
            </w:r>
          </w:p>
        </w:tc>
        <w:tc>
          <w:tcPr>
            <w:tcW w:w="1559" w:type="dxa"/>
            <w:tcBorders>
              <w:top w:val="single" w:sz="4" w:space="0" w:color="auto"/>
              <w:left w:val="single" w:sz="4" w:space="0" w:color="auto"/>
              <w:bottom w:val="single" w:sz="4" w:space="0" w:color="auto"/>
              <w:right w:val="single" w:sz="4" w:space="0" w:color="auto"/>
            </w:tcBorders>
            <w:shd w:val="clear" w:color="auto" w:fill="C6EFCE"/>
            <w:noWrap/>
            <w:hideMark/>
          </w:tcPr>
          <w:p w14:paraId="35C112A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Celoviti strateški projekt razogljičenja Slovenije preko prehoda v krožno gospodarstvo</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4AF4635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624" w:type="dxa"/>
            <w:tcBorders>
              <w:top w:val="single" w:sz="4" w:space="0" w:color="auto"/>
              <w:left w:val="single" w:sz="4" w:space="0" w:color="auto"/>
              <w:bottom w:val="single" w:sz="4" w:space="0" w:color="auto"/>
              <w:right w:val="single" w:sz="4" w:space="0" w:color="auto"/>
            </w:tcBorders>
            <w:shd w:val="clear" w:color="auto" w:fill="C6EFCE"/>
            <w:noWrap/>
            <w:hideMark/>
          </w:tcPr>
          <w:p w14:paraId="1C949518" w14:textId="546C0D56" w:rsidR="003C6015" w:rsidRPr="00DD6A04" w:rsidRDefault="34058E0A" w:rsidP="150EC00E">
            <w:pPr>
              <w:spacing w:before="0" w:after="0" w:line="256" w:lineRule="auto"/>
              <w:rPr>
                <w:rFonts w:eastAsia="Times New Roman"/>
                <w:noProof/>
                <w:color w:val="006100"/>
                <w:sz w:val="22"/>
              </w:rPr>
            </w:pPr>
            <w:r>
              <w:rPr>
                <w:noProof/>
                <w:color w:val="006100"/>
                <w:sz w:val="22"/>
              </w:rPr>
              <w:t>Izdani sklepi o sofinanciranju za podporo podjetjem pri prehodu na krožno gospodarstvo</w:t>
            </w:r>
          </w:p>
        </w:tc>
        <w:tc>
          <w:tcPr>
            <w:tcW w:w="1732" w:type="dxa"/>
            <w:tcBorders>
              <w:top w:val="single" w:sz="4" w:space="0" w:color="auto"/>
              <w:left w:val="single" w:sz="4" w:space="0" w:color="auto"/>
              <w:bottom w:val="single" w:sz="4" w:space="0" w:color="auto"/>
              <w:right w:val="single" w:sz="4" w:space="0" w:color="auto"/>
            </w:tcBorders>
            <w:shd w:val="clear" w:color="auto" w:fill="C6EFCE"/>
            <w:noWrap/>
            <w:hideMark/>
          </w:tcPr>
          <w:p w14:paraId="0B2876F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Objava rezultatov razpisa</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2A67980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633FF8E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29" w:type="dxa"/>
            <w:tcBorders>
              <w:top w:val="single" w:sz="4" w:space="0" w:color="auto"/>
              <w:left w:val="single" w:sz="4" w:space="0" w:color="auto"/>
              <w:bottom w:val="single" w:sz="4" w:space="0" w:color="auto"/>
              <w:right w:val="single" w:sz="4" w:space="0" w:color="auto"/>
            </w:tcBorders>
            <w:shd w:val="clear" w:color="auto" w:fill="C6EFCE"/>
            <w:noWrap/>
            <w:hideMark/>
          </w:tcPr>
          <w:p w14:paraId="283D27F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07" w:type="dxa"/>
            <w:tcBorders>
              <w:top w:val="single" w:sz="4" w:space="0" w:color="auto"/>
              <w:left w:val="single" w:sz="4" w:space="0" w:color="auto"/>
              <w:bottom w:val="single" w:sz="4" w:space="0" w:color="auto"/>
              <w:right w:val="single" w:sz="4" w:space="0" w:color="auto"/>
            </w:tcBorders>
            <w:shd w:val="clear" w:color="auto" w:fill="C6EFCE"/>
            <w:noWrap/>
            <w:hideMark/>
          </w:tcPr>
          <w:p w14:paraId="4D31F07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Q2</w:t>
            </w:r>
          </w:p>
        </w:tc>
        <w:tc>
          <w:tcPr>
            <w:tcW w:w="782" w:type="dxa"/>
            <w:tcBorders>
              <w:top w:val="single" w:sz="4" w:space="0" w:color="auto"/>
              <w:left w:val="single" w:sz="4" w:space="0" w:color="auto"/>
              <w:bottom w:val="single" w:sz="4" w:space="0" w:color="auto"/>
              <w:right w:val="single" w:sz="4" w:space="0" w:color="auto"/>
            </w:tcBorders>
            <w:shd w:val="clear" w:color="auto" w:fill="C6EFCE"/>
            <w:noWrap/>
            <w:hideMark/>
          </w:tcPr>
          <w:p w14:paraId="0FE3BE2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2024</w:t>
            </w:r>
          </w:p>
        </w:tc>
        <w:tc>
          <w:tcPr>
            <w:tcW w:w="3807" w:type="dxa"/>
            <w:tcBorders>
              <w:top w:val="single" w:sz="4" w:space="0" w:color="auto"/>
              <w:left w:val="single" w:sz="4" w:space="0" w:color="auto"/>
              <w:bottom w:val="single" w:sz="4" w:space="0" w:color="auto"/>
              <w:right w:val="single" w:sz="4" w:space="0" w:color="auto"/>
            </w:tcBorders>
            <w:shd w:val="clear" w:color="auto" w:fill="C6EFCE"/>
            <w:noWrap/>
            <w:hideMark/>
          </w:tcPr>
          <w:p w14:paraId="2F01E63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 projekti se bo povečala učinkovita raba virov v izbranih podjetjih.</w:t>
            </w:r>
          </w:p>
          <w:p w14:paraId="76E9608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Merila za izbor bodo zagotavljala skladnost s tehničnimi smernicami za uporabo načela, da se ne škoduje bistveno (2021/C58/01). Za vse projekte, povezane z napravami, ki jih zajema sistem EU za trgovanje z emisijami, se bo zagotovilo, da so emisije toplogrednih plinov, ki naj bi jih dosegale podprte naprave, znatno pod mejo za brezplačno dodelitev, kot je določeno v Izvedbeni uredbi Komisije (EU) 2021/447</w:t>
            </w:r>
            <w:r w:rsidRPr="00DD6A04">
              <w:rPr>
                <w:rFonts w:eastAsia="Times New Roman"/>
                <w:noProof/>
                <w:color w:val="006100"/>
                <w:sz w:val="22"/>
                <w:vertAlign w:val="superscript"/>
                <w:lang w:val="en-GB" w:eastAsia="en-GB"/>
              </w:rPr>
              <w:footnoteReference w:id="2"/>
            </w:r>
            <w:r>
              <w:rPr>
                <w:noProof/>
                <w:color w:val="006100"/>
                <w:sz w:val="22"/>
              </w:rPr>
              <w:t xml:space="preserve">. </w:t>
            </w:r>
          </w:p>
        </w:tc>
      </w:tr>
      <w:tr w:rsidR="003C6015" w:rsidRPr="00DD6A04" w14:paraId="7E6C8D00"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hideMark/>
          </w:tcPr>
          <w:p w14:paraId="0FF52BF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73</w:t>
            </w:r>
          </w:p>
        </w:tc>
        <w:tc>
          <w:tcPr>
            <w:tcW w:w="1559" w:type="dxa"/>
            <w:tcBorders>
              <w:top w:val="single" w:sz="4" w:space="0" w:color="auto"/>
              <w:left w:val="single" w:sz="4" w:space="0" w:color="auto"/>
              <w:bottom w:val="single" w:sz="4" w:space="0" w:color="auto"/>
              <w:right w:val="single" w:sz="4" w:space="0" w:color="auto"/>
            </w:tcBorders>
            <w:shd w:val="clear" w:color="auto" w:fill="C6EFCE"/>
            <w:noWrap/>
            <w:hideMark/>
          </w:tcPr>
          <w:p w14:paraId="4BA49D1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B: Celoviti strateški projekt razogljičenja Slovenije preko prehoda v krožno gospodarstvo </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052B469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624" w:type="dxa"/>
            <w:tcBorders>
              <w:top w:val="single" w:sz="4" w:space="0" w:color="auto"/>
              <w:left w:val="single" w:sz="4" w:space="0" w:color="auto"/>
              <w:bottom w:val="single" w:sz="4" w:space="0" w:color="auto"/>
              <w:right w:val="single" w:sz="4" w:space="0" w:color="auto"/>
            </w:tcBorders>
            <w:shd w:val="clear" w:color="auto" w:fill="C6EFCE"/>
            <w:noWrap/>
            <w:hideMark/>
          </w:tcPr>
          <w:p w14:paraId="683FAA0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Dokončani projekti za podporo podjetjem pri prehodu na krožno gospodarstvo</w:t>
            </w:r>
          </w:p>
        </w:tc>
        <w:tc>
          <w:tcPr>
            <w:tcW w:w="1732" w:type="dxa"/>
            <w:tcBorders>
              <w:top w:val="single" w:sz="4" w:space="0" w:color="auto"/>
              <w:left w:val="single" w:sz="4" w:space="0" w:color="auto"/>
              <w:bottom w:val="single" w:sz="4" w:space="0" w:color="auto"/>
              <w:right w:val="single" w:sz="4" w:space="0" w:color="auto"/>
            </w:tcBorders>
            <w:shd w:val="clear" w:color="auto" w:fill="C6EFCE"/>
            <w:noWrap/>
          </w:tcPr>
          <w:p w14:paraId="6D6BB27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57A9DE09" w14:textId="77777777" w:rsidR="003C6015" w:rsidRPr="00DD6A04" w:rsidRDefault="003C6015" w:rsidP="00FA19B1">
            <w:pPr>
              <w:spacing w:before="0" w:after="0" w:line="256" w:lineRule="auto"/>
              <w:rPr>
                <w:noProof/>
                <w:sz w:val="22"/>
              </w:rPr>
            </w:pPr>
            <w:r>
              <w:rPr>
                <w:noProof/>
                <w:color w:val="006100"/>
                <w:sz w:val="22"/>
              </w:rPr>
              <w:t>Število</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2AB7EDA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929" w:type="dxa"/>
            <w:tcBorders>
              <w:top w:val="single" w:sz="4" w:space="0" w:color="auto"/>
              <w:left w:val="single" w:sz="4" w:space="0" w:color="auto"/>
              <w:bottom w:val="single" w:sz="4" w:space="0" w:color="auto"/>
              <w:right w:val="single" w:sz="4" w:space="0" w:color="auto"/>
            </w:tcBorders>
            <w:shd w:val="clear" w:color="auto" w:fill="C6EFCE"/>
            <w:noWrap/>
            <w:hideMark/>
          </w:tcPr>
          <w:p w14:paraId="6D247568" w14:textId="50487C3A" w:rsidR="003C6015" w:rsidRPr="00DD6A04" w:rsidRDefault="42B25F0B" w:rsidP="003C6015">
            <w:pPr>
              <w:spacing w:before="0" w:after="0" w:line="256" w:lineRule="auto"/>
              <w:rPr>
                <w:rFonts w:eastAsia="Times New Roman"/>
                <w:noProof/>
                <w:color w:val="006100"/>
                <w:sz w:val="22"/>
              </w:rPr>
            </w:pPr>
            <w:r>
              <w:rPr>
                <w:noProof/>
                <w:color w:val="006100"/>
                <w:sz w:val="22"/>
              </w:rPr>
              <w:t>150</w:t>
            </w:r>
          </w:p>
        </w:tc>
        <w:tc>
          <w:tcPr>
            <w:tcW w:w="1007" w:type="dxa"/>
            <w:tcBorders>
              <w:top w:val="single" w:sz="4" w:space="0" w:color="auto"/>
              <w:left w:val="single" w:sz="4" w:space="0" w:color="auto"/>
              <w:bottom w:val="single" w:sz="4" w:space="0" w:color="auto"/>
              <w:right w:val="single" w:sz="4" w:space="0" w:color="auto"/>
            </w:tcBorders>
            <w:shd w:val="clear" w:color="auto" w:fill="C6EFCE"/>
            <w:noWrap/>
            <w:hideMark/>
          </w:tcPr>
          <w:p w14:paraId="2AB905E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Q4</w:t>
            </w:r>
          </w:p>
        </w:tc>
        <w:tc>
          <w:tcPr>
            <w:tcW w:w="782" w:type="dxa"/>
            <w:tcBorders>
              <w:top w:val="single" w:sz="4" w:space="0" w:color="auto"/>
              <w:left w:val="single" w:sz="4" w:space="0" w:color="auto"/>
              <w:bottom w:val="single" w:sz="4" w:space="0" w:color="auto"/>
              <w:right w:val="single" w:sz="4" w:space="0" w:color="auto"/>
            </w:tcBorders>
            <w:shd w:val="clear" w:color="auto" w:fill="C6EFCE"/>
            <w:noWrap/>
            <w:hideMark/>
          </w:tcPr>
          <w:p w14:paraId="172430C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2025</w:t>
            </w:r>
          </w:p>
        </w:tc>
        <w:tc>
          <w:tcPr>
            <w:tcW w:w="3807" w:type="dxa"/>
            <w:tcBorders>
              <w:top w:val="single" w:sz="4" w:space="0" w:color="auto"/>
              <w:left w:val="single" w:sz="4" w:space="0" w:color="auto"/>
              <w:bottom w:val="single" w:sz="4" w:space="0" w:color="auto"/>
              <w:right w:val="single" w:sz="4" w:space="0" w:color="auto"/>
            </w:tcBorders>
            <w:shd w:val="clear" w:color="auto" w:fill="C6EFCE"/>
            <w:noWrap/>
            <w:hideMark/>
          </w:tcPr>
          <w:p w14:paraId="6270358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Projekti, dokončani v skladu z zahtevami iz mejnika 72. </w:t>
            </w:r>
          </w:p>
          <w:p w14:paraId="05C28A30" w14:textId="77777777" w:rsidR="003C6015" w:rsidRPr="00DD6A04" w:rsidRDefault="003C6015" w:rsidP="003C6015">
            <w:pPr>
              <w:spacing w:before="0" w:after="0" w:line="256" w:lineRule="auto"/>
              <w:rPr>
                <w:rFonts w:eastAsia="Times New Roman"/>
                <w:noProof/>
                <w:color w:val="006100"/>
                <w:sz w:val="22"/>
                <w:lang w:val="en-GB" w:eastAsia="en-GB"/>
              </w:rPr>
            </w:pPr>
          </w:p>
          <w:p w14:paraId="133BF682" w14:textId="07D28AB3" w:rsidR="003C6015" w:rsidRPr="00DD6A04" w:rsidRDefault="2A50F323" w:rsidP="4EC72C38">
            <w:pPr>
              <w:spacing w:before="0" w:after="0" w:line="256" w:lineRule="auto"/>
              <w:rPr>
                <w:rFonts w:eastAsia="Times New Roman"/>
                <w:noProof/>
                <w:color w:val="006100"/>
                <w:sz w:val="22"/>
              </w:rPr>
            </w:pPr>
            <w:r>
              <w:rPr>
                <w:noProof/>
                <w:color w:val="006100"/>
                <w:sz w:val="22"/>
              </w:rPr>
              <w:t>Skupni znesek financiranja bo najmanj 17 000 000 EUR.</w:t>
            </w:r>
          </w:p>
        </w:tc>
      </w:tr>
      <w:tr w:rsidR="003C6015" w:rsidRPr="00DD6A04" w14:paraId="5046D979"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hideMark/>
          </w:tcPr>
          <w:p w14:paraId="256A268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74</w:t>
            </w:r>
          </w:p>
        </w:tc>
        <w:tc>
          <w:tcPr>
            <w:tcW w:w="1559" w:type="dxa"/>
            <w:tcBorders>
              <w:top w:val="single" w:sz="4" w:space="0" w:color="auto"/>
              <w:left w:val="single" w:sz="4" w:space="0" w:color="auto"/>
              <w:bottom w:val="single" w:sz="4" w:space="0" w:color="auto"/>
              <w:right w:val="single" w:sz="4" w:space="0" w:color="auto"/>
            </w:tcBorders>
            <w:shd w:val="clear" w:color="auto" w:fill="C6EFCE"/>
            <w:noWrap/>
            <w:hideMark/>
          </w:tcPr>
          <w:p w14:paraId="745591E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Večja predelava lesa za hitrejši prehod v podnebno nevtralno družbo</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11CB9BA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624" w:type="dxa"/>
            <w:tcBorders>
              <w:top w:val="single" w:sz="4" w:space="0" w:color="auto"/>
              <w:left w:val="single" w:sz="4" w:space="0" w:color="auto"/>
              <w:bottom w:val="single" w:sz="4" w:space="0" w:color="auto"/>
              <w:right w:val="single" w:sz="4" w:space="0" w:color="auto"/>
            </w:tcBorders>
            <w:shd w:val="clear" w:color="auto" w:fill="C6EFCE"/>
            <w:noWrap/>
            <w:hideMark/>
          </w:tcPr>
          <w:p w14:paraId="4B1FCB0F" w14:textId="331FAF66" w:rsidR="003C6015" w:rsidRPr="00DD6A04" w:rsidRDefault="34058E0A" w:rsidP="150EC00E">
            <w:pPr>
              <w:spacing w:before="0" w:after="0" w:line="256" w:lineRule="auto"/>
              <w:rPr>
                <w:rFonts w:eastAsia="Times New Roman"/>
                <w:noProof/>
                <w:color w:val="006100"/>
                <w:sz w:val="22"/>
              </w:rPr>
            </w:pPr>
            <w:r>
              <w:rPr>
                <w:noProof/>
                <w:color w:val="006100"/>
                <w:sz w:val="22"/>
              </w:rPr>
              <w:t>Izdani sklepi o sofinanciranju za podporo okolju prijazni predelavi lesa</w:t>
            </w:r>
          </w:p>
        </w:tc>
        <w:tc>
          <w:tcPr>
            <w:tcW w:w="1732" w:type="dxa"/>
            <w:tcBorders>
              <w:top w:val="single" w:sz="4" w:space="0" w:color="auto"/>
              <w:left w:val="single" w:sz="4" w:space="0" w:color="auto"/>
              <w:bottom w:val="single" w:sz="4" w:space="0" w:color="auto"/>
              <w:right w:val="single" w:sz="4" w:space="0" w:color="auto"/>
            </w:tcBorders>
            <w:shd w:val="clear" w:color="auto" w:fill="C6EFCE"/>
            <w:noWrap/>
            <w:hideMark/>
          </w:tcPr>
          <w:p w14:paraId="1DBDD36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Objava rezultatov razpisa</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166488F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29E71E1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29" w:type="dxa"/>
            <w:tcBorders>
              <w:top w:val="single" w:sz="4" w:space="0" w:color="auto"/>
              <w:left w:val="single" w:sz="4" w:space="0" w:color="auto"/>
              <w:bottom w:val="single" w:sz="4" w:space="0" w:color="auto"/>
              <w:right w:val="single" w:sz="4" w:space="0" w:color="auto"/>
            </w:tcBorders>
            <w:shd w:val="clear" w:color="auto" w:fill="C6EFCE"/>
            <w:noWrap/>
          </w:tcPr>
          <w:p w14:paraId="2279E7D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07" w:type="dxa"/>
            <w:tcBorders>
              <w:top w:val="single" w:sz="4" w:space="0" w:color="auto"/>
              <w:left w:val="single" w:sz="4" w:space="0" w:color="auto"/>
              <w:bottom w:val="single" w:sz="4" w:space="0" w:color="auto"/>
              <w:right w:val="single" w:sz="4" w:space="0" w:color="auto"/>
            </w:tcBorders>
            <w:shd w:val="clear" w:color="auto" w:fill="C6EFCE"/>
            <w:noWrap/>
            <w:hideMark/>
          </w:tcPr>
          <w:p w14:paraId="39C0FA2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Q4</w:t>
            </w:r>
          </w:p>
        </w:tc>
        <w:tc>
          <w:tcPr>
            <w:tcW w:w="782" w:type="dxa"/>
            <w:tcBorders>
              <w:top w:val="single" w:sz="4" w:space="0" w:color="auto"/>
              <w:left w:val="single" w:sz="4" w:space="0" w:color="auto"/>
              <w:bottom w:val="single" w:sz="4" w:space="0" w:color="auto"/>
              <w:right w:val="single" w:sz="4" w:space="0" w:color="auto"/>
            </w:tcBorders>
            <w:shd w:val="clear" w:color="auto" w:fill="C6EFCE"/>
            <w:noWrap/>
            <w:hideMark/>
          </w:tcPr>
          <w:p w14:paraId="3B488C9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2024</w:t>
            </w:r>
          </w:p>
        </w:tc>
        <w:tc>
          <w:tcPr>
            <w:tcW w:w="3807" w:type="dxa"/>
            <w:tcBorders>
              <w:top w:val="single" w:sz="4" w:space="0" w:color="auto"/>
              <w:left w:val="single" w:sz="4" w:space="0" w:color="auto"/>
              <w:bottom w:val="single" w:sz="4" w:space="0" w:color="auto"/>
              <w:right w:val="single" w:sz="4" w:space="0" w:color="auto"/>
            </w:tcBorders>
            <w:shd w:val="clear" w:color="auto" w:fill="C6EFCE"/>
            <w:noWrap/>
            <w:hideMark/>
          </w:tcPr>
          <w:p w14:paraId="69467D6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Projekti bodo spodbujali predelavo lesa na okolju prijazen in z viri gospodaren način ter v skladu z načeli krožnega gospodarstva, trajnostne gradnje in uporabe najboljših razpoložljivih tehnik. Merila za izbor bodo zagotavljala skladnost s tehničnimi smernicami za uporabo načela, da se ne škoduje bistveno (2021/C58/01), zlasti v zvezi z zaščito biotske raznovrstnosti. </w:t>
            </w:r>
          </w:p>
        </w:tc>
      </w:tr>
      <w:tr w:rsidR="003C6015" w:rsidRPr="00DD6A04" w14:paraId="06468521"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tcPr>
          <w:p w14:paraId="4911E21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75 </w:t>
            </w: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14:paraId="4E1BF5E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Večja predelava lesa za hitrejši prehod v podnebno nevtralno družbo</w:t>
            </w:r>
          </w:p>
        </w:tc>
        <w:tc>
          <w:tcPr>
            <w:tcW w:w="1066" w:type="dxa"/>
            <w:tcBorders>
              <w:top w:val="single" w:sz="4" w:space="0" w:color="auto"/>
              <w:left w:val="single" w:sz="4" w:space="0" w:color="auto"/>
              <w:bottom w:val="single" w:sz="4" w:space="0" w:color="auto"/>
              <w:right w:val="single" w:sz="4" w:space="0" w:color="auto"/>
            </w:tcBorders>
            <w:shd w:val="clear" w:color="auto" w:fill="C6EFCE"/>
            <w:noWrap/>
          </w:tcPr>
          <w:p w14:paraId="21B5A5C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624" w:type="dxa"/>
            <w:tcBorders>
              <w:top w:val="single" w:sz="4" w:space="0" w:color="auto"/>
              <w:left w:val="single" w:sz="4" w:space="0" w:color="auto"/>
              <w:bottom w:val="single" w:sz="4" w:space="0" w:color="auto"/>
              <w:right w:val="single" w:sz="4" w:space="0" w:color="auto"/>
            </w:tcBorders>
            <w:shd w:val="clear" w:color="auto" w:fill="C6EFCE"/>
            <w:noWrap/>
          </w:tcPr>
          <w:p w14:paraId="50A60E6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Dokončani projekti za podporo okolju prijazni predelavi lesa </w:t>
            </w:r>
          </w:p>
        </w:tc>
        <w:tc>
          <w:tcPr>
            <w:tcW w:w="1732" w:type="dxa"/>
            <w:tcBorders>
              <w:top w:val="single" w:sz="4" w:space="0" w:color="auto"/>
              <w:left w:val="single" w:sz="4" w:space="0" w:color="auto"/>
              <w:bottom w:val="single" w:sz="4" w:space="0" w:color="auto"/>
              <w:right w:val="single" w:sz="4" w:space="0" w:color="auto"/>
            </w:tcBorders>
            <w:shd w:val="clear" w:color="auto" w:fill="C6EFCE"/>
            <w:noWrap/>
          </w:tcPr>
          <w:p w14:paraId="0D842F7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231E714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1079" w:type="dxa"/>
            <w:tcBorders>
              <w:top w:val="single" w:sz="4" w:space="0" w:color="auto"/>
              <w:left w:val="single" w:sz="4" w:space="0" w:color="auto"/>
              <w:bottom w:val="single" w:sz="4" w:space="0" w:color="auto"/>
              <w:right w:val="single" w:sz="4" w:space="0" w:color="auto"/>
            </w:tcBorders>
            <w:shd w:val="clear" w:color="auto" w:fill="C6EFCE"/>
            <w:noWrap/>
          </w:tcPr>
          <w:p w14:paraId="61EB8FD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929" w:type="dxa"/>
            <w:tcBorders>
              <w:top w:val="single" w:sz="4" w:space="0" w:color="auto"/>
              <w:left w:val="single" w:sz="4" w:space="0" w:color="auto"/>
              <w:bottom w:val="single" w:sz="4" w:space="0" w:color="auto"/>
              <w:right w:val="single" w:sz="4" w:space="0" w:color="auto"/>
            </w:tcBorders>
            <w:shd w:val="clear" w:color="auto" w:fill="C6EFCE"/>
            <w:noWrap/>
          </w:tcPr>
          <w:p w14:paraId="24FA4B6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8</w:t>
            </w:r>
          </w:p>
        </w:tc>
        <w:tc>
          <w:tcPr>
            <w:tcW w:w="1007" w:type="dxa"/>
            <w:tcBorders>
              <w:top w:val="single" w:sz="4" w:space="0" w:color="auto"/>
              <w:left w:val="single" w:sz="4" w:space="0" w:color="auto"/>
              <w:bottom w:val="single" w:sz="4" w:space="0" w:color="auto"/>
              <w:right w:val="single" w:sz="4" w:space="0" w:color="auto"/>
            </w:tcBorders>
            <w:shd w:val="clear" w:color="auto" w:fill="C6EFCE"/>
            <w:noWrap/>
          </w:tcPr>
          <w:p w14:paraId="312A900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Q2</w:t>
            </w:r>
          </w:p>
        </w:tc>
        <w:tc>
          <w:tcPr>
            <w:tcW w:w="782" w:type="dxa"/>
            <w:tcBorders>
              <w:top w:val="single" w:sz="4" w:space="0" w:color="auto"/>
              <w:left w:val="single" w:sz="4" w:space="0" w:color="auto"/>
              <w:bottom w:val="single" w:sz="4" w:space="0" w:color="auto"/>
              <w:right w:val="single" w:sz="4" w:space="0" w:color="auto"/>
            </w:tcBorders>
            <w:shd w:val="clear" w:color="auto" w:fill="C6EFCE"/>
            <w:noWrap/>
          </w:tcPr>
          <w:p w14:paraId="48E3EA1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2025</w:t>
            </w:r>
          </w:p>
        </w:tc>
        <w:tc>
          <w:tcPr>
            <w:tcW w:w="3807" w:type="dxa"/>
            <w:tcBorders>
              <w:top w:val="single" w:sz="4" w:space="0" w:color="auto"/>
              <w:left w:val="single" w:sz="4" w:space="0" w:color="auto"/>
              <w:bottom w:val="single" w:sz="4" w:space="0" w:color="auto"/>
              <w:right w:val="single" w:sz="4" w:space="0" w:color="auto"/>
            </w:tcBorders>
            <w:shd w:val="clear" w:color="auto" w:fill="C6EFCE"/>
            <w:noWrap/>
          </w:tcPr>
          <w:p w14:paraId="6A98E2E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za podporo okolju prijazni predelavi lesa, dokončani v skladu z zahtevami iz mejnika 74.</w:t>
            </w:r>
          </w:p>
        </w:tc>
      </w:tr>
      <w:tr w:rsidR="003C6015" w:rsidRPr="00DD6A04" w14:paraId="52BF6B82" w14:textId="77777777" w:rsidTr="00BE4788">
        <w:trPr>
          <w:trHeight w:val="309"/>
          <w:jc w:val="center"/>
        </w:trPr>
        <w:tc>
          <w:tcPr>
            <w:tcW w:w="1366" w:type="dxa"/>
            <w:tcBorders>
              <w:top w:val="single" w:sz="4" w:space="0" w:color="auto"/>
              <w:left w:val="single" w:sz="4" w:space="0" w:color="auto"/>
              <w:bottom w:val="single" w:sz="4" w:space="0" w:color="auto"/>
              <w:right w:val="single" w:sz="4" w:space="0" w:color="auto"/>
            </w:tcBorders>
            <w:shd w:val="clear" w:color="auto" w:fill="C6EFCE"/>
            <w:noWrap/>
            <w:hideMark/>
          </w:tcPr>
          <w:p w14:paraId="5A6DED1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76</w:t>
            </w:r>
          </w:p>
        </w:tc>
        <w:tc>
          <w:tcPr>
            <w:tcW w:w="1559" w:type="dxa"/>
            <w:tcBorders>
              <w:top w:val="single" w:sz="4" w:space="0" w:color="auto"/>
              <w:left w:val="single" w:sz="4" w:space="0" w:color="auto"/>
              <w:bottom w:val="single" w:sz="4" w:space="0" w:color="auto"/>
              <w:right w:val="single" w:sz="4" w:space="0" w:color="auto"/>
            </w:tcBorders>
            <w:shd w:val="clear" w:color="auto" w:fill="C6EFCE"/>
            <w:noWrap/>
            <w:hideMark/>
          </w:tcPr>
          <w:p w14:paraId="462DB51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Večja predelava lesa za hitrejši prehod v podnebno nevtralno družbo</w:t>
            </w:r>
          </w:p>
        </w:tc>
        <w:tc>
          <w:tcPr>
            <w:tcW w:w="1066" w:type="dxa"/>
            <w:tcBorders>
              <w:top w:val="single" w:sz="4" w:space="0" w:color="auto"/>
              <w:left w:val="single" w:sz="4" w:space="0" w:color="auto"/>
              <w:bottom w:val="single" w:sz="4" w:space="0" w:color="auto"/>
              <w:right w:val="single" w:sz="4" w:space="0" w:color="auto"/>
            </w:tcBorders>
            <w:shd w:val="clear" w:color="auto" w:fill="C6EFCE"/>
            <w:noWrap/>
            <w:hideMark/>
          </w:tcPr>
          <w:p w14:paraId="628836F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624" w:type="dxa"/>
            <w:tcBorders>
              <w:top w:val="single" w:sz="4" w:space="0" w:color="auto"/>
              <w:left w:val="single" w:sz="4" w:space="0" w:color="auto"/>
              <w:bottom w:val="single" w:sz="4" w:space="0" w:color="auto"/>
              <w:right w:val="single" w:sz="4" w:space="0" w:color="auto"/>
            </w:tcBorders>
            <w:shd w:val="clear" w:color="auto" w:fill="C6EFCE"/>
            <w:noWrap/>
            <w:hideMark/>
          </w:tcPr>
          <w:p w14:paraId="1EB1DA9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Dokončani projekti za podporo okolju prijazni predelavi lesa </w:t>
            </w:r>
          </w:p>
        </w:tc>
        <w:tc>
          <w:tcPr>
            <w:tcW w:w="1732" w:type="dxa"/>
            <w:tcBorders>
              <w:top w:val="single" w:sz="4" w:space="0" w:color="auto"/>
              <w:left w:val="single" w:sz="4" w:space="0" w:color="auto"/>
              <w:bottom w:val="single" w:sz="4" w:space="0" w:color="auto"/>
              <w:right w:val="single" w:sz="4" w:space="0" w:color="auto"/>
            </w:tcBorders>
            <w:shd w:val="clear" w:color="auto" w:fill="C6EFCE"/>
            <w:noWrap/>
          </w:tcPr>
          <w:p w14:paraId="281B3DB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381BD9D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1079" w:type="dxa"/>
            <w:tcBorders>
              <w:top w:val="single" w:sz="4" w:space="0" w:color="auto"/>
              <w:left w:val="single" w:sz="4" w:space="0" w:color="auto"/>
              <w:bottom w:val="single" w:sz="4" w:space="0" w:color="auto"/>
              <w:right w:val="single" w:sz="4" w:space="0" w:color="auto"/>
            </w:tcBorders>
            <w:shd w:val="clear" w:color="auto" w:fill="C6EFCE"/>
            <w:noWrap/>
            <w:hideMark/>
          </w:tcPr>
          <w:p w14:paraId="1F81F69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8</w:t>
            </w:r>
          </w:p>
        </w:tc>
        <w:tc>
          <w:tcPr>
            <w:tcW w:w="929" w:type="dxa"/>
            <w:tcBorders>
              <w:top w:val="single" w:sz="4" w:space="0" w:color="auto"/>
              <w:left w:val="single" w:sz="4" w:space="0" w:color="auto"/>
              <w:bottom w:val="single" w:sz="4" w:space="0" w:color="auto"/>
              <w:right w:val="single" w:sz="4" w:space="0" w:color="auto"/>
            </w:tcBorders>
            <w:shd w:val="clear" w:color="auto" w:fill="C6EFCE"/>
            <w:noWrap/>
            <w:hideMark/>
          </w:tcPr>
          <w:p w14:paraId="57DCAEC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28</w:t>
            </w:r>
          </w:p>
        </w:tc>
        <w:tc>
          <w:tcPr>
            <w:tcW w:w="1007" w:type="dxa"/>
            <w:tcBorders>
              <w:top w:val="single" w:sz="4" w:space="0" w:color="auto"/>
              <w:left w:val="single" w:sz="4" w:space="0" w:color="auto"/>
              <w:bottom w:val="single" w:sz="4" w:space="0" w:color="auto"/>
              <w:right w:val="single" w:sz="4" w:space="0" w:color="auto"/>
            </w:tcBorders>
            <w:shd w:val="clear" w:color="auto" w:fill="C6EFCE"/>
            <w:noWrap/>
            <w:hideMark/>
          </w:tcPr>
          <w:p w14:paraId="4829F88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Q2</w:t>
            </w:r>
          </w:p>
        </w:tc>
        <w:tc>
          <w:tcPr>
            <w:tcW w:w="782" w:type="dxa"/>
            <w:tcBorders>
              <w:top w:val="single" w:sz="4" w:space="0" w:color="auto"/>
              <w:left w:val="single" w:sz="4" w:space="0" w:color="auto"/>
              <w:bottom w:val="single" w:sz="4" w:space="0" w:color="auto"/>
              <w:right w:val="single" w:sz="4" w:space="0" w:color="auto"/>
            </w:tcBorders>
            <w:shd w:val="clear" w:color="auto" w:fill="C6EFCE"/>
            <w:noWrap/>
            <w:hideMark/>
          </w:tcPr>
          <w:p w14:paraId="0D307D5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2026</w:t>
            </w:r>
          </w:p>
        </w:tc>
        <w:tc>
          <w:tcPr>
            <w:tcW w:w="3807" w:type="dxa"/>
            <w:tcBorders>
              <w:top w:val="single" w:sz="4" w:space="0" w:color="auto"/>
              <w:left w:val="single" w:sz="4" w:space="0" w:color="auto"/>
              <w:bottom w:val="single" w:sz="4" w:space="0" w:color="auto"/>
              <w:right w:val="single" w:sz="4" w:space="0" w:color="auto"/>
            </w:tcBorders>
            <w:shd w:val="clear" w:color="auto" w:fill="C6EFCE"/>
            <w:noWrap/>
            <w:hideMark/>
          </w:tcPr>
          <w:p w14:paraId="1845E0E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za podporo okolju prijazni predelavi lesa, dokončani v skladu z zahtevami iz mejnika 74.</w:t>
            </w:r>
          </w:p>
          <w:p w14:paraId="4BD0E2E4" w14:textId="77777777" w:rsidR="003C6015" w:rsidRPr="00DD6A04" w:rsidRDefault="003C6015" w:rsidP="003C6015">
            <w:pPr>
              <w:spacing w:before="0" w:after="0" w:line="256" w:lineRule="auto"/>
              <w:rPr>
                <w:rFonts w:eastAsia="Times New Roman"/>
                <w:noProof/>
                <w:color w:val="006100"/>
                <w:sz w:val="22"/>
                <w:lang w:val="en-GB" w:eastAsia="en-GB"/>
              </w:rPr>
            </w:pPr>
          </w:p>
          <w:p w14:paraId="279D25C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Skupni znesek financiranja bo najmanj 28 000 000 EUR.</w:t>
            </w:r>
          </w:p>
        </w:tc>
      </w:tr>
    </w:tbl>
    <w:p w14:paraId="148C2BC0"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120"/>
          <w:headerReference w:type="default" r:id="rId121"/>
          <w:footerReference w:type="even" r:id="rId122"/>
          <w:footerReference w:type="default" r:id="rId123"/>
          <w:headerReference w:type="first" r:id="rId124"/>
          <w:footerReference w:type="first" r:id="rId125"/>
          <w:pgSz w:w="16839" w:h="11907" w:orient="landscape"/>
          <w:pgMar w:top="1134" w:right="1134" w:bottom="1134" w:left="1134" w:header="567" w:footer="567" w:gutter="0"/>
          <w:cols w:space="720"/>
          <w:docGrid w:linePitch="326"/>
        </w:sectPr>
      </w:pPr>
    </w:p>
    <w:p w14:paraId="60773033" w14:textId="77777777" w:rsidR="003C6015" w:rsidRPr="00DD6A04" w:rsidRDefault="003C6015" w:rsidP="003C6015">
      <w:pPr>
        <w:keepNext/>
        <w:tabs>
          <w:tab w:val="left" w:pos="850"/>
        </w:tabs>
        <w:spacing w:line="240" w:lineRule="auto"/>
        <w:jc w:val="both"/>
        <w:outlineLvl w:val="0"/>
        <w:rPr>
          <w:b/>
          <w:smallCaps/>
          <w:noProof/>
        </w:rPr>
      </w:pPr>
      <w:r>
        <w:rPr>
          <w:b/>
          <w:smallCaps/>
          <w:noProof/>
        </w:rPr>
        <w:t>F. KOMPONENTA 6: DIGITALNA PREOBRAZBA GOSPODARSTVA</w:t>
      </w:r>
    </w:p>
    <w:p w14:paraId="5781115B" w14:textId="77777777" w:rsidR="003C6015" w:rsidRPr="00DD6A04" w:rsidRDefault="003C6015" w:rsidP="003C6015">
      <w:pPr>
        <w:spacing w:line="240" w:lineRule="auto"/>
        <w:jc w:val="both"/>
        <w:rPr>
          <w:rFonts w:eastAsia="Times New Roman"/>
          <w:noProof/>
          <w:color w:val="000000"/>
          <w:szCs w:val="24"/>
        </w:rPr>
      </w:pPr>
      <w:r>
        <w:rPr>
          <w:noProof/>
          <w:color w:val="000000"/>
        </w:rPr>
        <w:t>Slovenska podjetja zaostajajo pri prilagajanju spremembam, ki jih prinaša digitalizacija, in sicer zaradi pomanjkanja kompetenc, znanja in spretnosti zaposlenih ter omejenih sredstev za investicije v opremo in napredne digitalne tehnologije.</w:t>
      </w:r>
    </w:p>
    <w:p w14:paraId="0D83C16E" w14:textId="77777777" w:rsidR="003C6015" w:rsidRPr="00DD6A04" w:rsidRDefault="003C6015" w:rsidP="003C6015">
      <w:pPr>
        <w:spacing w:line="240" w:lineRule="auto"/>
        <w:jc w:val="both"/>
        <w:rPr>
          <w:rFonts w:eastAsia="Times New Roman"/>
          <w:noProof/>
          <w:color w:val="000000"/>
          <w:szCs w:val="24"/>
        </w:rPr>
      </w:pPr>
      <w:r>
        <w:rPr>
          <w:noProof/>
          <w:color w:val="000000"/>
        </w:rPr>
        <w:t>Glede na to so cilji te komponente slovenskega načrta za okrevanje in odpornost povečati učinkovitost in rast podjetij, podpirati njihovo preobrazbo z digitalnimi tehnologijami, pospešiti večjo uporabo naprednih tehnologij, hkrati pa prilagoditi regulativni okvir ter izboljšati dostop do trga, preglednost in varnost, s čimer naj bi se dolgoročno povečala konkurenčnost države. Nadaljnje vključevanje slovenskih podjetij v globalne vrednostne verige bo podprto s sodelovanjem v večdržavnih projektih.</w:t>
      </w:r>
    </w:p>
    <w:p w14:paraId="12A0459F" w14:textId="6198A2A3" w:rsidR="003C6015" w:rsidRPr="00DD6A04" w:rsidRDefault="003C6015" w:rsidP="003C6015">
      <w:pPr>
        <w:spacing w:line="240" w:lineRule="auto"/>
        <w:jc w:val="both"/>
        <w:rPr>
          <w:noProof/>
        </w:rPr>
      </w:pPr>
      <w:r>
        <w:rPr>
          <w:noProof/>
        </w:rPr>
        <w:t>Te investicije in reforme bodo prispevale k specifičnim priporočilom za Slovenijo v letih 2019 in 2020, naj „[i]zboljša poslovno okolje z zmanjšanjem regulativnih omejitev in upravnega bremena“ (specifično priporočilo št. 2 iz leta 2019), in naj „[u]smeri naložbe na [...] digitalni prehod [...] ter uvajanje omrežja 5G. Spodbuja digitalne zmogljivosti podjetij ter krepi digitalna znanja in spretnosti, e-trgovino in e-zdravje.“ (specifično priporočilo št. 3 iz leta 2020).</w:t>
      </w:r>
    </w:p>
    <w:p w14:paraId="299BA221" w14:textId="51654101"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0335B757" w14:textId="77777777" w:rsidR="003C6015" w:rsidRPr="00DD6A04" w:rsidRDefault="003C6015" w:rsidP="003C6015">
      <w:pPr>
        <w:spacing w:line="240" w:lineRule="auto"/>
        <w:jc w:val="both"/>
        <w:rPr>
          <w:b/>
          <w:i/>
          <w:noProof/>
          <w:color w:val="4F81BD"/>
        </w:rPr>
      </w:pPr>
      <w:r>
        <w:rPr>
          <w:b/>
          <w:noProof/>
          <w:u w:val="single"/>
        </w:rPr>
        <w:t xml:space="preserve">F.1 </w:t>
      </w:r>
      <w:r>
        <w:rPr>
          <w:b/>
          <w:noProof/>
          <w:u w:val="single"/>
        </w:rPr>
        <w:tab/>
        <w:t>Opis reform in naložb za nepovratno finančno podporo</w:t>
      </w:r>
    </w:p>
    <w:p w14:paraId="3EC7378F" w14:textId="77777777" w:rsidR="003C6015" w:rsidRPr="00DD6A04" w:rsidRDefault="003C6015" w:rsidP="003C6015">
      <w:pPr>
        <w:spacing w:line="240" w:lineRule="auto"/>
        <w:jc w:val="both"/>
        <w:rPr>
          <w:rFonts w:eastAsia="Times New Roman"/>
          <w:noProof/>
          <w:color w:val="000000"/>
          <w:szCs w:val="24"/>
          <w:u w:val="single"/>
        </w:rPr>
      </w:pPr>
      <w:r>
        <w:rPr>
          <w:noProof/>
          <w:color w:val="000000"/>
          <w:u w:val="single"/>
        </w:rPr>
        <w:t>Reforma A. Digitalna transformacija gospodarstva (podjetij in industrije)</w:t>
      </w:r>
    </w:p>
    <w:p w14:paraId="7BAB3034" w14:textId="77777777" w:rsidR="003C6015" w:rsidRPr="00DD6A04" w:rsidRDefault="003C6015" w:rsidP="003C6015">
      <w:pPr>
        <w:spacing w:line="240" w:lineRule="auto"/>
        <w:jc w:val="both"/>
        <w:rPr>
          <w:rFonts w:eastAsia="Times New Roman"/>
          <w:noProof/>
          <w:color w:val="000000"/>
          <w:szCs w:val="24"/>
        </w:rPr>
      </w:pPr>
      <w:r>
        <w:rPr>
          <w:noProof/>
          <w:color w:val="000000"/>
        </w:rPr>
        <w:t xml:space="preserve">Digitalna transformacija gospodarstva se podpre z začetkom veljavnosti strategije za digitalno transformacijo podjetij in smernic za inovativno javno naročanje ter operacionalizacijo enotne digitalne identitete (e-identitete) za podjetja. Strategija določa prenos registrov v enotni poslovni register. Strategija bo zagotovila prenos registrov v enotni poslovni register, v skladu z njo pa bo vsaj 200 podjetij pridobilo e-identiteto. </w:t>
      </w:r>
    </w:p>
    <w:p w14:paraId="71654821" w14:textId="06337B17" w:rsidR="003C6015" w:rsidRPr="00DD6A04" w:rsidRDefault="003C6015" w:rsidP="003C6015">
      <w:pPr>
        <w:spacing w:line="240" w:lineRule="auto"/>
        <w:jc w:val="both"/>
        <w:rPr>
          <w:rFonts w:eastAsia="Times New Roman"/>
          <w:noProof/>
          <w:color w:val="000000"/>
          <w:szCs w:val="24"/>
        </w:rPr>
      </w:pPr>
      <w:r>
        <w:rPr>
          <w:noProof/>
          <w:color w:val="000000"/>
        </w:rPr>
        <w:t>Strategija bo vključevala tudi časovni načrt za izvajanje skupnega nabora orodij Unije za povezljivost</w:t>
      </w:r>
      <w:r w:rsidRPr="00DD6A04">
        <w:rPr>
          <w:rFonts w:eastAsia="Times New Roman"/>
          <w:noProof/>
          <w:color w:val="000000"/>
          <w:szCs w:val="24"/>
          <w:vertAlign w:val="superscript"/>
          <w:lang w:val="en-GB" w:eastAsia="en-IE"/>
        </w:rPr>
        <w:footnoteReference w:id="3"/>
      </w:r>
      <w:r>
        <w:rPr>
          <w:noProof/>
          <w:color w:val="000000"/>
        </w:rPr>
        <w:t>, ki se bo osredotočal na dejavnosti v zvezi z enotno informacijsko točko. Slednjo bo mogoče povezati z enim registrom in e-identiteto podjetij.</w:t>
      </w:r>
      <w:r w:rsidR="00037751">
        <w:rPr>
          <w:noProof/>
          <w:color w:val="000000"/>
        </w:rPr>
        <w:t xml:space="preserve"> </w:t>
      </w:r>
    </w:p>
    <w:p w14:paraId="558D02F6" w14:textId="37A4251A" w:rsidR="003C6015" w:rsidRPr="00DD6A04" w:rsidRDefault="003C6015" w:rsidP="003C6015">
      <w:pPr>
        <w:spacing w:line="240" w:lineRule="auto"/>
        <w:jc w:val="both"/>
        <w:rPr>
          <w:rFonts w:eastAsia="Times New Roman"/>
          <w:noProof/>
          <w:color w:val="000000"/>
          <w:szCs w:val="24"/>
        </w:rPr>
      </w:pPr>
      <w:r>
        <w:rPr>
          <w:noProof/>
        </w:rPr>
        <w:t>Mejniki in cilji v zvezi z izvedbo reforme bodo doseženi do 31. decembra 2024.</w:t>
      </w:r>
      <w:r>
        <w:rPr>
          <w:noProof/>
          <w:color w:val="000000"/>
        </w:rPr>
        <w:t xml:space="preserve"> </w:t>
      </w:r>
    </w:p>
    <w:p w14:paraId="1DB783A4" w14:textId="1DBC6F4D" w:rsidR="003C6015" w:rsidRPr="00DD6A04" w:rsidRDefault="003C6015" w:rsidP="003C6015">
      <w:pPr>
        <w:spacing w:line="240" w:lineRule="auto"/>
        <w:jc w:val="both"/>
        <w:rPr>
          <w:rFonts w:eastAsia="Times New Roman"/>
          <w:noProof/>
          <w:color w:val="000000"/>
          <w:szCs w:val="24"/>
          <w:u w:val="single"/>
        </w:rPr>
      </w:pPr>
      <w:r>
        <w:rPr>
          <w:noProof/>
          <w:color w:val="000000"/>
          <w:u w:val="single"/>
        </w:rPr>
        <w:t>Investicija B. Program digitalne transformacije industrije/podjetij</w:t>
      </w:r>
    </w:p>
    <w:p w14:paraId="2441F01D" w14:textId="77777777" w:rsidR="003C6015" w:rsidRPr="00DD6A04" w:rsidRDefault="003C6015" w:rsidP="003C6015">
      <w:pPr>
        <w:spacing w:line="240" w:lineRule="auto"/>
        <w:jc w:val="both"/>
        <w:rPr>
          <w:rFonts w:eastAsia="Times New Roman"/>
          <w:noProof/>
          <w:color w:val="000000"/>
          <w:szCs w:val="24"/>
        </w:rPr>
      </w:pPr>
      <w:r>
        <w:rPr>
          <w:noProof/>
          <w:color w:val="000000"/>
        </w:rPr>
        <w:t>Z investicijo naj bi se povečali produktivnost in rast z optimizacijo procesov in uvajanjem naprednih digitalnih tehnologij, razvijali digitalna znanja in spretnosti zaposlenih ter spodbujale konkurenčnost in inovacije z olajšanjem vstopa novih udeležencev na trg.</w:t>
      </w:r>
    </w:p>
    <w:p w14:paraId="10A55198" w14:textId="3ED7BBD3" w:rsidR="003C6015" w:rsidRPr="00DD6A04" w:rsidRDefault="003C6015" w:rsidP="003C6015">
      <w:pPr>
        <w:spacing w:line="240" w:lineRule="auto"/>
        <w:jc w:val="both"/>
        <w:rPr>
          <w:rFonts w:eastAsia="Times New Roman"/>
          <w:noProof/>
          <w:color w:val="000000"/>
          <w:szCs w:val="24"/>
        </w:rPr>
      </w:pPr>
      <w:r>
        <w:rPr>
          <w:noProof/>
          <w:color w:val="000000"/>
        </w:rPr>
        <w:t>V javnih razpisih bodo opredeljeni posebni projekti za razširitev uporabe naprednih tehnologij, da se poveča učinkovitost, produktivnost in konkurenčnost ter pospeši uvajanje digitalnih inovacij in prenos digitalnih kompetenc. Upravičenci bodo konzorciji, ki jih sestavljajo velika, mala in srednja podjetja. Podjetja bodo razvijala in izvajala celovito strategijo digitalne preobrazbe za doseganje ciljev iz javnih razpisov.</w:t>
      </w:r>
    </w:p>
    <w:p w14:paraId="3137EB84" w14:textId="754D5B0D" w:rsidR="003C6015" w:rsidRPr="00DD6A04" w:rsidRDefault="003C6015" w:rsidP="003C6015">
      <w:pPr>
        <w:spacing w:line="240" w:lineRule="auto"/>
        <w:jc w:val="both"/>
        <w:rPr>
          <w:rFonts w:eastAsia="Times New Roman"/>
          <w:noProof/>
          <w:color w:val="000000"/>
          <w:szCs w:val="24"/>
        </w:rPr>
      </w:pPr>
      <w:r>
        <w:rPr>
          <w:noProof/>
        </w:rPr>
        <w:t>Mejniki in cilji v zvezi z izvedbo investicije bodo doseženi do 30. junija 2024.</w:t>
      </w:r>
    </w:p>
    <w:p w14:paraId="159F812D" w14:textId="77777777" w:rsidR="003C6015" w:rsidRPr="00DD6A04" w:rsidRDefault="003C6015" w:rsidP="003C6015">
      <w:pPr>
        <w:spacing w:line="240" w:lineRule="auto"/>
        <w:jc w:val="both"/>
        <w:rPr>
          <w:rFonts w:eastAsia="Times New Roman"/>
          <w:noProof/>
          <w:color w:val="000000"/>
          <w:szCs w:val="24"/>
          <w:u w:val="single"/>
        </w:rPr>
      </w:pPr>
      <w:r>
        <w:rPr>
          <w:noProof/>
          <w:color w:val="000000"/>
          <w:u w:val="single"/>
        </w:rPr>
        <w:t>Investicija D. Čezmejni in večdržavni projekti – Skupna evropska infrastruktura podatkov in storitve</w:t>
      </w:r>
    </w:p>
    <w:p w14:paraId="232B5040" w14:textId="77777777" w:rsidR="003C6015" w:rsidRPr="00DD6A04" w:rsidRDefault="003C6015" w:rsidP="003C6015">
      <w:pPr>
        <w:spacing w:beforeLines="60" w:before="144" w:afterLines="60" w:after="144" w:line="240" w:lineRule="auto"/>
        <w:jc w:val="both"/>
        <w:rPr>
          <w:noProof/>
          <w:color w:val="000000"/>
        </w:rPr>
      </w:pPr>
      <w:r>
        <w:rPr>
          <w:noProof/>
          <w:color w:val="000000"/>
        </w:rPr>
        <w:t>Cilji večdržavnega projekta v zvezi s skupno evropsko infrastrukturo podatkov in storitvami so razviti in industrijsko uvesti novo generacijo nizkoporabne infrastrukture in storitev na robu in v oblaku, s tem pa posledično zagotoviti, da ima EU svetovne, v prihodnost usmerjene, izjemno varne in zelene industrijske zmogljivosti za obdelavo podatkov.</w:t>
      </w:r>
    </w:p>
    <w:p w14:paraId="4FB263DE" w14:textId="77777777" w:rsidR="003C6015" w:rsidRPr="00DD6A04" w:rsidRDefault="003C6015" w:rsidP="003C6015">
      <w:pPr>
        <w:spacing w:beforeLines="60" w:before="144" w:afterLines="60" w:after="144" w:line="240" w:lineRule="auto"/>
        <w:jc w:val="both"/>
        <w:rPr>
          <w:noProof/>
          <w:color w:val="000000"/>
        </w:rPr>
      </w:pPr>
      <w:r>
        <w:rPr>
          <w:noProof/>
          <w:color w:val="000000" w:themeColor="text1"/>
        </w:rPr>
        <w:t>Ta projekt bo morda v obliki načrtovanega pomembnega projekta skupnega evropskega interesa (IPCEI) v zvezi z infrastrukturo in storitvami v oblaku naslednje generacije.</w:t>
      </w:r>
    </w:p>
    <w:p w14:paraId="1BC7EFD6" w14:textId="7795B831" w:rsidR="5CFBACFD" w:rsidRPr="00DD6A04" w:rsidRDefault="5CFBACFD" w:rsidP="525FA2B4">
      <w:pPr>
        <w:spacing w:beforeLines="60" w:before="144" w:afterLines="60" w:after="144" w:line="240" w:lineRule="auto"/>
        <w:jc w:val="both"/>
        <w:rPr>
          <w:noProof/>
          <w:color w:val="000000" w:themeColor="text1"/>
        </w:rPr>
      </w:pPr>
      <w:r>
        <w:rPr>
          <w:noProof/>
        </w:rPr>
        <w:t>Mejniki in cilji v zvezi z izvedbo projekta bodo doseženi do 30. junija 2026.</w:t>
      </w:r>
    </w:p>
    <w:p w14:paraId="09AE1378" w14:textId="77777777" w:rsidR="003C6015" w:rsidRPr="00DD6A04" w:rsidRDefault="003C6015" w:rsidP="003C6015">
      <w:pPr>
        <w:spacing w:line="240" w:lineRule="auto"/>
        <w:jc w:val="both"/>
        <w:rPr>
          <w:rFonts w:eastAsia="Times New Roman"/>
          <w:noProof/>
          <w:color w:val="000000"/>
          <w:szCs w:val="24"/>
          <w:u w:val="single"/>
        </w:rPr>
      </w:pPr>
      <w:r>
        <w:rPr>
          <w:noProof/>
          <w:color w:val="000000"/>
          <w:u w:val="single"/>
        </w:rPr>
        <w:t>Investicija E. Čezmejni in večdržavni projekti – Nizkoporabni procesorji in polprevodniški čipi</w:t>
      </w:r>
    </w:p>
    <w:p w14:paraId="762D9192" w14:textId="77777777" w:rsidR="003C6015" w:rsidRPr="00DD6A04" w:rsidRDefault="003C6015" w:rsidP="003C6015">
      <w:pPr>
        <w:spacing w:line="240" w:lineRule="auto"/>
        <w:jc w:val="both"/>
        <w:rPr>
          <w:noProof/>
        </w:rPr>
      </w:pPr>
      <w:r>
        <w:rPr>
          <w:noProof/>
        </w:rPr>
        <w:t>Cilji večdržavnega projekta v zvezi z nizkoporabnimi procesorji in polprevodniškimi čipi so okrepiti zmogljivosti pri načrtovanju ter povečati odpornost evropskih in slovenskih vrednostnih verig polprevodnikov, povezovati nacionalne in evropske procese za prekrivanje krogov dela ter okrepiti vrednostno verigo za mikroelektroniko z (1) modularnim pristopom (orodja in oprema, materiali, oblikovanje, izdelava, pakiranje in testiranje), ki sledi potrebam industrije, (2) opredelitvijo novega razvoja z opredelitvijo ekosistema mikroelektronike ter (3) povezovanjem celotnega ekosistema mikroelektronike v Evropi.</w:t>
      </w:r>
    </w:p>
    <w:p w14:paraId="4D3689F8" w14:textId="77777777" w:rsidR="003C6015" w:rsidRPr="00DD6A04" w:rsidRDefault="003C6015" w:rsidP="003C6015">
      <w:pPr>
        <w:spacing w:beforeLines="60" w:before="144" w:afterLines="60" w:after="144" w:line="240" w:lineRule="auto"/>
        <w:jc w:val="both"/>
        <w:rPr>
          <w:noProof/>
          <w:color w:val="000000"/>
        </w:rPr>
      </w:pPr>
      <w:r>
        <w:rPr>
          <w:noProof/>
          <w:color w:val="000000"/>
        </w:rPr>
        <w:t>Ta projekt bo morda v obliki načrtovanega pomembnega projekta skupnega evropskega interesa (IPCEI).</w:t>
      </w:r>
    </w:p>
    <w:p w14:paraId="4057D9B8" w14:textId="0C23A080" w:rsidR="003C6015" w:rsidRPr="00DD6A04" w:rsidRDefault="003C6015" w:rsidP="003C6015">
      <w:pPr>
        <w:spacing w:beforeLines="60" w:before="144" w:afterLines="60" w:after="144" w:line="240" w:lineRule="auto"/>
        <w:jc w:val="both"/>
        <w:rPr>
          <w:noProof/>
          <w:color w:val="000000"/>
        </w:rPr>
      </w:pPr>
      <w:r>
        <w:rPr>
          <w:noProof/>
        </w:rPr>
        <w:t>Mejniki in cilji v zvezi z izvedbo projekta bodo doseženi do 30. junija 2024.</w:t>
      </w:r>
    </w:p>
    <w:p w14:paraId="011D0950" w14:textId="5FF64AEE" w:rsidR="00297287" w:rsidRPr="00DD6A04" w:rsidRDefault="00297287" w:rsidP="001B71EC">
      <w:pPr>
        <w:tabs>
          <w:tab w:val="left" w:pos="8640"/>
        </w:tabs>
        <w:rPr>
          <w:noProof/>
          <w:lang w:val="en-GB"/>
        </w:rPr>
        <w:sectPr w:rsidR="00297287" w:rsidRPr="00DD6A04" w:rsidSect="00073927">
          <w:headerReference w:type="even" r:id="rId126"/>
          <w:headerReference w:type="default" r:id="rId127"/>
          <w:footerReference w:type="even" r:id="rId128"/>
          <w:footerReference w:type="default" r:id="rId129"/>
          <w:headerReference w:type="first" r:id="rId130"/>
          <w:footerReference w:type="first" r:id="rId131"/>
          <w:pgSz w:w="11907" w:h="16839"/>
          <w:pgMar w:top="1134" w:right="1134" w:bottom="1134" w:left="1134" w:header="567" w:footer="567" w:gutter="0"/>
          <w:cols w:space="720"/>
          <w:docGrid w:linePitch="326"/>
        </w:sectPr>
      </w:pPr>
    </w:p>
    <w:p w14:paraId="51FAFA2F" w14:textId="77777777" w:rsidR="003C6015" w:rsidRPr="00DD6A04" w:rsidRDefault="003C6015" w:rsidP="003C6015">
      <w:pPr>
        <w:spacing w:line="240" w:lineRule="auto"/>
        <w:ind w:left="850"/>
        <w:jc w:val="both"/>
        <w:rPr>
          <w:b/>
          <w:noProof/>
          <w:u w:val="single"/>
        </w:rPr>
      </w:pPr>
      <w:r>
        <w:rPr>
          <w:b/>
          <w:noProof/>
          <w:u w:val="single"/>
        </w:rPr>
        <w:t xml:space="preserve">F.2 </w:t>
      </w:r>
      <w:r>
        <w:rPr>
          <w:b/>
          <w:noProof/>
          <w:u w:val="single"/>
        </w:rPr>
        <w:tab/>
        <w:t>Mejniki, cilji, kazalniki in časovni razpored za spremljanje in izvajanje nepovratne finančne podpore</w:t>
      </w:r>
    </w:p>
    <w:tbl>
      <w:tblPr>
        <w:tblW w:w="15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819"/>
        <w:gridCol w:w="992"/>
        <w:gridCol w:w="1701"/>
        <w:gridCol w:w="1843"/>
        <w:gridCol w:w="1134"/>
        <w:gridCol w:w="992"/>
        <w:gridCol w:w="850"/>
        <w:gridCol w:w="851"/>
        <w:gridCol w:w="850"/>
        <w:gridCol w:w="3150"/>
      </w:tblGrid>
      <w:tr w:rsidR="000E378A" w:rsidRPr="00DD6A04" w14:paraId="102AA9D4" w14:textId="77777777" w:rsidTr="00A70F67">
        <w:trPr>
          <w:trHeight w:val="740"/>
          <w:tblHeader/>
          <w:jc w:val="center"/>
        </w:trPr>
        <w:tc>
          <w:tcPr>
            <w:tcW w:w="1362" w:type="dxa"/>
            <w:vMerge w:val="restart"/>
            <w:shd w:val="clear" w:color="auto" w:fill="BDD7EE"/>
            <w:vAlign w:val="center"/>
            <w:hideMark/>
          </w:tcPr>
          <w:p w14:paraId="59FEE161" w14:textId="77777777" w:rsidR="000E378A" w:rsidRPr="00DD6A04" w:rsidRDefault="000E378A">
            <w:pPr>
              <w:spacing w:before="0" w:after="0" w:line="240" w:lineRule="auto"/>
              <w:jc w:val="center"/>
              <w:rPr>
                <w:rFonts w:eastAsia="Times New Roman"/>
                <w:b/>
                <w:noProof/>
              </w:rPr>
            </w:pPr>
            <w:r>
              <w:rPr>
                <w:b/>
                <w:noProof/>
              </w:rPr>
              <w:t>Zaporedna številka</w:t>
            </w:r>
          </w:p>
        </w:tc>
        <w:tc>
          <w:tcPr>
            <w:tcW w:w="1819" w:type="dxa"/>
            <w:vMerge w:val="restart"/>
            <w:shd w:val="clear" w:color="auto" w:fill="BDD7EE"/>
            <w:vAlign w:val="center"/>
            <w:hideMark/>
          </w:tcPr>
          <w:p w14:paraId="22193C8D" w14:textId="77777777" w:rsidR="000E378A" w:rsidRPr="00DD6A04" w:rsidRDefault="000E378A">
            <w:pPr>
              <w:spacing w:before="0" w:after="0" w:line="240" w:lineRule="auto"/>
              <w:jc w:val="center"/>
              <w:rPr>
                <w:rFonts w:eastAsia="Times New Roman"/>
                <w:b/>
                <w:noProof/>
              </w:rPr>
            </w:pPr>
            <w:r>
              <w:rPr>
                <w:b/>
                <w:noProof/>
              </w:rPr>
              <w:t>Povezani ukrep (reforma ali naložba)</w:t>
            </w:r>
          </w:p>
        </w:tc>
        <w:tc>
          <w:tcPr>
            <w:tcW w:w="992" w:type="dxa"/>
            <w:vMerge w:val="restart"/>
            <w:shd w:val="clear" w:color="auto" w:fill="BDD7EE"/>
            <w:vAlign w:val="center"/>
            <w:hideMark/>
          </w:tcPr>
          <w:p w14:paraId="3D34BFCB" w14:textId="77777777" w:rsidR="000E378A" w:rsidRPr="00DD6A04" w:rsidRDefault="000E378A">
            <w:pPr>
              <w:spacing w:before="0" w:after="0" w:line="240" w:lineRule="auto"/>
              <w:jc w:val="center"/>
              <w:rPr>
                <w:rFonts w:eastAsia="Times New Roman"/>
                <w:b/>
                <w:noProof/>
              </w:rPr>
            </w:pPr>
            <w:r>
              <w:rPr>
                <w:b/>
                <w:noProof/>
              </w:rPr>
              <w:t>Mejnik/cilj</w:t>
            </w:r>
          </w:p>
        </w:tc>
        <w:tc>
          <w:tcPr>
            <w:tcW w:w="1701" w:type="dxa"/>
            <w:vMerge w:val="restart"/>
            <w:shd w:val="clear" w:color="auto" w:fill="BDD7EE"/>
            <w:vAlign w:val="center"/>
            <w:hideMark/>
          </w:tcPr>
          <w:p w14:paraId="2BAEAF08" w14:textId="77777777" w:rsidR="000E378A" w:rsidRPr="00DD6A04" w:rsidRDefault="000E378A">
            <w:pPr>
              <w:spacing w:before="0" w:after="0" w:line="240" w:lineRule="auto"/>
              <w:jc w:val="center"/>
              <w:rPr>
                <w:rFonts w:eastAsia="Times New Roman"/>
                <w:b/>
                <w:noProof/>
              </w:rPr>
            </w:pPr>
            <w:r>
              <w:rPr>
                <w:b/>
                <w:noProof/>
              </w:rPr>
              <w:t>Ime</w:t>
            </w:r>
          </w:p>
        </w:tc>
        <w:tc>
          <w:tcPr>
            <w:tcW w:w="1843" w:type="dxa"/>
            <w:vMerge w:val="restart"/>
            <w:shd w:val="clear" w:color="auto" w:fill="BDD7EE"/>
            <w:vAlign w:val="center"/>
            <w:hideMark/>
          </w:tcPr>
          <w:p w14:paraId="677D890A" w14:textId="77777777" w:rsidR="000E378A" w:rsidRPr="00DD6A04" w:rsidRDefault="000E378A">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2976" w:type="dxa"/>
            <w:gridSpan w:val="3"/>
            <w:shd w:val="clear" w:color="auto" w:fill="BDD7EE"/>
            <w:vAlign w:val="center"/>
            <w:hideMark/>
          </w:tcPr>
          <w:p w14:paraId="55FF3B3E" w14:textId="77777777" w:rsidR="000E378A" w:rsidRPr="00DD6A04" w:rsidRDefault="000E378A">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701" w:type="dxa"/>
            <w:gridSpan w:val="2"/>
            <w:shd w:val="clear" w:color="auto" w:fill="BDD7EE"/>
            <w:vAlign w:val="center"/>
            <w:hideMark/>
          </w:tcPr>
          <w:p w14:paraId="3B90A7F8" w14:textId="77777777" w:rsidR="000E378A" w:rsidRPr="00DD6A04" w:rsidRDefault="000E378A">
            <w:pPr>
              <w:spacing w:before="0" w:after="0" w:line="240" w:lineRule="auto"/>
              <w:jc w:val="center"/>
              <w:rPr>
                <w:rFonts w:eastAsia="Times New Roman"/>
                <w:b/>
                <w:noProof/>
              </w:rPr>
            </w:pPr>
            <w:r>
              <w:rPr>
                <w:b/>
                <w:noProof/>
              </w:rPr>
              <w:t xml:space="preserve">Okvirni časovni razpored za dokončanje </w:t>
            </w:r>
          </w:p>
        </w:tc>
        <w:tc>
          <w:tcPr>
            <w:tcW w:w="3150" w:type="dxa"/>
            <w:vMerge w:val="restart"/>
            <w:shd w:val="clear" w:color="auto" w:fill="BDD7EE"/>
            <w:vAlign w:val="center"/>
            <w:hideMark/>
          </w:tcPr>
          <w:p w14:paraId="3788A4E5" w14:textId="77777777" w:rsidR="000E378A" w:rsidRPr="00DD6A04" w:rsidRDefault="000E378A">
            <w:pPr>
              <w:spacing w:before="0" w:after="0" w:line="240" w:lineRule="auto"/>
              <w:jc w:val="center"/>
              <w:rPr>
                <w:rFonts w:eastAsia="Times New Roman"/>
                <w:b/>
                <w:noProof/>
              </w:rPr>
            </w:pPr>
            <w:r>
              <w:rPr>
                <w:b/>
                <w:noProof/>
              </w:rPr>
              <w:t>Opis vsakega mejnika in cilja</w:t>
            </w:r>
          </w:p>
        </w:tc>
      </w:tr>
      <w:tr w:rsidR="00BE5DF7" w:rsidRPr="00DD6A04" w14:paraId="1B5792C0" w14:textId="77777777" w:rsidTr="00A70F67">
        <w:trPr>
          <w:trHeight w:val="751"/>
          <w:tblHeader/>
          <w:jc w:val="center"/>
        </w:trPr>
        <w:tc>
          <w:tcPr>
            <w:tcW w:w="1362" w:type="dxa"/>
            <w:vMerge/>
            <w:vAlign w:val="center"/>
            <w:hideMark/>
          </w:tcPr>
          <w:p w14:paraId="4FC1EC2D" w14:textId="77777777" w:rsidR="000E378A" w:rsidRPr="00DD6A04" w:rsidRDefault="000E378A">
            <w:pPr>
              <w:spacing w:before="0" w:after="0" w:line="240" w:lineRule="auto"/>
              <w:rPr>
                <w:rFonts w:eastAsia="Times New Roman"/>
                <w:b/>
                <w:noProof/>
                <w:sz w:val="22"/>
                <w:lang w:val="en-GB" w:eastAsia="en-GB"/>
              </w:rPr>
            </w:pPr>
          </w:p>
        </w:tc>
        <w:tc>
          <w:tcPr>
            <w:tcW w:w="1819" w:type="dxa"/>
            <w:vMerge/>
            <w:vAlign w:val="center"/>
            <w:hideMark/>
          </w:tcPr>
          <w:p w14:paraId="5D8E6319" w14:textId="77777777" w:rsidR="000E378A" w:rsidRPr="00DD6A04" w:rsidRDefault="000E378A">
            <w:pPr>
              <w:spacing w:before="0" w:after="0" w:line="240" w:lineRule="auto"/>
              <w:rPr>
                <w:rFonts w:eastAsia="Times New Roman"/>
                <w:b/>
                <w:noProof/>
                <w:sz w:val="22"/>
                <w:lang w:val="en-GB" w:eastAsia="en-GB"/>
              </w:rPr>
            </w:pPr>
          </w:p>
        </w:tc>
        <w:tc>
          <w:tcPr>
            <w:tcW w:w="992" w:type="dxa"/>
            <w:vMerge/>
            <w:vAlign w:val="center"/>
            <w:hideMark/>
          </w:tcPr>
          <w:p w14:paraId="3A7C8D60" w14:textId="77777777" w:rsidR="000E378A" w:rsidRPr="00DD6A04" w:rsidRDefault="000E378A">
            <w:pPr>
              <w:spacing w:before="0" w:after="0" w:line="240" w:lineRule="auto"/>
              <w:rPr>
                <w:rFonts w:eastAsia="Times New Roman"/>
                <w:b/>
                <w:noProof/>
                <w:sz w:val="22"/>
                <w:lang w:val="en-GB" w:eastAsia="en-GB"/>
              </w:rPr>
            </w:pPr>
          </w:p>
        </w:tc>
        <w:tc>
          <w:tcPr>
            <w:tcW w:w="1701" w:type="dxa"/>
            <w:vMerge/>
            <w:vAlign w:val="center"/>
            <w:hideMark/>
          </w:tcPr>
          <w:p w14:paraId="574866CD" w14:textId="77777777" w:rsidR="000E378A" w:rsidRPr="00DD6A04" w:rsidRDefault="000E378A">
            <w:pPr>
              <w:spacing w:before="0" w:after="0" w:line="240" w:lineRule="auto"/>
              <w:rPr>
                <w:rFonts w:eastAsia="Times New Roman"/>
                <w:b/>
                <w:noProof/>
                <w:sz w:val="22"/>
                <w:lang w:val="en-GB" w:eastAsia="en-GB"/>
              </w:rPr>
            </w:pPr>
          </w:p>
        </w:tc>
        <w:tc>
          <w:tcPr>
            <w:tcW w:w="1843" w:type="dxa"/>
            <w:vMerge/>
            <w:vAlign w:val="center"/>
            <w:hideMark/>
          </w:tcPr>
          <w:p w14:paraId="0F9CB8E4" w14:textId="77777777" w:rsidR="000E378A" w:rsidRPr="00DD6A04" w:rsidRDefault="000E378A">
            <w:pPr>
              <w:spacing w:before="0" w:after="0" w:line="240" w:lineRule="auto"/>
              <w:rPr>
                <w:rFonts w:eastAsia="Times New Roman"/>
                <w:b/>
                <w:noProof/>
                <w:sz w:val="22"/>
                <w:lang w:val="en-GB" w:eastAsia="en-GB"/>
              </w:rPr>
            </w:pPr>
          </w:p>
        </w:tc>
        <w:tc>
          <w:tcPr>
            <w:tcW w:w="1134" w:type="dxa"/>
            <w:shd w:val="clear" w:color="auto" w:fill="BDD7EE"/>
            <w:vAlign w:val="center"/>
            <w:hideMark/>
          </w:tcPr>
          <w:p w14:paraId="0A6DC452" w14:textId="77777777" w:rsidR="000E378A" w:rsidRPr="00DD6A04" w:rsidRDefault="000E378A">
            <w:pPr>
              <w:spacing w:before="0" w:after="0" w:line="240" w:lineRule="auto"/>
              <w:jc w:val="center"/>
              <w:rPr>
                <w:rFonts w:eastAsia="Times New Roman"/>
                <w:b/>
                <w:noProof/>
                <w:sz w:val="22"/>
              </w:rPr>
            </w:pPr>
            <w:r>
              <w:rPr>
                <w:b/>
                <w:noProof/>
                <w:sz w:val="22"/>
              </w:rPr>
              <w:t>Enota merjenja</w:t>
            </w:r>
          </w:p>
        </w:tc>
        <w:tc>
          <w:tcPr>
            <w:tcW w:w="992" w:type="dxa"/>
            <w:shd w:val="clear" w:color="auto" w:fill="BDD7EE"/>
            <w:vAlign w:val="center"/>
            <w:hideMark/>
          </w:tcPr>
          <w:p w14:paraId="301127D3" w14:textId="77777777" w:rsidR="000E378A" w:rsidRPr="00DD6A04" w:rsidRDefault="000E378A">
            <w:pPr>
              <w:spacing w:before="0" w:after="0" w:line="240" w:lineRule="auto"/>
              <w:jc w:val="center"/>
              <w:rPr>
                <w:rFonts w:eastAsia="Times New Roman"/>
                <w:b/>
                <w:noProof/>
                <w:sz w:val="22"/>
              </w:rPr>
            </w:pPr>
            <w:r>
              <w:rPr>
                <w:b/>
                <w:noProof/>
                <w:sz w:val="22"/>
              </w:rPr>
              <w:t xml:space="preserve">Izhodiščna raven </w:t>
            </w:r>
          </w:p>
        </w:tc>
        <w:tc>
          <w:tcPr>
            <w:tcW w:w="850" w:type="dxa"/>
            <w:shd w:val="clear" w:color="auto" w:fill="BDD7EE"/>
            <w:vAlign w:val="center"/>
            <w:hideMark/>
          </w:tcPr>
          <w:p w14:paraId="1D319FAC" w14:textId="77777777" w:rsidR="000E378A" w:rsidRPr="00DD6A04" w:rsidRDefault="000E378A">
            <w:pPr>
              <w:spacing w:before="0" w:after="0" w:line="240" w:lineRule="auto"/>
              <w:jc w:val="center"/>
              <w:rPr>
                <w:rFonts w:eastAsia="Times New Roman"/>
                <w:b/>
                <w:noProof/>
                <w:sz w:val="22"/>
              </w:rPr>
            </w:pPr>
            <w:r>
              <w:rPr>
                <w:b/>
                <w:noProof/>
                <w:sz w:val="22"/>
              </w:rPr>
              <w:t xml:space="preserve">Ciljna raven </w:t>
            </w:r>
          </w:p>
        </w:tc>
        <w:tc>
          <w:tcPr>
            <w:tcW w:w="851" w:type="dxa"/>
            <w:shd w:val="clear" w:color="auto" w:fill="BDD7EE"/>
            <w:vAlign w:val="center"/>
            <w:hideMark/>
          </w:tcPr>
          <w:p w14:paraId="13C7510B" w14:textId="77777777" w:rsidR="000E378A" w:rsidRPr="00DD6A04" w:rsidRDefault="000E378A">
            <w:pPr>
              <w:spacing w:before="0" w:after="0" w:line="240" w:lineRule="auto"/>
              <w:jc w:val="center"/>
              <w:rPr>
                <w:rFonts w:eastAsia="Times New Roman"/>
                <w:b/>
                <w:noProof/>
                <w:sz w:val="22"/>
              </w:rPr>
            </w:pPr>
            <w:r>
              <w:rPr>
                <w:b/>
                <w:noProof/>
                <w:sz w:val="22"/>
              </w:rPr>
              <w:t>Četrtletje</w:t>
            </w:r>
          </w:p>
        </w:tc>
        <w:tc>
          <w:tcPr>
            <w:tcW w:w="850" w:type="dxa"/>
            <w:shd w:val="clear" w:color="auto" w:fill="BDD7EE"/>
            <w:vAlign w:val="center"/>
            <w:hideMark/>
          </w:tcPr>
          <w:p w14:paraId="607CD861" w14:textId="77777777" w:rsidR="000E378A" w:rsidRPr="00DD6A04" w:rsidRDefault="000E378A">
            <w:pPr>
              <w:spacing w:before="0" w:after="0" w:line="240" w:lineRule="auto"/>
              <w:jc w:val="center"/>
              <w:rPr>
                <w:rFonts w:eastAsia="Times New Roman"/>
                <w:b/>
                <w:noProof/>
                <w:sz w:val="22"/>
              </w:rPr>
            </w:pPr>
            <w:r>
              <w:rPr>
                <w:b/>
                <w:noProof/>
                <w:sz w:val="22"/>
              </w:rPr>
              <w:t>Leto</w:t>
            </w:r>
          </w:p>
        </w:tc>
        <w:tc>
          <w:tcPr>
            <w:tcW w:w="3150" w:type="dxa"/>
            <w:vMerge/>
            <w:vAlign w:val="center"/>
            <w:hideMark/>
          </w:tcPr>
          <w:p w14:paraId="3085E2B9" w14:textId="77777777" w:rsidR="000E378A" w:rsidRPr="00DD6A04" w:rsidRDefault="000E378A">
            <w:pPr>
              <w:spacing w:before="0" w:after="0" w:line="240" w:lineRule="auto"/>
              <w:rPr>
                <w:rFonts w:eastAsia="Times New Roman"/>
                <w:b/>
                <w:noProof/>
                <w:sz w:val="22"/>
                <w:lang w:val="en-GB" w:eastAsia="en-GB"/>
              </w:rPr>
            </w:pPr>
          </w:p>
        </w:tc>
      </w:tr>
      <w:tr w:rsidR="00BE5DF7" w:rsidRPr="00DD6A04" w14:paraId="0DEA13A0" w14:textId="77777777" w:rsidTr="00A70F67">
        <w:trPr>
          <w:trHeight w:val="309"/>
          <w:jc w:val="center"/>
        </w:trPr>
        <w:tc>
          <w:tcPr>
            <w:tcW w:w="1362" w:type="dxa"/>
            <w:shd w:val="clear" w:color="auto" w:fill="C6EFCE"/>
            <w:noWrap/>
          </w:tcPr>
          <w:p w14:paraId="09A5846E" w14:textId="4E9EB797" w:rsidR="000747A7" w:rsidRPr="00DD6A04" w:rsidRDefault="000747A7" w:rsidP="000747A7">
            <w:pPr>
              <w:spacing w:before="0" w:after="0" w:line="240" w:lineRule="auto"/>
              <w:rPr>
                <w:rFonts w:eastAsia="Times New Roman"/>
                <w:noProof/>
                <w:color w:val="006100"/>
                <w:sz w:val="22"/>
              </w:rPr>
            </w:pPr>
            <w:r>
              <w:rPr>
                <w:noProof/>
                <w:color w:val="006100"/>
                <w:sz w:val="22"/>
              </w:rPr>
              <w:t>77</w:t>
            </w:r>
          </w:p>
        </w:tc>
        <w:tc>
          <w:tcPr>
            <w:tcW w:w="1819" w:type="dxa"/>
            <w:shd w:val="clear" w:color="auto" w:fill="C6EFCE"/>
            <w:noWrap/>
          </w:tcPr>
          <w:p w14:paraId="2DD617AD" w14:textId="2A4751B4" w:rsidR="000747A7" w:rsidRPr="00DD6A04" w:rsidRDefault="000747A7" w:rsidP="000747A7">
            <w:pPr>
              <w:spacing w:before="0" w:after="0" w:line="240" w:lineRule="auto"/>
              <w:rPr>
                <w:rFonts w:eastAsia="Times New Roman"/>
                <w:noProof/>
                <w:color w:val="006100"/>
                <w:sz w:val="22"/>
              </w:rPr>
            </w:pPr>
            <w:r>
              <w:rPr>
                <w:noProof/>
                <w:color w:val="006100"/>
                <w:sz w:val="22"/>
              </w:rPr>
              <w:t>A: Digitalna transformacija gospodarstva (podjetij in industrije)</w:t>
            </w:r>
          </w:p>
        </w:tc>
        <w:tc>
          <w:tcPr>
            <w:tcW w:w="992" w:type="dxa"/>
            <w:shd w:val="clear" w:color="auto" w:fill="C6EFCE"/>
            <w:noWrap/>
          </w:tcPr>
          <w:p w14:paraId="095705AB" w14:textId="254F9B49" w:rsidR="000747A7" w:rsidRPr="00DD6A04" w:rsidRDefault="000747A7" w:rsidP="000747A7">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6A811EFA" w14:textId="2EC20615" w:rsidR="000747A7" w:rsidRPr="00DD6A04" w:rsidRDefault="000747A7" w:rsidP="000747A7">
            <w:pPr>
              <w:spacing w:before="0" w:after="0" w:line="240" w:lineRule="auto"/>
              <w:rPr>
                <w:rFonts w:eastAsia="Times New Roman"/>
                <w:noProof/>
                <w:color w:val="006100"/>
                <w:sz w:val="22"/>
              </w:rPr>
            </w:pPr>
            <w:r>
              <w:rPr>
                <w:noProof/>
                <w:color w:val="006100"/>
                <w:sz w:val="22"/>
              </w:rPr>
              <w:t>Sprejetje Strategije digitalne transformacije podjetij</w:t>
            </w:r>
          </w:p>
        </w:tc>
        <w:tc>
          <w:tcPr>
            <w:tcW w:w="1843" w:type="dxa"/>
            <w:shd w:val="clear" w:color="auto" w:fill="C6EFCE"/>
            <w:noWrap/>
          </w:tcPr>
          <w:p w14:paraId="768E3CF3" w14:textId="3A3D57ED" w:rsidR="000747A7" w:rsidRPr="00DD6A04" w:rsidRDefault="000747A7" w:rsidP="000747A7">
            <w:pPr>
              <w:spacing w:before="0" w:after="0" w:line="240" w:lineRule="auto"/>
              <w:rPr>
                <w:rFonts w:eastAsia="Times New Roman"/>
                <w:noProof/>
                <w:color w:val="006100"/>
                <w:sz w:val="22"/>
              </w:rPr>
            </w:pPr>
            <w:r>
              <w:rPr>
                <w:noProof/>
                <w:color w:val="006100"/>
                <w:sz w:val="22"/>
              </w:rPr>
              <w:t xml:space="preserve">Sprejetje Strategije digitalne transformacije podjetij s strani Vlade Republike Slovenije </w:t>
            </w:r>
          </w:p>
        </w:tc>
        <w:tc>
          <w:tcPr>
            <w:tcW w:w="1134" w:type="dxa"/>
            <w:shd w:val="clear" w:color="auto" w:fill="C6EFCE"/>
            <w:noWrap/>
          </w:tcPr>
          <w:p w14:paraId="49C53834" w14:textId="17539116"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992" w:type="dxa"/>
            <w:shd w:val="clear" w:color="auto" w:fill="C6EFCE"/>
            <w:noWrap/>
          </w:tcPr>
          <w:p w14:paraId="2E09FB88" w14:textId="00C5D108"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0" w:type="dxa"/>
            <w:shd w:val="clear" w:color="auto" w:fill="C6EFCE"/>
            <w:noWrap/>
          </w:tcPr>
          <w:p w14:paraId="500365AD" w14:textId="11AE4D86"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1" w:type="dxa"/>
            <w:shd w:val="clear" w:color="auto" w:fill="C6EFCE"/>
            <w:noWrap/>
          </w:tcPr>
          <w:p w14:paraId="2D606C73" w14:textId="58A97E54" w:rsidR="000747A7" w:rsidRPr="00DD6A04" w:rsidRDefault="000747A7" w:rsidP="000747A7">
            <w:pPr>
              <w:spacing w:before="0" w:after="0" w:line="240" w:lineRule="auto"/>
              <w:rPr>
                <w:rFonts w:eastAsia="Times New Roman"/>
                <w:noProof/>
                <w:color w:val="006100"/>
                <w:sz w:val="22"/>
              </w:rPr>
            </w:pPr>
            <w:r>
              <w:rPr>
                <w:noProof/>
                <w:color w:val="006100"/>
                <w:sz w:val="22"/>
              </w:rPr>
              <w:t>Q4</w:t>
            </w:r>
          </w:p>
        </w:tc>
        <w:tc>
          <w:tcPr>
            <w:tcW w:w="850" w:type="dxa"/>
            <w:shd w:val="clear" w:color="auto" w:fill="C6EFCE"/>
            <w:noWrap/>
          </w:tcPr>
          <w:p w14:paraId="672D4002" w14:textId="7EB848B2" w:rsidR="000747A7" w:rsidRPr="00DD6A04" w:rsidRDefault="000747A7" w:rsidP="000747A7">
            <w:pPr>
              <w:spacing w:before="0" w:after="0" w:line="240" w:lineRule="auto"/>
              <w:rPr>
                <w:rFonts w:eastAsia="Times New Roman"/>
                <w:noProof/>
                <w:color w:val="006100"/>
                <w:sz w:val="22"/>
              </w:rPr>
            </w:pPr>
            <w:r>
              <w:rPr>
                <w:noProof/>
                <w:color w:val="006100"/>
                <w:sz w:val="22"/>
              </w:rPr>
              <w:t>2021</w:t>
            </w:r>
          </w:p>
        </w:tc>
        <w:tc>
          <w:tcPr>
            <w:tcW w:w="3150" w:type="dxa"/>
            <w:shd w:val="clear" w:color="auto" w:fill="C6EFCE"/>
            <w:noWrap/>
          </w:tcPr>
          <w:p w14:paraId="5E26A835" w14:textId="77777777" w:rsidR="000747A7" w:rsidRPr="00DD6A04" w:rsidRDefault="000747A7" w:rsidP="000747A7">
            <w:pPr>
              <w:spacing w:before="0" w:after="0" w:line="256" w:lineRule="auto"/>
              <w:rPr>
                <w:rFonts w:eastAsia="Times New Roman"/>
                <w:noProof/>
                <w:color w:val="006100"/>
                <w:sz w:val="22"/>
              </w:rPr>
            </w:pPr>
            <w:r>
              <w:rPr>
                <w:noProof/>
                <w:color w:val="006100"/>
                <w:sz w:val="22"/>
              </w:rPr>
              <w:t>Vlada Republike Slovenije bo razvila in sprejela Strategijo digitalne transformacije podjetij, v kateri bodo določeni osnovni koraki digitalne preobrazbe. Strategija bo zagotovila, da so vsi poslovni subjekti v Sloveniji registrirani v enem registru v skladu z načelom „samo enkrat“ iz uredbe o enotnem digitalnem portalu (Uredba (EU) 2018/1724).</w:t>
            </w:r>
          </w:p>
          <w:p w14:paraId="0C0FDB7D" w14:textId="77777777" w:rsidR="000747A7" w:rsidRPr="00DD6A04" w:rsidRDefault="000747A7" w:rsidP="000747A7">
            <w:pPr>
              <w:spacing w:before="0" w:after="0" w:line="256" w:lineRule="auto"/>
              <w:rPr>
                <w:rFonts w:eastAsia="Times New Roman"/>
                <w:noProof/>
                <w:color w:val="006100"/>
                <w:sz w:val="22"/>
                <w:lang w:val="en-GB" w:eastAsia="en-GB"/>
              </w:rPr>
            </w:pPr>
          </w:p>
          <w:p w14:paraId="4DFD6A76" w14:textId="576402E8" w:rsidR="000747A7" w:rsidRPr="00DD6A04" w:rsidRDefault="000747A7" w:rsidP="000747A7">
            <w:pPr>
              <w:spacing w:before="0" w:after="0" w:line="240" w:lineRule="auto"/>
              <w:rPr>
                <w:rFonts w:eastAsia="Times New Roman"/>
                <w:noProof/>
                <w:color w:val="006100"/>
                <w:sz w:val="22"/>
                <w:highlight w:val="yellow"/>
              </w:rPr>
            </w:pPr>
            <w:r>
              <w:rPr>
                <w:noProof/>
                <w:color w:val="006100"/>
                <w:sz w:val="22"/>
              </w:rPr>
              <w:t>Strategija bo vključevala časovni načrt za izvajanje skupnega nabora orodij Unije za povezljivost</w:t>
            </w:r>
            <w:r w:rsidRPr="00DD6A04">
              <w:rPr>
                <w:noProof/>
                <w:color w:val="000000"/>
                <w:vertAlign w:val="superscript"/>
                <w:lang w:val="en-GB"/>
              </w:rPr>
              <w:footnoteReference w:id="4"/>
            </w:r>
            <w:r>
              <w:rPr>
                <w:noProof/>
                <w:color w:val="006100"/>
                <w:sz w:val="22"/>
              </w:rPr>
              <w:t>, vključno z dejavnostmi v zvezi iz enotno informacijsko točko in posebno časovnico za dokončanje vsakega ukrepa.</w:t>
            </w:r>
          </w:p>
        </w:tc>
      </w:tr>
      <w:tr w:rsidR="00BE5DF7" w:rsidRPr="00DD6A04" w14:paraId="535FFB5D" w14:textId="77777777" w:rsidTr="00A70F67">
        <w:trPr>
          <w:trHeight w:val="309"/>
          <w:jc w:val="center"/>
        </w:trPr>
        <w:tc>
          <w:tcPr>
            <w:tcW w:w="1362" w:type="dxa"/>
            <w:shd w:val="clear" w:color="auto" w:fill="C6EFCE"/>
            <w:noWrap/>
          </w:tcPr>
          <w:p w14:paraId="3CAC7CCA" w14:textId="7D9231C6" w:rsidR="000747A7" w:rsidRPr="00DD6A04" w:rsidRDefault="000747A7" w:rsidP="000747A7">
            <w:pPr>
              <w:spacing w:before="0" w:after="0" w:line="240" w:lineRule="auto"/>
              <w:rPr>
                <w:rFonts w:eastAsia="Times New Roman"/>
                <w:noProof/>
                <w:color w:val="006100"/>
                <w:sz w:val="22"/>
              </w:rPr>
            </w:pPr>
            <w:r>
              <w:rPr>
                <w:noProof/>
                <w:color w:val="006100"/>
                <w:sz w:val="22"/>
              </w:rPr>
              <w:t>78</w:t>
            </w:r>
          </w:p>
        </w:tc>
        <w:tc>
          <w:tcPr>
            <w:tcW w:w="1819" w:type="dxa"/>
            <w:shd w:val="clear" w:color="auto" w:fill="C6EFCE"/>
            <w:noWrap/>
          </w:tcPr>
          <w:p w14:paraId="403C36C3" w14:textId="6C8C869E" w:rsidR="000747A7" w:rsidRPr="00DD6A04" w:rsidRDefault="000747A7" w:rsidP="000747A7">
            <w:pPr>
              <w:spacing w:before="0" w:after="0" w:line="240" w:lineRule="auto"/>
              <w:rPr>
                <w:rFonts w:eastAsia="Times New Roman"/>
                <w:noProof/>
                <w:color w:val="006100"/>
                <w:sz w:val="22"/>
              </w:rPr>
            </w:pPr>
            <w:r>
              <w:rPr>
                <w:noProof/>
                <w:color w:val="006100"/>
                <w:sz w:val="22"/>
              </w:rPr>
              <w:t>A: Digitalna transformacija gospodarstva (podjetij in industrije)</w:t>
            </w:r>
          </w:p>
        </w:tc>
        <w:tc>
          <w:tcPr>
            <w:tcW w:w="992" w:type="dxa"/>
            <w:shd w:val="clear" w:color="auto" w:fill="C6EFCE"/>
            <w:noWrap/>
          </w:tcPr>
          <w:p w14:paraId="610DA776" w14:textId="661547D1" w:rsidR="000747A7" w:rsidRPr="00DD6A04" w:rsidRDefault="000747A7" w:rsidP="000747A7">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63DE44CA" w14:textId="597116D5" w:rsidR="000747A7" w:rsidRPr="00DD6A04" w:rsidRDefault="000747A7" w:rsidP="000747A7">
            <w:pPr>
              <w:spacing w:before="0" w:after="0" w:line="240" w:lineRule="auto"/>
              <w:rPr>
                <w:rFonts w:eastAsia="Times New Roman"/>
                <w:noProof/>
                <w:color w:val="006100"/>
                <w:sz w:val="22"/>
              </w:rPr>
            </w:pPr>
            <w:r>
              <w:rPr>
                <w:noProof/>
                <w:color w:val="006100"/>
                <w:sz w:val="22"/>
              </w:rPr>
              <w:t xml:space="preserve">Smernice za inovativno javno naročanje </w:t>
            </w:r>
          </w:p>
        </w:tc>
        <w:tc>
          <w:tcPr>
            <w:tcW w:w="1843" w:type="dxa"/>
            <w:shd w:val="clear" w:color="auto" w:fill="C6EFCE"/>
            <w:noWrap/>
          </w:tcPr>
          <w:p w14:paraId="6101DAF0" w14:textId="6285D786" w:rsidR="000747A7" w:rsidRPr="00DD6A04" w:rsidRDefault="000747A7" w:rsidP="000747A7">
            <w:pPr>
              <w:spacing w:before="0" w:after="0" w:line="240" w:lineRule="auto"/>
              <w:rPr>
                <w:rFonts w:eastAsia="Times New Roman"/>
                <w:noProof/>
                <w:color w:val="006100"/>
                <w:sz w:val="22"/>
              </w:rPr>
            </w:pPr>
            <w:r>
              <w:rPr>
                <w:noProof/>
                <w:color w:val="006100"/>
                <w:sz w:val="22"/>
              </w:rPr>
              <w:t>Sprejetje Smernic za inovativno javno naročanje s strani Vlade Republike Slovenije</w:t>
            </w:r>
          </w:p>
        </w:tc>
        <w:tc>
          <w:tcPr>
            <w:tcW w:w="1134" w:type="dxa"/>
            <w:shd w:val="clear" w:color="auto" w:fill="C6EFCE"/>
            <w:noWrap/>
          </w:tcPr>
          <w:p w14:paraId="1F391610" w14:textId="43AA09F8"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992" w:type="dxa"/>
            <w:shd w:val="clear" w:color="auto" w:fill="C6EFCE"/>
            <w:noWrap/>
          </w:tcPr>
          <w:p w14:paraId="6C10145D" w14:textId="6D4D4436"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0" w:type="dxa"/>
            <w:shd w:val="clear" w:color="auto" w:fill="C6EFCE"/>
            <w:noWrap/>
          </w:tcPr>
          <w:p w14:paraId="3FEA2899" w14:textId="483EB2A5"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1" w:type="dxa"/>
            <w:shd w:val="clear" w:color="auto" w:fill="C6EFCE"/>
            <w:noWrap/>
          </w:tcPr>
          <w:p w14:paraId="15245651" w14:textId="2858347E"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2E102802" w14:textId="5AE2835D" w:rsidR="000747A7" w:rsidRPr="00DD6A04" w:rsidRDefault="000747A7" w:rsidP="000747A7">
            <w:pPr>
              <w:spacing w:before="0" w:after="0" w:line="240" w:lineRule="auto"/>
              <w:rPr>
                <w:rFonts w:eastAsia="Times New Roman"/>
                <w:noProof/>
                <w:color w:val="006100"/>
                <w:sz w:val="22"/>
              </w:rPr>
            </w:pPr>
            <w:r>
              <w:rPr>
                <w:noProof/>
                <w:color w:val="006100"/>
                <w:sz w:val="22"/>
              </w:rPr>
              <w:t>2022</w:t>
            </w:r>
          </w:p>
        </w:tc>
        <w:tc>
          <w:tcPr>
            <w:tcW w:w="3150" w:type="dxa"/>
            <w:shd w:val="clear" w:color="auto" w:fill="C6EFCE"/>
            <w:noWrap/>
          </w:tcPr>
          <w:p w14:paraId="3CDBB29D" w14:textId="3ED66C77" w:rsidR="000747A7" w:rsidRPr="00DD6A04" w:rsidRDefault="000747A7" w:rsidP="000747A7">
            <w:pPr>
              <w:spacing w:before="0" w:after="0" w:line="240" w:lineRule="auto"/>
              <w:rPr>
                <w:rFonts w:eastAsia="Times New Roman"/>
                <w:noProof/>
                <w:color w:val="006100"/>
                <w:sz w:val="22"/>
              </w:rPr>
            </w:pPr>
            <w:r>
              <w:rPr>
                <w:noProof/>
                <w:color w:val="006100"/>
                <w:sz w:val="22"/>
              </w:rPr>
              <w:t>Smernice za inovativno javno naročanje bodo opredeljevale izbirne postopke in merila za sodelovanje prijaviteljev v postopkih inovativnega javnega naročanja.</w:t>
            </w:r>
          </w:p>
        </w:tc>
      </w:tr>
      <w:tr w:rsidR="00BE5DF7" w:rsidRPr="00DD6A04" w14:paraId="46ACD1B5" w14:textId="77777777" w:rsidTr="00A70F67">
        <w:trPr>
          <w:trHeight w:val="309"/>
          <w:jc w:val="center"/>
        </w:trPr>
        <w:tc>
          <w:tcPr>
            <w:tcW w:w="1362" w:type="dxa"/>
            <w:shd w:val="clear" w:color="auto" w:fill="C6EFCE"/>
            <w:noWrap/>
          </w:tcPr>
          <w:p w14:paraId="692E4881" w14:textId="430BD75D" w:rsidR="000747A7" w:rsidRPr="00DD6A04" w:rsidRDefault="000747A7" w:rsidP="000747A7">
            <w:pPr>
              <w:spacing w:before="0" w:after="0" w:line="240" w:lineRule="auto"/>
              <w:rPr>
                <w:rFonts w:eastAsia="Times New Roman"/>
                <w:noProof/>
                <w:color w:val="006100"/>
                <w:sz w:val="22"/>
              </w:rPr>
            </w:pPr>
            <w:r>
              <w:rPr>
                <w:noProof/>
                <w:color w:val="006100"/>
                <w:sz w:val="22"/>
              </w:rPr>
              <w:t>79</w:t>
            </w:r>
          </w:p>
        </w:tc>
        <w:tc>
          <w:tcPr>
            <w:tcW w:w="1819" w:type="dxa"/>
            <w:shd w:val="clear" w:color="auto" w:fill="C6EFCE"/>
            <w:noWrap/>
          </w:tcPr>
          <w:p w14:paraId="2FA06371" w14:textId="3851E539" w:rsidR="000747A7" w:rsidRPr="00DD6A04" w:rsidRDefault="000747A7" w:rsidP="000747A7">
            <w:pPr>
              <w:spacing w:before="0" w:after="0" w:line="240" w:lineRule="auto"/>
              <w:rPr>
                <w:rFonts w:eastAsia="Times New Roman"/>
                <w:noProof/>
                <w:color w:val="006100"/>
                <w:sz w:val="22"/>
              </w:rPr>
            </w:pPr>
            <w:r>
              <w:rPr>
                <w:noProof/>
                <w:color w:val="006100"/>
                <w:sz w:val="22"/>
              </w:rPr>
              <w:t>A: Digitalna transformacija gospodarstva (podjetij in industrije)</w:t>
            </w:r>
          </w:p>
        </w:tc>
        <w:tc>
          <w:tcPr>
            <w:tcW w:w="992" w:type="dxa"/>
            <w:shd w:val="clear" w:color="auto" w:fill="C6EFCE"/>
            <w:noWrap/>
          </w:tcPr>
          <w:p w14:paraId="3713B314" w14:textId="38D39EC3" w:rsidR="000747A7" w:rsidRPr="00DD6A04" w:rsidRDefault="000747A7" w:rsidP="000747A7">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09C9D59E" w14:textId="297E7DA0" w:rsidR="000747A7" w:rsidRPr="00DD6A04" w:rsidRDefault="000747A7" w:rsidP="000747A7">
            <w:pPr>
              <w:spacing w:before="0" w:after="0" w:line="240" w:lineRule="auto"/>
              <w:rPr>
                <w:rFonts w:eastAsia="Times New Roman"/>
                <w:noProof/>
                <w:color w:val="006100"/>
                <w:sz w:val="22"/>
              </w:rPr>
            </w:pPr>
            <w:r>
              <w:rPr>
                <w:noProof/>
                <w:color w:val="006100"/>
                <w:sz w:val="22"/>
              </w:rPr>
              <w:t>Podjetja z dodeljeno e-identiteto</w:t>
            </w:r>
          </w:p>
        </w:tc>
        <w:tc>
          <w:tcPr>
            <w:tcW w:w="1843" w:type="dxa"/>
            <w:shd w:val="clear" w:color="auto" w:fill="C6EFCE"/>
            <w:noWrap/>
          </w:tcPr>
          <w:p w14:paraId="1F14CF97" w14:textId="74A63458"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1134" w:type="dxa"/>
            <w:shd w:val="clear" w:color="auto" w:fill="C6EFCE"/>
            <w:noWrap/>
          </w:tcPr>
          <w:p w14:paraId="7C6C8860" w14:textId="27331047" w:rsidR="000747A7" w:rsidRPr="00DD6A04" w:rsidRDefault="000747A7" w:rsidP="000747A7">
            <w:pPr>
              <w:spacing w:before="0" w:after="0" w:line="240" w:lineRule="auto"/>
              <w:rPr>
                <w:rFonts w:eastAsia="Times New Roman"/>
                <w:noProof/>
                <w:color w:val="006100"/>
                <w:sz w:val="22"/>
              </w:rPr>
            </w:pPr>
            <w:r>
              <w:rPr>
                <w:noProof/>
                <w:color w:val="006100"/>
                <w:sz w:val="22"/>
              </w:rPr>
              <w:t>Število</w:t>
            </w:r>
          </w:p>
        </w:tc>
        <w:tc>
          <w:tcPr>
            <w:tcW w:w="992" w:type="dxa"/>
            <w:shd w:val="clear" w:color="auto" w:fill="C6EFCE"/>
            <w:noWrap/>
          </w:tcPr>
          <w:p w14:paraId="6AB8D7BD" w14:textId="6D043474" w:rsidR="000747A7" w:rsidRPr="00DD6A04" w:rsidRDefault="000747A7" w:rsidP="000747A7">
            <w:pPr>
              <w:spacing w:before="0" w:after="0" w:line="240" w:lineRule="auto"/>
              <w:rPr>
                <w:rFonts w:eastAsia="Times New Roman"/>
                <w:noProof/>
                <w:color w:val="006100"/>
                <w:sz w:val="22"/>
              </w:rPr>
            </w:pPr>
            <w:r>
              <w:rPr>
                <w:noProof/>
                <w:color w:val="006100"/>
                <w:sz w:val="22"/>
              </w:rPr>
              <w:t>0</w:t>
            </w:r>
          </w:p>
        </w:tc>
        <w:tc>
          <w:tcPr>
            <w:tcW w:w="850" w:type="dxa"/>
            <w:shd w:val="clear" w:color="auto" w:fill="C6EFCE"/>
            <w:noWrap/>
          </w:tcPr>
          <w:p w14:paraId="555D3CFA" w14:textId="77777777" w:rsidR="000747A7" w:rsidRPr="00DD6A04" w:rsidRDefault="000747A7" w:rsidP="000747A7">
            <w:pPr>
              <w:spacing w:before="0" w:after="0" w:line="256" w:lineRule="auto"/>
              <w:rPr>
                <w:rFonts w:eastAsia="Times New Roman"/>
                <w:noProof/>
                <w:color w:val="006100"/>
                <w:sz w:val="22"/>
              </w:rPr>
            </w:pPr>
            <w:r>
              <w:rPr>
                <w:noProof/>
                <w:color w:val="006100"/>
                <w:sz w:val="22"/>
              </w:rPr>
              <w:t>200</w:t>
            </w:r>
          </w:p>
          <w:p w14:paraId="50395A15" w14:textId="77777777" w:rsidR="000747A7" w:rsidRPr="00DD6A04" w:rsidRDefault="000747A7" w:rsidP="000747A7">
            <w:pPr>
              <w:spacing w:before="0" w:after="0" w:line="240" w:lineRule="auto"/>
              <w:rPr>
                <w:rFonts w:eastAsia="Times New Roman"/>
                <w:noProof/>
                <w:color w:val="006100"/>
                <w:sz w:val="22"/>
                <w:lang w:val="en-GB" w:eastAsia="en-GB"/>
              </w:rPr>
            </w:pPr>
          </w:p>
        </w:tc>
        <w:tc>
          <w:tcPr>
            <w:tcW w:w="851" w:type="dxa"/>
            <w:shd w:val="clear" w:color="auto" w:fill="C6EFCE"/>
            <w:noWrap/>
          </w:tcPr>
          <w:p w14:paraId="4341AB19" w14:textId="16D56897" w:rsidR="000747A7" w:rsidRPr="00DD6A04" w:rsidRDefault="000747A7" w:rsidP="000747A7">
            <w:pPr>
              <w:spacing w:before="0" w:after="0" w:line="240" w:lineRule="auto"/>
              <w:rPr>
                <w:rFonts w:eastAsia="Times New Roman"/>
                <w:noProof/>
                <w:color w:val="006100"/>
                <w:sz w:val="22"/>
              </w:rPr>
            </w:pPr>
            <w:r>
              <w:rPr>
                <w:noProof/>
                <w:color w:val="006100"/>
                <w:sz w:val="22"/>
              </w:rPr>
              <w:t>Q4</w:t>
            </w:r>
          </w:p>
        </w:tc>
        <w:tc>
          <w:tcPr>
            <w:tcW w:w="850" w:type="dxa"/>
            <w:shd w:val="clear" w:color="auto" w:fill="C6EFCE"/>
            <w:noWrap/>
          </w:tcPr>
          <w:p w14:paraId="494DC542" w14:textId="141A203B" w:rsidR="000747A7" w:rsidRPr="00DD6A04" w:rsidRDefault="000747A7" w:rsidP="000747A7">
            <w:pPr>
              <w:spacing w:before="0" w:after="0" w:line="240" w:lineRule="auto"/>
              <w:rPr>
                <w:rFonts w:eastAsia="Times New Roman"/>
                <w:noProof/>
                <w:color w:val="006100"/>
                <w:sz w:val="22"/>
              </w:rPr>
            </w:pPr>
            <w:r>
              <w:rPr>
                <w:noProof/>
                <w:color w:val="006100"/>
                <w:sz w:val="22"/>
              </w:rPr>
              <w:t>2024</w:t>
            </w:r>
          </w:p>
        </w:tc>
        <w:tc>
          <w:tcPr>
            <w:tcW w:w="3150" w:type="dxa"/>
            <w:shd w:val="clear" w:color="auto" w:fill="C6EFCE"/>
            <w:noWrap/>
          </w:tcPr>
          <w:p w14:paraId="47955363" w14:textId="6D65C21F" w:rsidR="000747A7" w:rsidRPr="00DD6A04" w:rsidRDefault="000747A7" w:rsidP="000747A7">
            <w:pPr>
              <w:spacing w:before="0" w:after="0" w:line="240" w:lineRule="auto"/>
              <w:rPr>
                <w:rFonts w:eastAsia="Times New Roman"/>
                <w:noProof/>
                <w:color w:val="006100"/>
                <w:sz w:val="22"/>
              </w:rPr>
            </w:pPr>
            <w:r>
              <w:rPr>
                <w:noProof/>
                <w:color w:val="006100"/>
                <w:sz w:val="22"/>
              </w:rPr>
              <w:t>Vsaj 200 podjetij bo pridobilo e-identiteto v skladu s Strategijo digitalne transformacije podjetij.</w:t>
            </w:r>
          </w:p>
        </w:tc>
      </w:tr>
      <w:tr w:rsidR="00BE5DF7" w:rsidRPr="00DD6A04" w14:paraId="73B30F3E" w14:textId="77777777" w:rsidTr="00A70F67">
        <w:trPr>
          <w:trHeight w:val="309"/>
          <w:jc w:val="center"/>
        </w:trPr>
        <w:tc>
          <w:tcPr>
            <w:tcW w:w="1362" w:type="dxa"/>
            <w:shd w:val="clear" w:color="auto" w:fill="C6EFCE"/>
            <w:noWrap/>
          </w:tcPr>
          <w:p w14:paraId="66276597" w14:textId="2F35ECC6" w:rsidR="000747A7" w:rsidRPr="00DD6A04" w:rsidRDefault="000747A7" w:rsidP="000747A7">
            <w:pPr>
              <w:spacing w:before="0" w:after="0" w:line="240" w:lineRule="auto"/>
              <w:rPr>
                <w:rFonts w:eastAsia="Times New Roman"/>
                <w:noProof/>
                <w:color w:val="006100"/>
                <w:sz w:val="22"/>
              </w:rPr>
            </w:pPr>
            <w:r>
              <w:rPr>
                <w:noProof/>
                <w:color w:val="006100"/>
                <w:sz w:val="22"/>
              </w:rPr>
              <w:t>80</w:t>
            </w:r>
          </w:p>
        </w:tc>
        <w:tc>
          <w:tcPr>
            <w:tcW w:w="1819" w:type="dxa"/>
            <w:shd w:val="clear" w:color="auto" w:fill="C6EFCE"/>
            <w:noWrap/>
          </w:tcPr>
          <w:p w14:paraId="107148C5" w14:textId="42C941FE" w:rsidR="000747A7" w:rsidRPr="00DD6A04" w:rsidRDefault="000747A7" w:rsidP="000747A7">
            <w:pPr>
              <w:spacing w:before="0" w:after="0" w:line="240" w:lineRule="auto"/>
              <w:rPr>
                <w:rFonts w:eastAsia="Times New Roman"/>
                <w:noProof/>
                <w:color w:val="006100"/>
                <w:sz w:val="22"/>
              </w:rPr>
            </w:pPr>
            <w:r>
              <w:rPr>
                <w:noProof/>
                <w:color w:val="006100"/>
                <w:sz w:val="22"/>
              </w:rPr>
              <w:t xml:space="preserve">B: Program digitalne transformacije industrije/podjetij </w:t>
            </w:r>
          </w:p>
        </w:tc>
        <w:tc>
          <w:tcPr>
            <w:tcW w:w="992" w:type="dxa"/>
            <w:shd w:val="clear" w:color="auto" w:fill="C6EFCE"/>
            <w:noWrap/>
          </w:tcPr>
          <w:p w14:paraId="65016B28" w14:textId="3DF593DA" w:rsidR="000747A7" w:rsidRPr="00DD6A04" w:rsidRDefault="000747A7" w:rsidP="000747A7">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0278C337" w14:textId="1135DF3A" w:rsidR="000747A7" w:rsidRPr="00DD6A04" w:rsidRDefault="000747A7" w:rsidP="000747A7">
            <w:pPr>
              <w:spacing w:before="0" w:after="0" w:line="240" w:lineRule="auto"/>
              <w:rPr>
                <w:rFonts w:eastAsia="Times New Roman"/>
                <w:noProof/>
                <w:color w:val="006100"/>
                <w:sz w:val="22"/>
              </w:rPr>
            </w:pPr>
            <w:r>
              <w:rPr>
                <w:noProof/>
                <w:color w:val="006100"/>
                <w:sz w:val="22"/>
              </w:rPr>
              <w:t>Oddaja naročil za projekte digitalne preobrazbe podjetij</w:t>
            </w:r>
          </w:p>
        </w:tc>
        <w:tc>
          <w:tcPr>
            <w:tcW w:w="1843" w:type="dxa"/>
            <w:shd w:val="clear" w:color="auto" w:fill="C6EFCE"/>
            <w:noWrap/>
          </w:tcPr>
          <w:p w14:paraId="6DE5B4BF" w14:textId="5AC15D0E" w:rsidR="000747A7" w:rsidRPr="00DD6A04" w:rsidRDefault="000747A7" w:rsidP="000747A7">
            <w:pPr>
              <w:spacing w:before="0" w:after="0" w:line="240" w:lineRule="auto"/>
              <w:rPr>
                <w:rFonts w:eastAsia="Times New Roman"/>
                <w:noProof/>
                <w:color w:val="006100"/>
                <w:sz w:val="22"/>
              </w:rPr>
            </w:pPr>
            <w:r>
              <w:rPr>
                <w:noProof/>
                <w:color w:val="006100"/>
                <w:sz w:val="22"/>
              </w:rPr>
              <w:t>Objava rezultatov razpisa</w:t>
            </w:r>
          </w:p>
        </w:tc>
        <w:tc>
          <w:tcPr>
            <w:tcW w:w="1134" w:type="dxa"/>
            <w:shd w:val="clear" w:color="auto" w:fill="C6EFCE"/>
            <w:noWrap/>
          </w:tcPr>
          <w:p w14:paraId="20540431" w14:textId="471BC9A3"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992" w:type="dxa"/>
            <w:shd w:val="clear" w:color="auto" w:fill="C6EFCE"/>
            <w:noWrap/>
          </w:tcPr>
          <w:p w14:paraId="52319F7F" w14:textId="10134D1B"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0" w:type="dxa"/>
            <w:shd w:val="clear" w:color="auto" w:fill="C6EFCE"/>
            <w:noWrap/>
          </w:tcPr>
          <w:p w14:paraId="54C0A0DB" w14:textId="4F81C4F2"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1" w:type="dxa"/>
            <w:shd w:val="clear" w:color="auto" w:fill="C6EFCE"/>
            <w:noWrap/>
          </w:tcPr>
          <w:p w14:paraId="7CE7C39A" w14:textId="406D6456"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6247E72D" w14:textId="3FAF0AB6" w:rsidR="000747A7" w:rsidRPr="00DD6A04" w:rsidRDefault="000747A7" w:rsidP="000747A7">
            <w:pPr>
              <w:spacing w:before="0" w:after="0" w:line="240" w:lineRule="auto"/>
              <w:rPr>
                <w:rFonts w:eastAsia="Times New Roman"/>
                <w:noProof/>
                <w:color w:val="006100"/>
                <w:sz w:val="22"/>
              </w:rPr>
            </w:pPr>
            <w:r>
              <w:rPr>
                <w:noProof/>
                <w:color w:val="006100"/>
                <w:sz w:val="22"/>
              </w:rPr>
              <w:t>2022</w:t>
            </w:r>
          </w:p>
        </w:tc>
        <w:tc>
          <w:tcPr>
            <w:tcW w:w="3150" w:type="dxa"/>
            <w:shd w:val="clear" w:color="auto" w:fill="C6EFCE"/>
            <w:noWrap/>
          </w:tcPr>
          <w:p w14:paraId="393ACF4B" w14:textId="495333D3" w:rsidR="000747A7" w:rsidRPr="00DD6A04" w:rsidRDefault="000747A7" w:rsidP="000747A7">
            <w:pPr>
              <w:spacing w:before="0" w:after="0" w:line="256" w:lineRule="auto"/>
              <w:rPr>
                <w:rFonts w:eastAsia="Times New Roman"/>
                <w:noProof/>
                <w:color w:val="006100"/>
                <w:sz w:val="22"/>
              </w:rPr>
            </w:pPr>
            <w:r>
              <w:rPr>
                <w:noProof/>
                <w:color w:val="006100"/>
                <w:sz w:val="22"/>
              </w:rPr>
              <w:t>Prijavitelji bodo konzorciji ali druge oblike povezovanja podjetij, ki jih sestavljajo vsaj eno veliko podjetje ter več malih in srednjih podjetij.</w:t>
            </w:r>
          </w:p>
          <w:p w14:paraId="202F4EA8" w14:textId="77777777" w:rsidR="000747A7" w:rsidRPr="00DD6A04" w:rsidRDefault="000747A7" w:rsidP="000747A7">
            <w:pPr>
              <w:spacing w:before="0" w:after="0" w:line="256" w:lineRule="auto"/>
              <w:rPr>
                <w:rFonts w:eastAsia="Times New Roman"/>
                <w:noProof/>
                <w:color w:val="006100"/>
                <w:sz w:val="22"/>
                <w:lang w:val="en-GB" w:eastAsia="en-GB"/>
              </w:rPr>
            </w:pPr>
          </w:p>
          <w:p w14:paraId="7B7C897A" w14:textId="17F80EEE" w:rsidR="000747A7" w:rsidRPr="00DD6A04" w:rsidRDefault="002F688D" w:rsidP="000747A7">
            <w:pPr>
              <w:spacing w:before="0" w:after="0" w:line="240" w:lineRule="auto"/>
              <w:rPr>
                <w:rFonts w:eastAsia="Times New Roman"/>
                <w:noProof/>
                <w:color w:val="006100"/>
                <w:sz w:val="22"/>
              </w:rPr>
            </w:pPr>
            <w:r>
              <w:rPr>
                <w:noProof/>
                <w:color w:val="006100"/>
                <w:sz w:val="22"/>
              </w:rPr>
              <w:t>Merila za izbor med drugim vključujejo krepitev digitalnih kompetenc uslužbencev ter uvedbo e-identitete in digitalne poslovne izkaznice.</w:t>
            </w:r>
          </w:p>
        </w:tc>
      </w:tr>
      <w:tr w:rsidR="00BE5DF7" w:rsidRPr="00DD6A04" w14:paraId="655375EA" w14:textId="77777777" w:rsidTr="00A70F67">
        <w:trPr>
          <w:trHeight w:val="309"/>
          <w:jc w:val="center"/>
        </w:trPr>
        <w:tc>
          <w:tcPr>
            <w:tcW w:w="1362" w:type="dxa"/>
            <w:shd w:val="clear" w:color="auto" w:fill="C6EFCE"/>
            <w:noWrap/>
          </w:tcPr>
          <w:p w14:paraId="293B490C" w14:textId="14E0848A" w:rsidR="000747A7" w:rsidRPr="00DD6A04" w:rsidRDefault="000747A7" w:rsidP="000747A7">
            <w:pPr>
              <w:spacing w:before="0" w:after="0" w:line="240" w:lineRule="auto"/>
              <w:rPr>
                <w:rFonts w:eastAsia="Times New Roman"/>
                <w:noProof/>
                <w:color w:val="006100"/>
                <w:sz w:val="22"/>
              </w:rPr>
            </w:pPr>
            <w:r>
              <w:rPr>
                <w:noProof/>
                <w:color w:val="006100"/>
                <w:sz w:val="22"/>
              </w:rPr>
              <w:t>81</w:t>
            </w:r>
          </w:p>
        </w:tc>
        <w:tc>
          <w:tcPr>
            <w:tcW w:w="1819" w:type="dxa"/>
            <w:shd w:val="clear" w:color="auto" w:fill="C6EFCE"/>
            <w:noWrap/>
          </w:tcPr>
          <w:p w14:paraId="626E2D25" w14:textId="044957B6" w:rsidR="000747A7" w:rsidRPr="00DD6A04" w:rsidRDefault="000747A7" w:rsidP="000747A7">
            <w:pPr>
              <w:spacing w:before="0" w:after="0" w:line="240" w:lineRule="auto"/>
              <w:rPr>
                <w:rFonts w:eastAsia="Times New Roman"/>
                <w:noProof/>
                <w:color w:val="006100"/>
                <w:sz w:val="22"/>
              </w:rPr>
            </w:pPr>
            <w:r>
              <w:rPr>
                <w:noProof/>
                <w:color w:val="006100"/>
                <w:sz w:val="22"/>
              </w:rPr>
              <w:t xml:space="preserve">B: Program digitalne transformacije industrije/podjetij </w:t>
            </w:r>
          </w:p>
        </w:tc>
        <w:tc>
          <w:tcPr>
            <w:tcW w:w="992" w:type="dxa"/>
            <w:shd w:val="clear" w:color="auto" w:fill="C6EFCE"/>
            <w:noWrap/>
          </w:tcPr>
          <w:p w14:paraId="37C6D1D6" w14:textId="0CB68FBA" w:rsidR="000747A7" w:rsidRPr="00DD6A04" w:rsidRDefault="000747A7" w:rsidP="000747A7">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616CE013" w14:textId="52B4854C" w:rsidR="000747A7" w:rsidRPr="00DD6A04" w:rsidRDefault="000747A7" w:rsidP="000747A7">
            <w:pPr>
              <w:spacing w:before="0" w:after="0" w:line="240" w:lineRule="auto"/>
              <w:rPr>
                <w:rFonts w:eastAsia="Times New Roman"/>
                <w:noProof/>
                <w:color w:val="006100"/>
                <w:sz w:val="22"/>
              </w:rPr>
            </w:pPr>
            <w:r>
              <w:rPr>
                <w:noProof/>
                <w:color w:val="006100"/>
                <w:sz w:val="22"/>
              </w:rPr>
              <w:t>Konzorciji podjetij z razvito digitalno strategijo</w:t>
            </w:r>
          </w:p>
        </w:tc>
        <w:tc>
          <w:tcPr>
            <w:tcW w:w="1843" w:type="dxa"/>
            <w:shd w:val="clear" w:color="auto" w:fill="C6EFCE"/>
            <w:noWrap/>
          </w:tcPr>
          <w:p w14:paraId="28DD10DF" w14:textId="726A8D52"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1134" w:type="dxa"/>
            <w:shd w:val="clear" w:color="auto" w:fill="C6EFCE"/>
            <w:noWrap/>
          </w:tcPr>
          <w:p w14:paraId="43DCF7EE" w14:textId="7CBC8563" w:rsidR="000747A7" w:rsidRPr="00DD6A04" w:rsidRDefault="000747A7" w:rsidP="000747A7">
            <w:pPr>
              <w:spacing w:before="0" w:after="0" w:line="240" w:lineRule="auto"/>
              <w:rPr>
                <w:rFonts w:eastAsia="Times New Roman"/>
                <w:noProof/>
                <w:color w:val="006100"/>
                <w:sz w:val="22"/>
              </w:rPr>
            </w:pPr>
            <w:r>
              <w:rPr>
                <w:noProof/>
                <w:color w:val="006100"/>
                <w:sz w:val="22"/>
              </w:rPr>
              <w:t>Število</w:t>
            </w:r>
          </w:p>
        </w:tc>
        <w:tc>
          <w:tcPr>
            <w:tcW w:w="992" w:type="dxa"/>
            <w:shd w:val="clear" w:color="auto" w:fill="C6EFCE"/>
            <w:noWrap/>
          </w:tcPr>
          <w:p w14:paraId="0F2032CA" w14:textId="675617E1" w:rsidR="000747A7" w:rsidRPr="00DD6A04" w:rsidRDefault="000747A7" w:rsidP="000747A7">
            <w:pPr>
              <w:spacing w:before="0" w:after="0" w:line="240" w:lineRule="auto"/>
              <w:rPr>
                <w:rFonts w:eastAsia="Times New Roman"/>
                <w:noProof/>
                <w:color w:val="006100"/>
                <w:sz w:val="22"/>
              </w:rPr>
            </w:pPr>
            <w:r>
              <w:rPr>
                <w:noProof/>
                <w:color w:val="006100"/>
                <w:sz w:val="22"/>
              </w:rPr>
              <w:t>0</w:t>
            </w:r>
          </w:p>
        </w:tc>
        <w:tc>
          <w:tcPr>
            <w:tcW w:w="850" w:type="dxa"/>
            <w:shd w:val="clear" w:color="auto" w:fill="C6EFCE"/>
            <w:noWrap/>
          </w:tcPr>
          <w:p w14:paraId="6149343D" w14:textId="6CDF08BF" w:rsidR="000747A7" w:rsidRPr="00DD6A04" w:rsidRDefault="000747A7" w:rsidP="000747A7">
            <w:pPr>
              <w:spacing w:before="0" w:after="0" w:line="240" w:lineRule="auto"/>
              <w:rPr>
                <w:rFonts w:eastAsia="Times New Roman"/>
                <w:noProof/>
                <w:color w:val="006100"/>
                <w:sz w:val="22"/>
              </w:rPr>
            </w:pPr>
            <w:r>
              <w:rPr>
                <w:noProof/>
                <w:color w:val="006100"/>
                <w:sz w:val="22"/>
              </w:rPr>
              <w:t>20</w:t>
            </w:r>
          </w:p>
        </w:tc>
        <w:tc>
          <w:tcPr>
            <w:tcW w:w="851" w:type="dxa"/>
            <w:shd w:val="clear" w:color="auto" w:fill="C6EFCE"/>
            <w:noWrap/>
          </w:tcPr>
          <w:p w14:paraId="50660597" w14:textId="435F8AD0"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74F14E3D" w14:textId="435D181E" w:rsidR="000747A7" w:rsidRPr="00DD6A04" w:rsidRDefault="000747A7" w:rsidP="000747A7">
            <w:pPr>
              <w:spacing w:before="0" w:after="0" w:line="240" w:lineRule="auto"/>
              <w:rPr>
                <w:rFonts w:eastAsia="Times New Roman"/>
                <w:noProof/>
                <w:color w:val="006100"/>
                <w:sz w:val="22"/>
              </w:rPr>
            </w:pPr>
            <w:r>
              <w:rPr>
                <w:noProof/>
                <w:color w:val="006100"/>
                <w:sz w:val="22"/>
              </w:rPr>
              <w:t>2022</w:t>
            </w:r>
          </w:p>
        </w:tc>
        <w:tc>
          <w:tcPr>
            <w:tcW w:w="3150" w:type="dxa"/>
            <w:shd w:val="clear" w:color="auto" w:fill="C6EFCE"/>
            <w:noWrap/>
          </w:tcPr>
          <w:p w14:paraId="65730678" w14:textId="77777777" w:rsidR="000747A7" w:rsidRPr="00DD6A04" w:rsidRDefault="000747A7" w:rsidP="000747A7">
            <w:pPr>
              <w:spacing w:before="0" w:after="0" w:line="256" w:lineRule="auto"/>
              <w:rPr>
                <w:rFonts w:eastAsia="Times New Roman"/>
                <w:noProof/>
                <w:color w:val="006100"/>
                <w:sz w:val="22"/>
              </w:rPr>
            </w:pPr>
            <w:r>
              <w:rPr>
                <w:noProof/>
                <w:color w:val="006100"/>
                <w:sz w:val="22"/>
              </w:rPr>
              <w:t>Konzorciji, ki jim bodo oddana naročila v okviru mejnika 80, bodo razvijala prilagojene digitalne strategije za preobrazbo poslovanja, tehnologije, organizacije in kulture. To bo med drugim vključevalo oceno digitalne pripravljenosti, opredelitev zadevnih področij za digitalizacijo, ustrezne podatke in vire, povezovanje podatkov in učne potrebe.</w:t>
            </w:r>
          </w:p>
          <w:p w14:paraId="685378F0" w14:textId="77777777" w:rsidR="000747A7" w:rsidRPr="00DD6A04" w:rsidRDefault="000747A7" w:rsidP="000747A7">
            <w:pPr>
              <w:spacing w:before="0" w:after="0" w:line="240" w:lineRule="auto"/>
              <w:rPr>
                <w:rFonts w:eastAsia="Times New Roman"/>
                <w:noProof/>
                <w:color w:val="006100"/>
                <w:sz w:val="22"/>
                <w:lang w:val="en-GB" w:eastAsia="en-GB"/>
              </w:rPr>
            </w:pPr>
          </w:p>
        </w:tc>
      </w:tr>
      <w:tr w:rsidR="00BE5DF7" w:rsidRPr="00DD6A04" w14:paraId="47883CDF" w14:textId="77777777" w:rsidTr="00A70F67">
        <w:trPr>
          <w:trHeight w:val="309"/>
          <w:jc w:val="center"/>
        </w:trPr>
        <w:tc>
          <w:tcPr>
            <w:tcW w:w="1362" w:type="dxa"/>
            <w:shd w:val="clear" w:color="auto" w:fill="C6EFCE"/>
            <w:noWrap/>
          </w:tcPr>
          <w:p w14:paraId="4632C8AD" w14:textId="08CC260E" w:rsidR="000747A7" w:rsidRPr="00DD6A04" w:rsidRDefault="000747A7" w:rsidP="000747A7">
            <w:pPr>
              <w:spacing w:before="0" w:after="0" w:line="240" w:lineRule="auto"/>
              <w:rPr>
                <w:rFonts w:eastAsia="Times New Roman"/>
                <w:noProof/>
                <w:color w:val="006100"/>
                <w:sz w:val="22"/>
              </w:rPr>
            </w:pPr>
            <w:r>
              <w:rPr>
                <w:noProof/>
                <w:color w:val="006100"/>
                <w:sz w:val="22"/>
              </w:rPr>
              <w:t>82</w:t>
            </w:r>
          </w:p>
        </w:tc>
        <w:tc>
          <w:tcPr>
            <w:tcW w:w="1819" w:type="dxa"/>
            <w:shd w:val="clear" w:color="auto" w:fill="C6EFCE"/>
            <w:noWrap/>
          </w:tcPr>
          <w:p w14:paraId="25496E64" w14:textId="1ADC8F40" w:rsidR="000747A7" w:rsidRPr="00DD6A04" w:rsidRDefault="000747A7" w:rsidP="000747A7">
            <w:pPr>
              <w:spacing w:before="0" w:after="0" w:line="240" w:lineRule="auto"/>
              <w:rPr>
                <w:rFonts w:eastAsia="Times New Roman"/>
                <w:noProof/>
                <w:color w:val="006100"/>
                <w:sz w:val="22"/>
              </w:rPr>
            </w:pPr>
            <w:r>
              <w:rPr>
                <w:noProof/>
                <w:color w:val="006100"/>
                <w:sz w:val="22"/>
              </w:rPr>
              <w:t xml:space="preserve">B: Program digitalne transformacije industrije/podjetij </w:t>
            </w:r>
          </w:p>
        </w:tc>
        <w:tc>
          <w:tcPr>
            <w:tcW w:w="992" w:type="dxa"/>
            <w:shd w:val="clear" w:color="auto" w:fill="C6EFCE"/>
            <w:noWrap/>
          </w:tcPr>
          <w:p w14:paraId="0D1CA821" w14:textId="1A704B84" w:rsidR="000747A7" w:rsidRPr="00DD6A04" w:rsidRDefault="000747A7" w:rsidP="000747A7">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1F6ABD80" w14:textId="610DC272" w:rsidR="000747A7" w:rsidRPr="00DD6A04" w:rsidRDefault="000747A7" w:rsidP="000747A7">
            <w:pPr>
              <w:spacing w:before="0" w:after="0" w:line="240" w:lineRule="auto"/>
              <w:rPr>
                <w:rFonts w:eastAsia="Times New Roman"/>
                <w:noProof/>
                <w:color w:val="006100"/>
                <w:sz w:val="22"/>
              </w:rPr>
            </w:pPr>
            <w:r>
              <w:rPr>
                <w:noProof/>
                <w:color w:val="006100"/>
                <w:sz w:val="22"/>
              </w:rPr>
              <w:t>Konzorciji, podprti z dokončano celovito digitalno preobrazbo</w:t>
            </w:r>
          </w:p>
        </w:tc>
        <w:tc>
          <w:tcPr>
            <w:tcW w:w="1843" w:type="dxa"/>
            <w:shd w:val="clear" w:color="auto" w:fill="C6EFCE"/>
            <w:noWrap/>
          </w:tcPr>
          <w:p w14:paraId="5CF4A43A" w14:textId="67E971CB"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1134" w:type="dxa"/>
            <w:shd w:val="clear" w:color="auto" w:fill="C6EFCE"/>
            <w:noWrap/>
          </w:tcPr>
          <w:p w14:paraId="304D1EE9" w14:textId="01BF658C" w:rsidR="000747A7" w:rsidRPr="00DD6A04" w:rsidRDefault="000747A7" w:rsidP="000747A7">
            <w:pPr>
              <w:spacing w:before="0" w:after="0" w:line="240" w:lineRule="auto"/>
              <w:rPr>
                <w:rFonts w:eastAsia="Times New Roman"/>
                <w:noProof/>
                <w:color w:val="006100"/>
                <w:sz w:val="22"/>
              </w:rPr>
            </w:pPr>
            <w:r>
              <w:rPr>
                <w:noProof/>
                <w:color w:val="006100"/>
                <w:sz w:val="22"/>
              </w:rPr>
              <w:t>Število</w:t>
            </w:r>
          </w:p>
        </w:tc>
        <w:tc>
          <w:tcPr>
            <w:tcW w:w="992" w:type="dxa"/>
            <w:shd w:val="clear" w:color="auto" w:fill="C6EFCE"/>
            <w:noWrap/>
          </w:tcPr>
          <w:p w14:paraId="19A7A252" w14:textId="26A75572" w:rsidR="000747A7" w:rsidRPr="00DD6A04" w:rsidRDefault="000747A7" w:rsidP="000747A7">
            <w:pPr>
              <w:spacing w:before="0" w:after="0" w:line="240" w:lineRule="auto"/>
              <w:rPr>
                <w:rFonts w:eastAsia="Times New Roman"/>
                <w:noProof/>
                <w:color w:val="006100"/>
                <w:sz w:val="22"/>
              </w:rPr>
            </w:pPr>
            <w:r>
              <w:rPr>
                <w:noProof/>
                <w:color w:val="006100"/>
                <w:sz w:val="22"/>
              </w:rPr>
              <w:t>0</w:t>
            </w:r>
          </w:p>
        </w:tc>
        <w:tc>
          <w:tcPr>
            <w:tcW w:w="850" w:type="dxa"/>
            <w:shd w:val="clear" w:color="auto" w:fill="C6EFCE"/>
            <w:noWrap/>
          </w:tcPr>
          <w:p w14:paraId="4F0AD6D1" w14:textId="7C85C8FC" w:rsidR="000747A7" w:rsidRPr="00DD6A04" w:rsidRDefault="000747A7" w:rsidP="000747A7">
            <w:pPr>
              <w:spacing w:before="0" w:after="0" w:line="240" w:lineRule="auto"/>
              <w:rPr>
                <w:rFonts w:eastAsia="Times New Roman"/>
                <w:noProof/>
                <w:color w:val="006100"/>
                <w:sz w:val="22"/>
              </w:rPr>
            </w:pPr>
            <w:r>
              <w:rPr>
                <w:noProof/>
                <w:color w:val="006100"/>
                <w:sz w:val="22"/>
              </w:rPr>
              <w:t>20</w:t>
            </w:r>
          </w:p>
        </w:tc>
        <w:tc>
          <w:tcPr>
            <w:tcW w:w="851" w:type="dxa"/>
            <w:shd w:val="clear" w:color="auto" w:fill="C6EFCE"/>
            <w:noWrap/>
          </w:tcPr>
          <w:p w14:paraId="6DDFDE26" w14:textId="337C62D5"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405A49EC" w14:textId="22617BCE" w:rsidR="000747A7" w:rsidRPr="00DD6A04" w:rsidRDefault="000747A7" w:rsidP="000747A7">
            <w:pPr>
              <w:spacing w:before="0" w:after="0" w:line="240" w:lineRule="auto"/>
              <w:rPr>
                <w:rFonts w:eastAsia="Times New Roman"/>
                <w:noProof/>
                <w:color w:val="006100"/>
                <w:sz w:val="22"/>
              </w:rPr>
            </w:pPr>
            <w:r>
              <w:rPr>
                <w:noProof/>
                <w:color w:val="006100"/>
                <w:sz w:val="22"/>
              </w:rPr>
              <w:t>2024</w:t>
            </w:r>
          </w:p>
        </w:tc>
        <w:tc>
          <w:tcPr>
            <w:tcW w:w="3150" w:type="dxa"/>
            <w:shd w:val="clear" w:color="auto" w:fill="C6EFCE"/>
            <w:noWrap/>
          </w:tcPr>
          <w:p w14:paraId="3BA67BC2" w14:textId="77777777" w:rsidR="000747A7" w:rsidRPr="00DD6A04" w:rsidRDefault="000747A7" w:rsidP="000747A7">
            <w:pPr>
              <w:spacing w:before="0" w:after="0" w:line="256" w:lineRule="auto"/>
              <w:rPr>
                <w:rFonts w:eastAsia="Times New Roman"/>
                <w:noProof/>
                <w:color w:val="006100"/>
                <w:sz w:val="22"/>
              </w:rPr>
            </w:pPr>
            <w:r>
              <w:rPr>
                <w:noProof/>
                <w:color w:val="006100"/>
                <w:sz w:val="22"/>
              </w:rPr>
              <w:t xml:space="preserve">Projekti, dokončani v skladu z digitalnimi strategijami, razvitimi v okviru mejnika 81. </w:t>
            </w:r>
          </w:p>
          <w:p w14:paraId="7CE6A581" w14:textId="77777777" w:rsidR="000747A7" w:rsidRPr="00DD6A04" w:rsidRDefault="000747A7" w:rsidP="000747A7">
            <w:pPr>
              <w:spacing w:before="0" w:after="0" w:line="256" w:lineRule="auto"/>
              <w:rPr>
                <w:rFonts w:eastAsia="Times New Roman"/>
                <w:noProof/>
                <w:color w:val="006100"/>
                <w:sz w:val="22"/>
                <w:lang w:val="en-GB" w:eastAsia="en-GB"/>
              </w:rPr>
            </w:pPr>
          </w:p>
          <w:p w14:paraId="62D2AEC9" w14:textId="10D76249" w:rsidR="000747A7" w:rsidRPr="00DD6A04" w:rsidRDefault="000747A7" w:rsidP="000747A7">
            <w:pPr>
              <w:spacing w:before="0" w:after="0" w:line="240" w:lineRule="auto"/>
              <w:rPr>
                <w:rFonts w:eastAsia="Times New Roman"/>
                <w:noProof/>
                <w:color w:val="006100"/>
                <w:sz w:val="22"/>
              </w:rPr>
            </w:pPr>
            <w:r>
              <w:rPr>
                <w:noProof/>
                <w:color w:val="006100"/>
              </w:rPr>
              <w:t>Skupni znesek financiranja bo najmanj 43 808 855 EUR, od katerih bo najmanj 10 000 000 EUR namenjenih malim in srednjim podjetjem.</w:t>
            </w:r>
          </w:p>
        </w:tc>
      </w:tr>
      <w:tr w:rsidR="00BE5DF7" w:rsidRPr="00DD6A04" w14:paraId="03F666CA" w14:textId="77777777" w:rsidTr="00A70F67">
        <w:trPr>
          <w:trHeight w:val="309"/>
          <w:jc w:val="center"/>
        </w:trPr>
        <w:tc>
          <w:tcPr>
            <w:tcW w:w="1362" w:type="dxa"/>
            <w:shd w:val="clear" w:color="auto" w:fill="C6EFCE"/>
            <w:noWrap/>
          </w:tcPr>
          <w:p w14:paraId="55B9A4BA" w14:textId="6DB5F0CA" w:rsidR="000747A7" w:rsidRPr="00DD6A04" w:rsidRDefault="000747A7" w:rsidP="000747A7">
            <w:pPr>
              <w:spacing w:before="0" w:after="0" w:line="240" w:lineRule="auto"/>
              <w:rPr>
                <w:rFonts w:eastAsia="Times New Roman"/>
                <w:noProof/>
                <w:color w:val="006100"/>
                <w:sz w:val="22"/>
              </w:rPr>
            </w:pPr>
            <w:r>
              <w:rPr>
                <w:noProof/>
                <w:color w:val="006100"/>
                <w:sz w:val="22"/>
              </w:rPr>
              <w:t>83</w:t>
            </w:r>
          </w:p>
        </w:tc>
        <w:tc>
          <w:tcPr>
            <w:tcW w:w="1819" w:type="dxa"/>
            <w:shd w:val="clear" w:color="auto" w:fill="C6EFCE"/>
            <w:noWrap/>
          </w:tcPr>
          <w:p w14:paraId="4DF16430" w14:textId="77E366AC" w:rsidR="000747A7" w:rsidRPr="00DD6A04" w:rsidRDefault="000747A7" w:rsidP="000747A7">
            <w:pPr>
              <w:spacing w:before="0" w:after="0" w:line="240" w:lineRule="auto"/>
              <w:rPr>
                <w:rFonts w:eastAsia="Times New Roman"/>
                <w:noProof/>
                <w:color w:val="006100"/>
                <w:sz w:val="22"/>
              </w:rPr>
            </w:pPr>
            <w:r>
              <w:rPr>
                <w:noProof/>
                <w:color w:val="006100"/>
                <w:sz w:val="22"/>
              </w:rPr>
              <w:t>D: Čezmejni in večdržavni projekti – Skupna evropska infrastruktura podatkov in storitve</w:t>
            </w:r>
          </w:p>
        </w:tc>
        <w:tc>
          <w:tcPr>
            <w:tcW w:w="992" w:type="dxa"/>
            <w:shd w:val="clear" w:color="auto" w:fill="C6EFCE"/>
            <w:noWrap/>
          </w:tcPr>
          <w:p w14:paraId="409D5F80" w14:textId="69E6D549" w:rsidR="000747A7" w:rsidRPr="00DD6A04" w:rsidRDefault="000747A7" w:rsidP="000747A7">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70659813" w14:textId="579134A6" w:rsidR="000747A7" w:rsidRPr="00DD6A04" w:rsidRDefault="000747A7" w:rsidP="000747A7">
            <w:pPr>
              <w:spacing w:before="0" w:after="0" w:line="240" w:lineRule="auto"/>
              <w:rPr>
                <w:rFonts w:eastAsia="Times New Roman"/>
                <w:noProof/>
                <w:color w:val="006100"/>
                <w:sz w:val="22"/>
              </w:rPr>
            </w:pPr>
            <w:r>
              <w:rPr>
                <w:noProof/>
                <w:color w:val="006100"/>
                <w:sz w:val="22"/>
              </w:rPr>
              <w:t>Objava javnega razpisa za prijavo interesa za nov projekt v zvezi z oblakom naslednje generacije</w:t>
            </w:r>
          </w:p>
        </w:tc>
        <w:tc>
          <w:tcPr>
            <w:tcW w:w="1843" w:type="dxa"/>
            <w:shd w:val="clear" w:color="auto" w:fill="C6EFCE"/>
            <w:noWrap/>
          </w:tcPr>
          <w:p w14:paraId="0488044C" w14:textId="789DAA0E" w:rsidR="000747A7" w:rsidRPr="00DD6A04" w:rsidRDefault="000747A7" w:rsidP="000747A7">
            <w:pPr>
              <w:spacing w:before="0" w:after="0" w:line="240" w:lineRule="auto"/>
              <w:rPr>
                <w:rFonts w:eastAsia="Times New Roman"/>
                <w:noProof/>
                <w:color w:val="006100"/>
                <w:sz w:val="22"/>
              </w:rPr>
            </w:pPr>
            <w:r>
              <w:rPr>
                <w:noProof/>
                <w:color w:val="006100"/>
                <w:sz w:val="22"/>
              </w:rPr>
              <w:t>Objava javnega razpisa za prijavo interesa</w:t>
            </w:r>
          </w:p>
        </w:tc>
        <w:tc>
          <w:tcPr>
            <w:tcW w:w="1134" w:type="dxa"/>
            <w:shd w:val="clear" w:color="auto" w:fill="C6EFCE"/>
            <w:noWrap/>
          </w:tcPr>
          <w:p w14:paraId="71198098" w14:textId="5391CE8D"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992" w:type="dxa"/>
            <w:shd w:val="clear" w:color="auto" w:fill="C6EFCE"/>
            <w:noWrap/>
          </w:tcPr>
          <w:p w14:paraId="7A672EC4" w14:textId="1BADCD9E"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0" w:type="dxa"/>
            <w:shd w:val="clear" w:color="auto" w:fill="C6EFCE"/>
            <w:noWrap/>
          </w:tcPr>
          <w:p w14:paraId="637A169A" w14:textId="75B5EA6E"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1" w:type="dxa"/>
            <w:shd w:val="clear" w:color="auto" w:fill="C6EFCE"/>
            <w:noWrap/>
          </w:tcPr>
          <w:p w14:paraId="5DC20675" w14:textId="5EEF7B77"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777EA1A6" w14:textId="246067AA" w:rsidR="000747A7" w:rsidRPr="00DD6A04" w:rsidRDefault="000747A7" w:rsidP="000747A7">
            <w:pPr>
              <w:spacing w:before="0" w:after="0" w:line="240" w:lineRule="auto"/>
              <w:rPr>
                <w:rFonts w:eastAsia="Times New Roman"/>
                <w:noProof/>
                <w:color w:val="006100"/>
                <w:sz w:val="22"/>
              </w:rPr>
            </w:pPr>
            <w:r>
              <w:rPr>
                <w:noProof/>
                <w:color w:val="006100"/>
                <w:sz w:val="22"/>
              </w:rPr>
              <w:t>2021</w:t>
            </w:r>
          </w:p>
        </w:tc>
        <w:tc>
          <w:tcPr>
            <w:tcW w:w="3150" w:type="dxa"/>
            <w:shd w:val="clear" w:color="auto" w:fill="C6EFCE"/>
            <w:noWrap/>
          </w:tcPr>
          <w:p w14:paraId="500C53C4" w14:textId="217599A9" w:rsidR="000747A7" w:rsidRPr="00DD6A04" w:rsidRDefault="000747A7" w:rsidP="000747A7">
            <w:pPr>
              <w:spacing w:before="0" w:after="0" w:line="240" w:lineRule="auto"/>
              <w:rPr>
                <w:rFonts w:eastAsia="Times New Roman"/>
                <w:noProof/>
                <w:color w:val="006100"/>
                <w:sz w:val="22"/>
              </w:rPr>
            </w:pPr>
            <w:r>
              <w:rPr>
                <w:noProof/>
                <w:color w:val="006100"/>
                <w:sz w:val="22"/>
              </w:rPr>
              <w:t>Javni razpis za prijavo interesa podjetij za sodelovanje v večdržavnem projektu skupne evropske infrastrukture podatkov in storitev, ki se bo predvidoma izvajal v obliki pomembnega projekta skupnega evropskega interesa (IPCEI) v zvezi z infrastrukturo in storitvami v oblaku naslednje generacije.</w:t>
            </w:r>
          </w:p>
        </w:tc>
      </w:tr>
      <w:tr w:rsidR="00BE5DF7" w:rsidRPr="00DD6A04" w14:paraId="6AC26B95" w14:textId="77777777" w:rsidTr="00A70F67">
        <w:trPr>
          <w:trHeight w:val="309"/>
          <w:jc w:val="center"/>
        </w:trPr>
        <w:tc>
          <w:tcPr>
            <w:tcW w:w="1362" w:type="dxa"/>
            <w:shd w:val="clear" w:color="auto" w:fill="C6EFCE"/>
            <w:noWrap/>
          </w:tcPr>
          <w:p w14:paraId="57BA9E9D" w14:textId="3794A503" w:rsidR="000747A7" w:rsidRPr="00DD6A04" w:rsidRDefault="000747A7" w:rsidP="000747A7">
            <w:pPr>
              <w:spacing w:before="0" w:after="0" w:line="240" w:lineRule="auto"/>
              <w:rPr>
                <w:rFonts w:eastAsia="Times New Roman"/>
                <w:noProof/>
                <w:color w:val="006100"/>
                <w:sz w:val="22"/>
              </w:rPr>
            </w:pPr>
            <w:r>
              <w:rPr>
                <w:noProof/>
                <w:color w:val="006100"/>
                <w:sz w:val="22"/>
              </w:rPr>
              <w:t>84</w:t>
            </w:r>
          </w:p>
        </w:tc>
        <w:tc>
          <w:tcPr>
            <w:tcW w:w="1819" w:type="dxa"/>
            <w:shd w:val="clear" w:color="auto" w:fill="C6EFCE"/>
            <w:noWrap/>
          </w:tcPr>
          <w:p w14:paraId="2D63E286" w14:textId="5C8B3BE8" w:rsidR="000747A7" w:rsidRPr="00DD6A04" w:rsidRDefault="000747A7" w:rsidP="000747A7">
            <w:pPr>
              <w:spacing w:before="0" w:after="0" w:line="240" w:lineRule="auto"/>
              <w:rPr>
                <w:rFonts w:eastAsia="Times New Roman"/>
                <w:noProof/>
                <w:color w:val="006100"/>
                <w:sz w:val="22"/>
              </w:rPr>
            </w:pPr>
            <w:r>
              <w:rPr>
                <w:noProof/>
                <w:color w:val="006100"/>
                <w:sz w:val="22"/>
              </w:rPr>
              <w:t>D: Čezmejni in večdržavni projekti – Skupna evropska infrastruktura podatkov in storitve</w:t>
            </w:r>
          </w:p>
        </w:tc>
        <w:tc>
          <w:tcPr>
            <w:tcW w:w="992" w:type="dxa"/>
            <w:shd w:val="clear" w:color="auto" w:fill="C6EFCE"/>
            <w:noWrap/>
          </w:tcPr>
          <w:p w14:paraId="6BF60153" w14:textId="6486089F" w:rsidR="000747A7" w:rsidRPr="00DD6A04" w:rsidRDefault="000747A7" w:rsidP="000747A7">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579DB467" w14:textId="0505B7B2" w:rsidR="000747A7" w:rsidRPr="00DD6A04" w:rsidRDefault="000747A7" w:rsidP="000747A7">
            <w:pPr>
              <w:spacing w:before="0" w:after="0" w:line="240" w:lineRule="auto"/>
              <w:rPr>
                <w:rFonts w:eastAsia="Times New Roman"/>
                <w:noProof/>
                <w:color w:val="006100"/>
                <w:sz w:val="22"/>
              </w:rPr>
            </w:pPr>
            <w:r>
              <w:rPr>
                <w:noProof/>
                <w:color w:val="006100"/>
                <w:sz w:val="22"/>
              </w:rPr>
              <w:t>Rešitve za obdelavo podatkov, razvite in integrirane v pilotni fazi</w:t>
            </w:r>
          </w:p>
        </w:tc>
        <w:tc>
          <w:tcPr>
            <w:tcW w:w="1843" w:type="dxa"/>
            <w:shd w:val="clear" w:color="auto" w:fill="C6EFCE"/>
            <w:noWrap/>
          </w:tcPr>
          <w:p w14:paraId="581EB8F2" w14:textId="4764EBC6"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1134" w:type="dxa"/>
            <w:shd w:val="clear" w:color="auto" w:fill="C6EFCE"/>
            <w:noWrap/>
          </w:tcPr>
          <w:p w14:paraId="2DA9FA7A" w14:textId="05B5E90B" w:rsidR="000747A7" w:rsidRPr="00DD6A04" w:rsidRDefault="000747A7" w:rsidP="000747A7">
            <w:pPr>
              <w:spacing w:before="0" w:after="0" w:line="240" w:lineRule="auto"/>
              <w:rPr>
                <w:rFonts w:eastAsia="Times New Roman"/>
                <w:noProof/>
                <w:color w:val="006100"/>
                <w:sz w:val="22"/>
              </w:rPr>
            </w:pPr>
            <w:r>
              <w:rPr>
                <w:noProof/>
                <w:color w:val="006100"/>
                <w:sz w:val="22"/>
              </w:rPr>
              <w:t>Število</w:t>
            </w:r>
          </w:p>
        </w:tc>
        <w:tc>
          <w:tcPr>
            <w:tcW w:w="992" w:type="dxa"/>
            <w:shd w:val="clear" w:color="auto" w:fill="C6EFCE"/>
            <w:noWrap/>
          </w:tcPr>
          <w:p w14:paraId="6CFAD6A3" w14:textId="2EBA03DE" w:rsidR="000747A7" w:rsidRPr="00DD6A04" w:rsidRDefault="000747A7" w:rsidP="000747A7">
            <w:pPr>
              <w:spacing w:before="0" w:after="0" w:line="240" w:lineRule="auto"/>
              <w:rPr>
                <w:rFonts w:eastAsia="Times New Roman"/>
                <w:noProof/>
                <w:color w:val="006100"/>
                <w:sz w:val="22"/>
              </w:rPr>
            </w:pPr>
            <w:r>
              <w:rPr>
                <w:noProof/>
                <w:color w:val="006100"/>
                <w:sz w:val="22"/>
              </w:rPr>
              <w:t>0</w:t>
            </w:r>
          </w:p>
        </w:tc>
        <w:tc>
          <w:tcPr>
            <w:tcW w:w="850" w:type="dxa"/>
            <w:shd w:val="clear" w:color="auto" w:fill="C6EFCE"/>
            <w:noWrap/>
          </w:tcPr>
          <w:p w14:paraId="6E090D85" w14:textId="31333052" w:rsidR="000747A7" w:rsidRPr="00DD6A04" w:rsidRDefault="000747A7" w:rsidP="000747A7">
            <w:pPr>
              <w:spacing w:before="0" w:after="0" w:line="240" w:lineRule="auto"/>
              <w:rPr>
                <w:rFonts w:eastAsia="Times New Roman"/>
                <w:noProof/>
                <w:color w:val="006100"/>
                <w:sz w:val="22"/>
              </w:rPr>
            </w:pPr>
            <w:r>
              <w:rPr>
                <w:noProof/>
                <w:color w:val="006100"/>
                <w:sz w:val="22"/>
              </w:rPr>
              <w:t>7</w:t>
            </w:r>
          </w:p>
        </w:tc>
        <w:tc>
          <w:tcPr>
            <w:tcW w:w="851" w:type="dxa"/>
            <w:shd w:val="clear" w:color="auto" w:fill="C6EFCE"/>
            <w:noWrap/>
          </w:tcPr>
          <w:p w14:paraId="6C588D24" w14:textId="13D17702"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1C2B9897" w14:textId="31E232D5" w:rsidR="000747A7" w:rsidRPr="00DD6A04" w:rsidRDefault="000747A7" w:rsidP="000747A7">
            <w:pPr>
              <w:spacing w:before="0" w:after="0" w:line="240" w:lineRule="auto"/>
              <w:rPr>
                <w:rFonts w:eastAsia="Times New Roman"/>
                <w:noProof/>
                <w:color w:val="006100"/>
                <w:sz w:val="22"/>
              </w:rPr>
            </w:pPr>
            <w:r>
              <w:rPr>
                <w:noProof/>
                <w:color w:val="006100"/>
                <w:sz w:val="22"/>
              </w:rPr>
              <w:t>2026</w:t>
            </w:r>
          </w:p>
        </w:tc>
        <w:tc>
          <w:tcPr>
            <w:tcW w:w="3150" w:type="dxa"/>
            <w:shd w:val="clear" w:color="auto" w:fill="C6EFCE"/>
            <w:noWrap/>
          </w:tcPr>
          <w:p w14:paraId="4F898BBB" w14:textId="19723D30" w:rsidR="000747A7" w:rsidRPr="00DD6A04" w:rsidRDefault="000747A7" w:rsidP="000747A7">
            <w:pPr>
              <w:spacing w:before="0" w:after="0" w:line="240" w:lineRule="auto"/>
              <w:rPr>
                <w:rFonts w:eastAsia="Times New Roman"/>
                <w:noProof/>
                <w:color w:val="006100"/>
                <w:sz w:val="22"/>
              </w:rPr>
            </w:pPr>
            <w:r>
              <w:rPr>
                <w:noProof/>
                <w:color w:val="006100"/>
                <w:sz w:val="22"/>
              </w:rPr>
              <w:t>Celoviti projekti v okviru mejnika 83 bodo prispevali k razvoju in začetni uvedbi naslednje generacije inovativnih rešitev v oblaku in na robu, s tem pa posledično k izgradnji skupne evropske infrastrukture podatkov in z njo povezanih inovativnih storitev pametne obdelave podatkov.</w:t>
            </w:r>
          </w:p>
        </w:tc>
      </w:tr>
      <w:tr w:rsidR="00BE5DF7" w:rsidRPr="00DD6A04" w14:paraId="4F288096" w14:textId="77777777" w:rsidTr="00A70F67">
        <w:trPr>
          <w:trHeight w:val="309"/>
          <w:jc w:val="center"/>
        </w:trPr>
        <w:tc>
          <w:tcPr>
            <w:tcW w:w="1362" w:type="dxa"/>
            <w:shd w:val="clear" w:color="auto" w:fill="C6EFCE"/>
            <w:noWrap/>
          </w:tcPr>
          <w:p w14:paraId="68B1F6E3" w14:textId="4EA206CB" w:rsidR="000747A7" w:rsidRPr="00DD6A04" w:rsidRDefault="000747A7" w:rsidP="000747A7">
            <w:pPr>
              <w:spacing w:before="0" w:after="0" w:line="240" w:lineRule="auto"/>
              <w:rPr>
                <w:rFonts w:eastAsia="Times New Roman"/>
                <w:noProof/>
                <w:color w:val="006100"/>
                <w:sz w:val="22"/>
              </w:rPr>
            </w:pPr>
            <w:r>
              <w:rPr>
                <w:noProof/>
                <w:color w:val="006100"/>
                <w:sz w:val="22"/>
              </w:rPr>
              <w:t>85</w:t>
            </w:r>
          </w:p>
        </w:tc>
        <w:tc>
          <w:tcPr>
            <w:tcW w:w="1819" w:type="dxa"/>
            <w:shd w:val="clear" w:color="auto" w:fill="C6EFCE"/>
            <w:noWrap/>
          </w:tcPr>
          <w:p w14:paraId="0E5951BD" w14:textId="38EB87F7" w:rsidR="000747A7" w:rsidRPr="00DD6A04" w:rsidRDefault="000747A7" w:rsidP="000747A7">
            <w:pPr>
              <w:spacing w:before="0" w:after="0" w:line="240" w:lineRule="auto"/>
              <w:rPr>
                <w:rFonts w:eastAsia="Times New Roman"/>
                <w:noProof/>
                <w:color w:val="006100"/>
                <w:sz w:val="22"/>
              </w:rPr>
            </w:pPr>
            <w:r>
              <w:rPr>
                <w:noProof/>
                <w:color w:val="006100"/>
                <w:sz w:val="22"/>
              </w:rPr>
              <w:t>E: Čezmejni in večdržavni projekti – Nizkoporabni procesorji in polprevodniški čipi</w:t>
            </w:r>
          </w:p>
        </w:tc>
        <w:tc>
          <w:tcPr>
            <w:tcW w:w="992" w:type="dxa"/>
            <w:shd w:val="clear" w:color="auto" w:fill="C6EFCE"/>
            <w:noWrap/>
          </w:tcPr>
          <w:p w14:paraId="13A16906" w14:textId="3ECBEFFD" w:rsidR="000747A7" w:rsidRPr="00DD6A04" w:rsidRDefault="000747A7" w:rsidP="000747A7">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3246C8D9" w14:textId="30C28DE9" w:rsidR="000747A7" w:rsidRPr="00DD6A04" w:rsidRDefault="000747A7" w:rsidP="000747A7">
            <w:pPr>
              <w:spacing w:before="0" w:after="0" w:line="240" w:lineRule="auto"/>
              <w:rPr>
                <w:rFonts w:eastAsia="Times New Roman"/>
                <w:noProof/>
                <w:color w:val="006100"/>
                <w:sz w:val="22"/>
              </w:rPr>
            </w:pPr>
            <w:r>
              <w:rPr>
                <w:noProof/>
                <w:color w:val="006100"/>
                <w:sz w:val="22"/>
              </w:rPr>
              <w:t>Dokončanje seznama potencialnih udeležencev skupnega projekta</w:t>
            </w:r>
          </w:p>
        </w:tc>
        <w:tc>
          <w:tcPr>
            <w:tcW w:w="1843" w:type="dxa"/>
            <w:shd w:val="clear" w:color="auto" w:fill="C6EFCE"/>
            <w:noWrap/>
          </w:tcPr>
          <w:p w14:paraId="6093F31D" w14:textId="32CAE4AF" w:rsidR="000747A7" w:rsidRPr="00DD6A04" w:rsidRDefault="000747A7" w:rsidP="000747A7">
            <w:pPr>
              <w:spacing w:before="0" w:after="0" w:line="240" w:lineRule="auto"/>
              <w:rPr>
                <w:rFonts w:eastAsia="Times New Roman"/>
                <w:noProof/>
                <w:color w:val="006100"/>
                <w:sz w:val="22"/>
              </w:rPr>
            </w:pPr>
            <w:r>
              <w:rPr>
                <w:noProof/>
                <w:color w:val="006100"/>
                <w:sz w:val="22"/>
              </w:rPr>
              <w:t>Dokončanje seznama</w:t>
            </w:r>
          </w:p>
        </w:tc>
        <w:tc>
          <w:tcPr>
            <w:tcW w:w="1134" w:type="dxa"/>
            <w:shd w:val="clear" w:color="auto" w:fill="C6EFCE"/>
            <w:noWrap/>
          </w:tcPr>
          <w:p w14:paraId="26E287EA" w14:textId="2CB3DA87"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992" w:type="dxa"/>
            <w:shd w:val="clear" w:color="auto" w:fill="C6EFCE"/>
            <w:noWrap/>
          </w:tcPr>
          <w:p w14:paraId="5B84D075" w14:textId="0AD3356D"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0" w:type="dxa"/>
            <w:shd w:val="clear" w:color="auto" w:fill="C6EFCE"/>
            <w:noWrap/>
          </w:tcPr>
          <w:p w14:paraId="113DF80A" w14:textId="63B55BE8"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851" w:type="dxa"/>
            <w:shd w:val="clear" w:color="auto" w:fill="C6EFCE"/>
            <w:noWrap/>
          </w:tcPr>
          <w:p w14:paraId="116161D1" w14:textId="3F93ADCC"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5FF23BA8" w14:textId="1F7F2EC6" w:rsidR="000747A7" w:rsidRPr="00DD6A04" w:rsidRDefault="000747A7" w:rsidP="000747A7">
            <w:pPr>
              <w:spacing w:before="0" w:after="0" w:line="240" w:lineRule="auto"/>
              <w:rPr>
                <w:rFonts w:eastAsia="Times New Roman"/>
                <w:noProof/>
                <w:color w:val="006100"/>
                <w:sz w:val="22"/>
              </w:rPr>
            </w:pPr>
            <w:r>
              <w:rPr>
                <w:noProof/>
                <w:color w:val="006100"/>
                <w:sz w:val="22"/>
              </w:rPr>
              <w:t>2021</w:t>
            </w:r>
          </w:p>
        </w:tc>
        <w:tc>
          <w:tcPr>
            <w:tcW w:w="3150" w:type="dxa"/>
            <w:shd w:val="clear" w:color="auto" w:fill="C6EFCE"/>
            <w:noWrap/>
          </w:tcPr>
          <w:p w14:paraId="6D32163A" w14:textId="77777777" w:rsidR="000747A7" w:rsidRPr="00DD6A04" w:rsidRDefault="000747A7" w:rsidP="000747A7">
            <w:pPr>
              <w:spacing w:before="0" w:after="0" w:line="256" w:lineRule="auto"/>
              <w:rPr>
                <w:rFonts w:eastAsia="Times New Roman"/>
                <w:noProof/>
                <w:color w:val="006100"/>
                <w:sz w:val="22"/>
              </w:rPr>
            </w:pPr>
            <w:r>
              <w:rPr>
                <w:noProof/>
                <w:color w:val="006100"/>
                <w:sz w:val="22"/>
              </w:rPr>
              <w:t>Dokončanje seznama udeležencev večdržavnega projekta na področju mikroelektronike, ki se bo predvidoma izvajal v obliki pomembnega projekta skupnega evropskega interesa (IPCEI).</w:t>
            </w:r>
          </w:p>
          <w:p w14:paraId="6AE786BA" w14:textId="77777777" w:rsidR="000747A7" w:rsidRPr="00DD6A04" w:rsidRDefault="000747A7" w:rsidP="000747A7">
            <w:pPr>
              <w:spacing w:before="0" w:after="0" w:line="240" w:lineRule="auto"/>
              <w:rPr>
                <w:rFonts w:eastAsia="Times New Roman"/>
                <w:noProof/>
                <w:color w:val="006100"/>
                <w:sz w:val="22"/>
                <w:lang w:val="en-GB" w:eastAsia="en-GB"/>
              </w:rPr>
            </w:pPr>
          </w:p>
        </w:tc>
      </w:tr>
      <w:tr w:rsidR="00BE5DF7" w:rsidRPr="00DD6A04" w14:paraId="589F3CEF" w14:textId="77777777" w:rsidTr="00A70F67">
        <w:trPr>
          <w:trHeight w:val="309"/>
          <w:jc w:val="center"/>
        </w:trPr>
        <w:tc>
          <w:tcPr>
            <w:tcW w:w="1362" w:type="dxa"/>
            <w:shd w:val="clear" w:color="auto" w:fill="C6EFCE"/>
            <w:noWrap/>
          </w:tcPr>
          <w:p w14:paraId="47FA28BE" w14:textId="358BA708" w:rsidR="000747A7" w:rsidRPr="00DD6A04" w:rsidRDefault="000747A7" w:rsidP="000747A7">
            <w:pPr>
              <w:spacing w:before="0" w:after="0" w:line="240" w:lineRule="auto"/>
              <w:rPr>
                <w:rFonts w:eastAsia="Times New Roman"/>
                <w:noProof/>
                <w:color w:val="006100"/>
                <w:sz w:val="22"/>
              </w:rPr>
            </w:pPr>
            <w:r>
              <w:rPr>
                <w:noProof/>
                <w:color w:val="006100"/>
                <w:sz w:val="22"/>
              </w:rPr>
              <w:t>86</w:t>
            </w:r>
          </w:p>
        </w:tc>
        <w:tc>
          <w:tcPr>
            <w:tcW w:w="1819" w:type="dxa"/>
            <w:shd w:val="clear" w:color="auto" w:fill="C6EFCE"/>
            <w:noWrap/>
          </w:tcPr>
          <w:p w14:paraId="62F9EC9E" w14:textId="4993B067" w:rsidR="000747A7" w:rsidRPr="00DD6A04" w:rsidRDefault="000747A7" w:rsidP="000747A7">
            <w:pPr>
              <w:spacing w:before="0" w:after="0" w:line="240" w:lineRule="auto"/>
              <w:rPr>
                <w:rFonts w:eastAsia="Times New Roman"/>
                <w:noProof/>
                <w:color w:val="006100"/>
                <w:sz w:val="22"/>
              </w:rPr>
            </w:pPr>
            <w:r>
              <w:rPr>
                <w:noProof/>
                <w:color w:val="006100"/>
                <w:sz w:val="22"/>
              </w:rPr>
              <w:t>E: Čezmejni in večdržavni projekti – Nizkoporabni procesorji in polprevodniški čipi</w:t>
            </w:r>
          </w:p>
        </w:tc>
        <w:tc>
          <w:tcPr>
            <w:tcW w:w="992" w:type="dxa"/>
            <w:shd w:val="clear" w:color="auto" w:fill="C6EFCE"/>
            <w:noWrap/>
          </w:tcPr>
          <w:p w14:paraId="28F7634F" w14:textId="41E338BC" w:rsidR="000747A7" w:rsidRPr="00DD6A04" w:rsidRDefault="000747A7" w:rsidP="000747A7">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35A9957B" w14:textId="45044B8E" w:rsidR="000747A7" w:rsidRPr="00DD6A04" w:rsidRDefault="000747A7" w:rsidP="000747A7">
            <w:pPr>
              <w:spacing w:before="0" w:after="0" w:line="240" w:lineRule="auto"/>
              <w:rPr>
                <w:rFonts w:eastAsia="Times New Roman"/>
                <w:noProof/>
                <w:color w:val="006100"/>
                <w:sz w:val="22"/>
              </w:rPr>
            </w:pPr>
            <w:r>
              <w:rPr>
                <w:noProof/>
                <w:color w:val="006100"/>
                <w:sz w:val="22"/>
              </w:rPr>
              <w:t>Število začetih projektov</w:t>
            </w:r>
          </w:p>
        </w:tc>
        <w:tc>
          <w:tcPr>
            <w:tcW w:w="1843" w:type="dxa"/>
            <w:shd w:val="clear" w:color="auto" w:fill="C6EFCE"/>
            <w:noWrap/>
          </w:tcPr>
          <w:p w14:paraId="45D869F9" w14:textId="50D35675" w:rsidR="000747A7" w:rsidRPr="00DD6A04" w:rsidRDefault="000747A7" w:rsidP="000747A7">
            <w:pPr>
              <w:spacing w:before="0" w:after="0" w:line="240" w:lineRule="auto"/>
              <w:rPr>
                <w:rFonts w:eastAsia="Times New Roman"/>
                <w:noProof/>
                <w:color w:val="006100"/>
                <w:sz w:val="22"/>
              </w:rPr>
            </w:pPr>
            <w:r>
              <w:rPr>
                <w:noProof/>
                <w:color w:val="006100"/>
                <w:sz w:val="22"/>
              </w:rPr>
              <w:t> </w:t>
            </w:r>
          </w:p>
        </w:tc>
        <w:tc>
          <w:tcPr>
            <w:tcW w:w="1134" w:type="dxa"/>
            <w:shd w:val="clear" w:color="auto" w:fill="C6EFCE"/>
            <w:noWrap/>
          </w:tcPr>
          <w:p w14:paraId="1A664A94" w14:textId="56A8B878" w:rsidR="000747A7" w:rsidRPr="00DD6A04" w:rsidRDefault="000747A7" w:rsidP="000747A7">
            <w:pPr>
              <w:spacing w:before="0" w:after="0" w:line="240" w:lineRule="auto"/>
              <w:rPr>
                <w:rFonts w:eastAsia="Times New Roman"/>
                <w:noProof/>
                <w:color w:val="006100"/>
                <w:sz w:val="22"/>
              </w:rPr>
            </w:pPr>
            <w:r>
              <w:rPr>
                <w:noProof/>
                <w:color w:val="006100"/>
                <w:sz w:val="22"/>
              </w:rPr>
              <w:t>Število</w:t>
            </w:r>
          </w:p>
        </w:tc>
        <w:tc>
          <w:tcPr>
            <w:tcW w:w="992" w:type="dxa"/>
            <w:shd w:val="clear" w:color="auto" w:fill="C6EFCE"/>
            <w:noWrap/>
          </w:tcPr>
          <w:p w14:paraId="6147D06D" w14:textId="21B9B800" w:rsidR="000747A7" w:rsidRPr="00DD6A04" w:rsidRDefault="000747A7" w:rsidP="000747A7">
            <w:pPr>
              <w:spacing w:before="0" w:after="0" w:line="240" w:lineRule="auto"/>
              <w:rPr>
                <w:rFonts w:eastAsia="Times New Roman"/>
                <w:noProof/>
                <w:color w:val="006100"/>
                <w:sz w:val="22"/>
              </w:rPr>
            </w:pPr>
            <w:r>
              <w:rPr>
                <w:noProof/>
                <w:color w:val="006100"/>
                <w:sz w:val="22"/>
              </w:rPr>
              <w:t>0</w:t>
            </w:r>
          </w:p>
        </w:tc>
        <w:tc>
          <w:tcPr>
            <w:tcW w:w="850" w:type="dxa"/>
            <w:shd w:val="clear" w:color="auto" w:fill="C6EFCE"/>
            <w:noWrap/>
          </w:tcPr>
          <w:p w14:paraId="1B13DC70" w14:textId="4DC4E494" w:rsidR="000747A7" w:rsidRPr="00DD6A04" w:rsidRDefault="000747A7" w:rsidP="000747A7">
            <w:pPr>
              <w:spacing w:before="0" w:after="0" w:line="240" w:lineRule="auto"/>
              <w:rPr>
                <w:rFonts w:eastAsia="Times New Roman"/>
                <w:noProof/>
                <w:color w:val="006100"/>
                <w:sz w:val="22"/>
              </w:rPr>
            </w:pPr>
            <w:r>
              <w:rPr>
                <w:noProof/>
                <w:color w:val="006100"/>
                <w:sz w:val="22"/>
              </w:rPr>
              <w:t>2</w:t>
            </w:r>
          </w:p>
        </w:tc>
        <w:tc>
          <w:tcPr>
            <w:tcW w:w="851" w:type="dxa"/>
            <w:shd w:val="clear" w:color="auto" w:fill="C6EFCE"/>
            <w:noWrap/>
          </w:tcPr>
          <w:p w14:paraId="63FC6B4F" w14:textId="51AEEE17" w:rsidR="000747A7" w:rsidRPr="00DD6A04" w:rsidRDefault="000747A7" w:rsidP="000747A7">
            <w:pPr>
              <w:spacing w:before="0" w:after="0" w:line="240" w:lineRule="auto"/>
              <w:rPr>
                <w:rFonts w:eastAsia="Times New Roman"/>
                <w:noProof/>
                <w:color w:val="006100"/>
                <w:sz w:val="22"/>
              </w:rPr>
            </w:pPr>
            <w:r>
              <w:rPr>
                <w:noProof/>
                <w:color w:val="006100"/>
                <w:sz w:val="22"/>
              </w:rPr>
              <w:t>Q2</w:t>
            </w:r>
          </w:p>
        </w:tc>
        <w:tc>
          <w:tcPr>
            <w:tcW w:w="850" w:type="dxa"/>
            <w:shd w:val="clear" w:color="auto" w:fill="C6EFCE"/>
            <w:noWrap/>
          </w:tcPr>
          <w:p w14:paraId="65AD9F7F" w14:textId="1581DB62" w:rsidR="000747A7" w:rsidRPr="00DD6A04" w:rsidRDefault="000747A7" w:rsidP="000747A7">
            <w:pPr>
              <w:spacing w:before="0" w:after="0" w:line="240" w:lineRule="auto"/>
              <w:rPr>
                <w:rFonts w:eastAsia="Times New Roman"/>
                <w:noProof/>
                <w:color w:val="006100"/>
                <w:sz w:val="22"/>
              </w:rPr>
            </w:pPr>
            <w:r>
              <w:rPr>
                <w:noProof/>
                <w:color w:val="006100"/>
                <w:sz w:val="22"/>
              </w:rPr>
              <w:t>2024</w:t>
            </w:r>
          </w:p>
        </w:tc>
        <w:tc>
          <w:tcPr>
            <w:tcW w:w="3150" w:type="dxa"/>
            <w:shd w:val="clear" w:color="auto" w:fill="C6EFCE"/>
            <w:noWrap/>
          </w:tcPr>
          <w:p w14:paraId="50CCB742" w14:textId="33909E45" w:rsidR="000747A7" w:rsidRPr="00DD6A04" w:rsidRDefault="000747A7" w:rsidP="000747A7">
            <w:pPr>
              <w:spacing w:before="0" w:after="0" w:line="240" w:lineRule="auto"/>
              <w:rPr>
                <w:rFonts w:eastAsia="Times New Roman"/>
                <w:noProof/>
                <w:color w:val="006100"/>
                <w:sz w:val="22"/>
              </w:rPr>
            </w:pPr>
            <w:r>
              <w:rPr>
                <w:noProof/>
                <w:color w:val="006100"/>
                <w:sz w:val="22"/>
              </w:rPr>
              <w:t>Začeti projekti na posebnih področjih (kot so zasnova komunikacijskih čipov, razvoj naprednih polprevodniških procesov, povezovanje sistemov in jeder za uporabo v različnih aplikacijah za pametno mobilnost, pametna mesta in skupnosti ter pametne tovarne) v vrednostni verigi skupnega projekta v okviru mejnika 85.</w:t>
            </w:r>
          </w:p>
        </w:tc>
      </w:tr>
    </w:tbl>
    <w:p w14:paraId="09482DF1" w14:textId="77777777" w:rsidR="00BD3D70" w:rsidRPr="00DD6A04" w:rsidRDefault="00BD3D70" w:rsidP="003C6015">
      <w:pPr>
        <w:spacing w:line="240" w:lineRule="auto"/>
        <w:ind w:left="850"/>
        <w:jc w:val="both"/>
        <w:rPr>
          <w:b/>
          <w:noProof/>
          <w:u w:val="single"/>
          <w:lang w:val="en-GB"/>
        </w:rPr>
      </w:pPr>
    </w:p>
    <w:p w14:paraId="2B3B68E9" w14:textId="77777777" w:rsidR="003C6015" w:rsidRPr="00DD6A04" w:rsidRDefault="003C6015" w:rsidP="003C6015">
      <w:pPr>
        <w:spacing w:before="0" w:after="0" w:line="240" w:lineRule="auto"/>
        <w:rPr>
          <w:noProof/>
          <w:lang w:val="en-GB"/>
        </w:rPr>
        <w:sectPr w:rsidR="003C6015" w:rsidRPr="00DD6A04" w:rsidSect="00073927">
          <w:headerReference w:type="even" r:id="rId132"/>
          <w:headerReference w:type="default" r:id="rId133"/>
          <w:footerReference w:type="even" r:id="rId134"/>
          <w:footerReference w:type="default" r:id="rId135"/>
          <w:headerReference w:type="first" r:id="rId136"/>
          <w:footerReference w:type="first" r:id="rId137"/>
          <w:pgSz w:w="16839" w:h="11907" w:orient="landscape"/>
          <w:pgMar w:top="1134" w:right="1134" w:bottom="1134" w:left="1134" w:header="567" w:footer="567" w:gutter="0"/>
          <w:cols w:space="720"/>
          <w:docGrid w:linePitch="326"/>
        </w:sectPr>
      </w:pPr>
    </w:p>
    <w:p w14:paraId="21347662" w14:textId="77777777" w:rsidR="003C6015" w:rsidRPr="00DD6A04" w:rsidRDefault="003C6015" w:rsidP="003C6015">
      <w:pPr>
        <w:keepNext/>
        <w:tabs>
          <w:tab w:val="left" w:pos="850"/>
        </w:tabs>
        <w:spacing w:line="240" w:lineRule="auto"/>
        <w:jc w:val="both"/>
        <w:outlineLvl w:val="0"/>
        <w:rPr>
          <w:b/>
          <w:smallCaps/>
          <w:noProof/>
        </w:rPr>
      </w:pPr>
      <w:r>
        <w:rPr>
          <w:b/>
          <w:smallCaps/>
          <w:noProof/>
        </w:rPr>
        <w:t>G. KOMPONENTA 7: DIGITALNA PREOBRAZBA JAVNEGA SEKTORJA IN JAVNE UPRAVE</w:t>
      </w:r>
    </w:p>
    <w:p w14:paraId="74AE48DE" w14:textId="77777777" w:rsidR="003C6015" w:rsidRPr="00DD6A04" w:rsidRDefault="003C6015" w:rsidP="003C6015">
      <w:pPr>
        <w:spacing w:line="240" w:lineRule="auto"/>
        <w:jc w:val="both"/>
        <w:rPr>
          <w:rFonts w:eastAsia="Times New Roman"/>
          <w:noProof/>
        </w:rPr>
      </w:pPr>
      <w:r>
        <w:rPr>
          <w:noProof/>
        </w:rPr>
        <w:t xml:space="preserve">Ta komponenta slovenskega načrta za okrevanje in odpornost obravnava izzive digitalizacije, povezane z javno upravo, kot so zagotavljanje širokopasovne pokritosti celotnega ozemlja Slovenije, uvajanje e-storitev javnega sektorja, interoperabilnost sistemov za upravljanje podatkov, digitalna znanja in spretnosti ter oprema javnih uslužbencev, kibernetska varnost in zagotavljanje usklajevanja pri upravljanju investicij v IKT. </w:t>
      </w:r>
    </w:p>
    <w:p w14:paraId="5D2E607C" w14:textId="77777777" w:rsidR="003C6015" w:rsidRPr="00DD6A04" w:rsidRDefault="003C6015" w:rsidP="003C6015">
      <w:pPr>
        <w:spacing w:line="240" w:lineRule="auto"/>
        <w:jc w:val="both"/>
        <w:rPr>
          <w:noProof/>
        </w:rPr>
      </w:pPr>
      <w:r>
        <w:rPr>
          <w:noProof/>
        </w:rPr>
        <w:t>Cilj komponente je odzivanje na kritične pomanjkljivosti, ugotovljene pri digitalizaciji javnega sektorja med pandemijo COVID-19. Zlasti se želi s komponento ustvariti okolje za uspešno digitalno preobrazbo, okrepiti e-upravo, izboljšati digitalna znanja in spretnosti ter okrepiti kibernetsko varnost.</w:t>
      </w:r>
    </w:p>
    <w:p w14:paraId="57386E5B" w14:textId="77777777" w:rsidR="003C6015" w:rsidRPr="00DD6A04" w:rsidRDefault="003C6015" w:rsidP="003C6015">
      <w:pPr>
        <w:spacing w:line="240" w:lineRule="auto"/>
        <w:jc w:val="both"/>
        <w:rPr>
          <w:noProof/>
        </w:rPr>
      </w:pPr>
      <w:r>
        <w:rPr>
          <w:noProof/>
        </w:rPr>
        <w:t xml:space="preserve">Komponenta bo obravnavala tudi prehod na gigabitno družbo z izboljšanjem regulativnega okolja in krepitvijo digitalne povezljivosti z investicijami v širokopasovno infrastrukturo na težko dostopnih območjih. </w:t>
      </w:r>
    </w:p>
    <w:p w14:paraId="2AEE75D2" w14:textId="77777777" w:rsidR="003C6015" w:rsidRPr="00DD6A04" w:rsidRDefault="003C6015" w:rsidP="003C6015">
      <w:pPr>
        <w:spacing w:line="240" w:lineRule="auto"/>
        <w:jc w:val="both"/>
        <w:rPr>
          <w:noProof/>
        </w:rPr>
      </w:pPr>
      <w:r>
        <w:rPr>
          <w:noProof/>
        </w:rPr>
        <w:t>Te investicije in reforme bodo prispevale k specifičnim priporočilom za Slovenijo v letu 2020, naj „[u]smeri naložbe na [...] digitalni prehod [...] ter uvajanje omrežja 5G. Spodbuja digitalne zmogljivosti podjetij ter krepi digitalna znanja in spretnosti, e-trgovino in e-zdravje“ (specifično priporočilo št. 3 iz leta 2020).</w:t>
      </w:r>
    </w:p>
    <w:p w14:paraId="192ACE2F" w14:textId="7C694E09"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1A34B333" w14:textId="77777777" w:rsidR="003C6015" w:rsidRPr="00DD6A04" w:rsidRDefault="003C6015" w:rsidP="003C6015">
      <w:pPr>
        <w:spacing w:line="240" w:lineRule="auto"/>
        <w:jc w:val="both"/>
        <w:rPr>
          <w:noProof/>
          <w:lang w:val="en-GB"/>
        </w:rPr>
      </w:pPr>
    </w:p>
    <w:p w14:paraId="72CB61FF" w14:textId="77777777" w:rsidR="003C6015" w:rsidRPr="00DD6A04" w:rsidRDefault="003C6015" w:rsidP="003C6015">
      <w:pPr>
        <w:spacing w:line="240" w:lineRule="auto"/>
        <w:jc w:val="both"/>
        <w:rPr>
          <w:b/>
          <w:i/>
          <w:noProof/>
          <w:color w:val="4F81BD"/>
        </w:rPr>
      </w:pPr>
      <w:r>
        <w:rPr>
          <w:b/>
          <w:noProof/>
          <w:u w:val="single"/>
        </w:rPr>
        <w:t xml:space="preserve">G.1 </w:t>
      </w:r>
      <w:r>
        <w:rPr>
          <w:b/>
          <w:noProof/>
          <w:u w:val="single"/>
        </w:rPr>
        <w:tab/>
        <w:t>Opis reform in naložb za nepovratno finančno podporo</w:t>
      </w:r>
    </w:p>
    <w:p w14:paraId="7F7B75DC" w14:textId="77777777" w:rsidR="003C6015" w:rsidRPr="00DD6A04" w:rsidRDefault="003C6015" w:rsidP="003C6015">
      <w:pPr>
        <w:spacing w:line="240" w:lineRule="auto"/>
        <w:jc w:val="both"/>
        <w:rPr>
          <w:rFonts w:eastAsia="Times New Roman"/>
          <w:noProof/>
          <w:u w:val="single"/>
        </w:rPr>
      </w:pPr>
      <w:r>
        <w:rPr>
          <w:noProof/>
          <w:u w:val="single"/>
        </w:rPr>
        <w:t>Reforma A. Okrepitev upravljanja digitalne preobrazbe javne uprave</w:t>
      </w:r>
    </w:p>
    <w:p w14:paraId="3E656D70" w14:textId="77777777" w:rsidR="003C6015" w:rsidRPr="00DD6A04" w:rsidRDefault="003C6015" w:rsidP="003C6015">
      <w:pPr>
        <w:spacing w:line="240" w:lineRule="auto"/>
        <w:jc w:val="both"/>
        <w:rPr>
          <w:rFonts w:eastAsia="Times New Roman"/>
          <w:noProof/>
          <w:color w:val="000000"/>
          <w:szCs w:val="24"/>
        </w:rPr>
      </w:pPr>
      <w:r>
        <w:rPr>
          <w:noProof/>
          <w:color w:val="000000"/>
        </w:rPr>
        <w:t xml:space="preserve">Cilj reforme je izboljšati upravljanje digitalne preobrazbe v javni upravi. To naj bi se doseglo s sprejetjem Strategije digitalnih javnih storitev za obdobje 2021–2030 in vzpostavitvijo Sveta za razvoj informatike kot organa za usklajevanje digitalnih rešitev. </w:t>
      </w:r>
    </w:p>
    <w:p w14:paraId="5424268C" w14:textId="77777777" w:rsidR="003C6015" w:rsidRPr="00DD6A04" w:rsidRDefault="003C6015" w:rsidP="003C6015">
      <w:pPr>
        <w:spacing w:line="240" w:lineRule="auto"/>
        <w:jc w:val="both"/>
        <w:rPr>
          <w:rFonts w:eastAsia="Times New Roman"/>
          <w:noProof/>
          <w:color w:val="000000"/>
          <w:szCs w:val="24"/>
        </w:rPr>
      </w:pPr>
      <w:r>
        <w:rPr>
          <w:noProof/>
          <w:color w:val="000000"/>
        </w:rPr>
        <w:t xml:space="preserve">Strategijo digitalnih javnih storitev za obdobje 2021–2030 bo sprejela Vlada Republike Slovenije, njen cilj pa bo zagotavljati uporabniku prijazne in enostavne digitalne storitve, podatke za boljše storitve in odločanje ter varno, zaupanja vredno in vključujoče digitalno okolje. </w:t>
      </w:r>
    </w:p>
    <w:p w14:paraId="09E79FEE" w14:textId="77777777" w:rsidR="003C6015" w:rsidRPr="00DD6A04" w:rsidRDefault="003C6015" w:rsidP="003C6015">
      <w:pPr>
        <w:spacing w:line="240" w:lineRule="auto"/>
        <w:jc w:val="both"/>
        <w:rPr>
          <w:rFonts w:eastAsia="Times New Roman"/>
          <w:noProof/>
          <w:color w:val="000000"/>
          <w:szCs w:val="24"/>
        </w:rPr>
      </w:pPr>
      <w:r>
        <w:rPr>
          <w:noProof/>
          <w:color w:val="000000"/>
        </w:rPr>
        <w:t xml:space="preserve">Svet za razvoj informatike bo deloval kot upravljavski organ za usklajevanje operacij v javnem sektorju, povezanih z investicijami v informacijsko tehnologijo, standardi, podpornimi sistemi in drugim tehnološkim razvojem, pri katerem je združljivost sistemov bistvena za njihovo delovanje in vzdrževanje. </w:t>
      </w:r>
    </w:p>
    <w:p w14:paraId="15EF237D" w14:textId="77777777" w:rsidR="003C6015" w:rsidRPr="00DD6A04" w:rsidRDefault="003C6015" w:rsidP="003C6015">
      <w:pPr>
        <w:spacing w:line="240" w:lineRule="auto"/>
        <w:jc w:val="both"/>
        <w:rPr>
          <w:rFonts w:eastAsia="Times New Roman"/>
          <w:noProof/>
          <w:color w:val="000000"/>
          <w:szCs w:val="24"/>
        </w:rPr>
      </w:pPr>
      <w:r>
        <w:rPr>
          <w:noProof/>
        </w:rPr>
        <w:t>Mejnik v zvezi z izvedbo reforme bo dosežen do 31. decembra 2021.</w:t>
      </w:r>
    </w:p>
    <w:p w14:paraId="06E99069" w14:textId="77777777" w:rsidR="0059074B" w:rsidRPr="00DD6A04" w:rsidRDefault="0059074B" w:rsidP="003C6015">
      <w:pPr>
        <w:spacing w:line="240" w:lineRule="auto"/>
        <w:jc w:val="both"/>
        <w:rPr>
          <w:rFonts w:eastAsia="Times New Roman"/>
          <w:noProof/>
          <w:color w:val="000000"/>
          <w:szCs w:val="24"/>
          <w:lang w:val="en-GB" w:eastAsia="en-IE"/>
        </w:rPr>
      </w:pPr>
    </w:p>
    <w:p w14:paraId="12312477" w14:textId="0F85009F" w:rsidR="003C6015" w:rsidRPr="00DD6A04" w:rsidRDefault="003C6015" w:rsidP="0036078D">
      <w:pPr>
        <w:tabs>
          <w:tab w:val="right" w:pos="9639"/>
        </w:tabs>
        <w:spacing w:line="240" w:lineRule="auto"/>
        <w:jc w:val="both"/>
        <w:rPr>
          <w:rFonts w:eastAsia="Times New Roman"/>
          <w:noProof/>
          <w:color w:val="000000"/>
          <w:szCs w:val="24"/>
          <w:u w:val="single"/>
        </w:rPr>
      </w:pPr>
      <w:r>
        <w:rPr>
          <w:noProof/>
          <w:color w:val="000000"/>
          <w:u w:val="single"/>
        </w:rPr>
        <w:t>Reforma B. Vzpostavitev okolja za uporabo e-storitev javne uprave</w:t>
      </w:r>
    </w:p>
    <w:p w14:paraId="0250A999" w14:textId="77777777" w:rsidR="003C6015" w:rsidRPr="00DD6A04" w:rsidRDefault="003C6015" w:rsidP="003C6015">
      <w:pPr>
        <w:spacing w:line="240" w:lineRule="auto"/>
        <w:jc w:val="both"/>
        <w:rPr>
          <w:rFonts w:eastAsia="Times New Roman"/>
          <w:noProof/>
          <w:color w:val="000000"/>
          <w:szCs w:val="24"/>
        </w:rPr>
      </w:pPr>
      <w:r>
        <w:rPr>
          <w:noProof/>
          <w:color w:val="000000"/>
        </w:rPr>
        <w:t>Cilj reforme je zagotoviti ustrezno pravno podlago za e-storitve javne uprave, zlasti za uvedbo storitev e-identitete.</w:t>
      </w:r>
    </w:p>
    <w:p w14:paraId="6B87072E" w14:textId="77777777" w:rsidR="003C6015" w:rsidRPr="00DD6A04" w:rsidRDefault="003C6015" w:rsidP="003C6015">
      <w:pPr>
        <w:spacing w:line="240" w:lineRule="auto"/>
        <w:jc w:val="both"/>
        <w:rPr>
          <w:rFonts w:eastAsia="Times New Roman"/>
          <w:noProof/>
          <w:color w:val="000000"/>
          <w:szCs w:val="24"/>
        </w:rPr>
      </w:pPr>
      <w:r>
        <w:rPr>
          <w:noProof/>
          <w:color w:val="000000"/>
        </w:rPr>
        <w:t>Z začetkom veljavnosti</w:t>
      </w:r>
      <w:r>
        <w:rPr>
          <w:noProof/>
        </w:rPr>
        <w:t xml:space="preserve"> Zakona o elektronski identifikaciji in storitvah zaupanja ter spremenjenega Zakona o osebni izkaznici se bo za javne storitve začela uporabljati nacionalna e-identiteta, zagotovljeni pa bodo tudi osnovni pogoji za e-trgovino. E-identiteta bo priznana tudi čezmejno in priglašena v okviru eIDAS. </w:t>
      </w:r>
    </w:p>
    <w:p w14:paraId="362B5D2F" w14:textId="77777777" w:rsidR="003C6015" w:rsidRPr="00DD6A04" w:rsidRDefault="003C6015" w:rsidP="003C6015">
      <w:pPr>
        <w:spacing w:line="240" w:lineRule="auto"/>
        <w:jc w:val="both"/>
        <w:rPr>
          <w:rFonts w:eastAsia="Times New Roman"/>
          <w:noProof/>
          <w:szCs w:val="24"/>
        </w:rPr>
      </w:pPr>
      <w:r>
        <w:rPr>
          <w:noProof/>
        </w:rPr>
        <w:t>Mejnik v zvezi z izvedbo reforme bo dosežen in e-osebni dokumenti se bodo začeli izdajati do 30. junija 2022.</w:t>
      </w:r>
    </w:p>
    <w:p w14:paraId="38A2AD04" w14:textId="77777777" w:rsidR="003C6015" w:rsidRPr="00DD6A04" w:rsidRDefault="003C6015" w:rsidP="003C6015">
      <w:pPr>
        <w:spacing w:line="240" w:lineRule="auto"/>
        <w:jc w:val="both"/>
        <w:rPr>
          <w:rFonts w:eastAsia="Times New Roman"/>
          <w:noProof/>
          <w:szCs w:val="24"/>
          <w:u w:val="single"/>
        </w:rPr>
      </w:pPr>
      <w:r>
        <w:rPr>
          <w:noProof/>
          <w:u w:val="single"/>
        </w:rPr>
        <w:t>Reforma C. Posodobitev upravnih procesov za uspešno digitalno preobrazbo</w:t>
      </w:r>
    </w:p>
    <w:p w14:paraId="53D43D3B" w14:textId="77777777" w:rsidR="003C6015" w:rsidRPr="00DD6A04" w:rsidRDefault="003C6015" w:rsidP="003C6015">
      <w:pPr>
        <w:spacing w:line="240" w:lineRule="auto"/>
        <w:jc w:val="both"/>
        <w:rPr>
          <w:rFonts w:eastAsia="Times New Roman"/>
          <w:noProof/>
          <w:color w:val="000000"/>
          <w:szCs w:val="24"/>
        </w:rPr>
      </w:pPr>
      <w:r>
        <w:rPr>
          <w:noProof/>
          <w:color w:val="000000"/>
        </w:rPr>
        <w:t xml:space="preserve">Cilj reforme je zagotoviti pravno podlago za nadaljnjo digitalizacijo javnih storitev. </w:t>
      </w:r>
    </w:p>
    <w:p w14:paraId="103DE4EA" w14:textId="30F1E781" w:rsidR="003C6015" w:rsidRPr="00DD6A04" w:rsidRDefault="003C6015" w:rsidP="003C6015">
      <w:pPr>
        <w:spacing w:line="240" w:lineRule="auto"/>
        <w:jc w:val="both"/>
        <w:rPr>
          <w:rFonts w:eastAsia="Times New Roman"/>
          <w:noProof/>
          <w:szCs w:val="24"/>
        </w:rPr>
      </w:pPr>
      <w:r>
        <w:rPr>
          <w:noProof/>
          <w:color w:val="000000"/>
        </w:rPr>
        <w:t>Zakon o splošnem upravnem postopku in Uredba o upravnem poslovanju bosta spremenjena, da se razširi področje uporabe elektronskih postopkov v upravnih postopkih.</w:t>
      </w:r>
      <w:r w:rsidR="00037751">
        <w:rPr>
          <w:noProof/>
          <w:color w:val="000000"/>
        </w:rPr>
        <w:t xml:space="preserve"> </w:t>
      </w:r>
    </w:p>
    <w:p w14:paraId="3183AEBD" w14:textId="1AB8A4FB" w:rsidR="003C6015" w:rsidRPr="00DD6A04" w:rsidRDefault="003C6015" w:rsidP="003C6015">
      <w:pPr>
        <w:spacing w:line="240" w:lineRule="auto"/>
        <w:jc w:val="both"/>
        <w:rPr>
          <w:rFonts w:eastAsia="Times New Roman"/>
          <w:noProof/>
          <w:szCs w:val="24"/>
        </w:rPr>
      </w:pPr>
      <w:r>
        <w:rPr>
          <w:noProof/>
        </w:rPr>
        <w:t>Mejnik v zvezi z izvedbo reforme bo dosežen do 31. decembra 2022.</w:t>
      </w:r>
      <w:r w:rsidR="00037751">
        <w:rPr>
          <w:noProof/>
        </w:rPr>
        <w:t xml:space="preserve"> </w:t>
      </w:r>
    </w:p>
    <w:p w14:paraId="23D35850" w14:textId="1CBD0B82" w:rsidR="003C6015" w:rsidRPr="00DD6A04" w:rsidRDefault="003C6015" w:rsidP="6B3B27EA">
      <w:pPr>
        <w:spacing w:line="240" w:lineRule="auto"/>
        <w:jc w:val="both"/>
        <w:rPr>
          <w:rFonts w:eastAsia="Times New Roman"/>
          <w:noProof/>
          <w:u w:val="single"/>
        </w:rPr>
      </w:pPr>
      <w:r>
        <w:rPr>
          <w:noProof/>
          <w:u w:val="single"/>
        </w:rPr>
        <w:t>Reforma D. Vzpostavitev kompetenčnega centra – centra za kadre in dvig usposobljenosti zaposlenih v javni upravi</w:t>
      </w:r>
    </w:p>
    <w:p w14:paraId="7DEFABC2" w14:textId="045CE95D" w:rsidR="003C6015" w:rsidRPr="00DD6A04" w:rsidRDefault="003C6015" w:rsidP="003C6015">
      <w:pPr>
        <w:spacing w:line="240" w:lineRule="auto"/>
        <w:jc w:val="both"/>
        <w:rPr>
          <w:rFonts w:eastAsia="Times New Roman"/>
          <w:noProof/>
        </w:rPr>
      </w:pPr>
      <w:r>
        <w:rPr>
          <w:noProof/>
        </w:rPr>
        <w:t>Cilj reforme je izboljšati upravljanje človeških virov v javni upravi.</w:t>
      </w:r>
    </w:p>
    <w:p w14:paraId="6E9D223E" w14:textId="481B8F4A" w:rsidR="003C6015" w:rsidRPr="00DD6A04" w:rsidRDefault="003C6015" w:rsidP="6B3B27EA">
      <w:pPr>
        <w:spacing w:line="240" w:lineRule="auto"/>
        <w:jc w:val="both"/>
        <w:rPr>
          <w:rFonts w:eastAsia="Times New Roman"/>
          <w:noProof/>
        </w:rPr>
      </w:pPr>
      <w:r>
        <w:rPr>
          <w:noProof/>
        </w:rPr>
        <w:t>Kompetenčni center – center za kadre, ki bo vzpostavljen ter operativen s spremembo Zakona o javnih uslužbencih. Center bo spodbujal strateški pristop k upravljanju kompetenc s presojo osebnih sposobnosti in veščin v postopkih za nove zaposlitve, prispeval k razvoju osebnih sposobnosti in veščin za opravljanje dela (med drugim tudi digitalnih znanj in spretnosti) javnih uslužbencev ter drugih orodij za ravnanje s kadrovskimi viri v organih državne uprave. Poleg tega bo sprejeta Strategija upravljanja z javnimi uslužbenci, ki bo obravnavala upravljanje talentov, poklicni razvoj, vseživljenjsko učenje in nove razmere, ki so posledica pandemije COVID-19.</w:t>
      </w:r>
    </w:p>
    <w:p w14:paraId="1D378C9A" w14:textId="5ACCF796" w:rsidR="003C6015" w:rsidRPr="00DD6A04" w:rsidRDefault="003C6015" w:rsidP="003C6015">
      <w:pPr>
        <w:spacing w:line="240" w:lineRule="auto"/>
        <w:jc w:val="both"/>
        <w:rPr>
          <w:rFonts w:eastAsia="Times New Roman"/>
          <w:noProof/>
        </w:rPr>
      </w:pPr>
      <w:r>
        <w:rPr>
          <w:noProof/>
        </w:rPr>
        <w:t>Mejnik v zvezi z izvedbo reforme bo dosežen do 30. junija 2024.</w:t>
      </w:r>
    </w:p>
    <w:p w14:paraId="7719AEF5" w14:textId="77777777" w:rsidR="003C6015" w:rsidRPr="00DD6A04" w:rsidRDefault="003C6015" w:rsidP="003C6015">
      <w:pPr>
        <w:spacing w:line="240" w:lineRule="auto"/>
        <w:jc w:val="both"/>
        <w:rPr>
          <w:rFonts w:eastAsia="Times New Roman"/>
          <w:noProof/>
          <w:szCs w:val="24"/>
          <w:u w:val="single"/>
        </w:rPr>
      </w:pPr>
      <w:r>
        <w:rPr>
          <w:noProof/>
          <w:u w:val="single"/>
        </w:rPr>
        <w:t>Reforma E. Zagotavljanje kibernetske varnosti</w:t>
      </w:r>
    </w:p>
    <w:p w14:paraId="2F59E3FE" w14:textId="77777777" w:rsidR="003C6015" w:rsidRPr="00DD6A04" w:rsidRDefault="003C6015" w:rsidP="003C6015">
      <w:pPr>
        <w:spacing w:line="240" w:lineRule="auto"/>
        <w:jc w:val="both"/>
        <w:rPr>
          <w:rFonts w:eastAsia="Times New Roman"/>
          <w:noProof/>
          <w:szCs w:val="24"/>
        </w:rPr>
      </w:pPr>
      <w:r>
        <w:rPr>
          <w:noProof/>
        </w:rPr>
        <w:t xml:space="preserve">Cilj te reforme je okrepiti strateško in operativno raven subjektov, ki so del nacionalnega sistema kibernetske varnosti, z izboljšanjem njihove medsebojne povezljivosti in sodelovanja. </w:t>
      </w:r>
    </w:p>
    <w:p w14:paraId="268C4BD6" w14:textId="77777777" w:rsidR="003C6015" w:rsidRPr="00DD6A04" w:rsidRDefault="003C6015" w:rsidP="003C6015">
      <w:pPr>
        <w:spacing w:line="240" w:lineRule="auto"/>
        <w:jc w:val="both"/>
        <w:rPr>
          <w:rFonts w:eastAsia="Times New Roman"/>
          <w:noProof/>
          <w:szCs w:val="24"/>
        </w:rPr>
      </w:pPr>
      <w:r>
        <w:rPr>
          <w:noProof/>
        </w:rPr>
        <w:t>Zmogljivosti skupine za odzivanje na kibernetske grožnje (Sigov-CERT) in Uprave Republike Slovenije za informacijsko varnost (URSIV) bodo okrepljene z vzpostavitvijo certifikacijskega organa za kibernetsko varnost, sistema za izmenjavo in analizo informacij ter skupne platforme za priglasitev varnostnih incidentov pri URSIV.</w:t>
      </w:r>
    </w:p>
    <w:p w14:paraId="6F460BEF" w14:textId="77777777" w:rsidR="003C6015" w:rsidRPr="00DD6A04" w:rsidRDefault="003C6015" w:rsidP="003C6015">
      <w:pPr>
        <w:spacing w:line="240" w:lineRule="auto"/>
        <w:jc w:val="both"/>
        <w:rPr>
          <w:rFonts w:eastAsia="Times New Roman"/>
          <w:noProof/>
          <w:szCs w:val="24"/>
        </w:rPr>
      </w:pPr>
      <w:r>
        <w:rPr>
          <w:noProof/>
        </w:rPr>
        <w:t>Reforma bo dokončana do 30. junija 2026.</w:t>
      </w:r>
    </w:p>
    <w:p w14:paraId="5A355D39" w14:textId="77777777" w:rsidR="005630C1" w:rsidRPr="00DD6A04" w:rsidRDefault="005630C1" w:rsidP="003C6015">
      <w:pPr>
        <w:spacing w:line="240" w:lineRule="auto"/>
        <w:jc w:val="both"/>
        <w:rPr>
          <w:rFonts w:eastAsia="Times New Roman"/>
          <w:noProof/>
          <w:szCs w:val="24"/>
          <w:u w:val="single"/>
          <w:lang w:val="en-GB" w:eastAsia="en-IE"/>
        </w:rPr>
      </w:pPr>
    </w:p>
    <w:p w14:paraId="06EE82EA" w14:textId="77777777" w:rsidR="00CB0AF1" w:rsidRPr="00DD6A04" w:rsidRDefault="00CB0AF1" w:rsidP="003C6015">
      <w:pPr>
        <w:spacing w:line="240" w:lineRule="auto"/>
        <w:jc w:val="both"/>
        <w:rPr>
          <w:rFonts w:eastAsia="Times New Roman"/>
          <w:noProof/>
          <w:szCs w:val="24"/>
          <w:u w:val="single"/>
          <w:lang w:val="en-GB" w:eastAsia="en-IE"/>
        </w:rPr>
      </w:pPr>
    </w:p>
    <w:p w14:paraId="6D44BCB1" w14:textId="2B340D49" w:rsidR="003C6015" w:rsidRPr="00DD6A04" w:rsidRDefault="003C6015" w:rsidP="003C6015">
      <w:pPr>
        <w:spacing w:line="240" w:lineRule="auto"/>
        <w:jc w:val="both"/>
        <w:rPr>
          <w:rFonts w:eastAsia="Times New Roman"/>
          <w:noProof/>
          <w:szCs w:val="24"/>
          <w:u w:val="single"/>
        </w:rPr>
      </w:pPr>
      <w:r>
        <w:rPr>
          <w:noProof/>
          <w:u w:val="single"/>
        </w:rPr>
        <w:t>Reforma F. Prehod v gigabitno družbo</w:t>
      </w:r>
    </w:p>
    <w:p w14:paraId="0107CFA9" w14:textId="77777777" w:rsidR="003C6015" w:rsidRPr="00DD6A04" w:rsidRDefault="003C6015" w:rsidP="003C6015">
      <w:pPr>
        <w:spacing w:line="240" w:lineRule="auto"/>
        <w:jc w:val="both"/>
        <w:rPr>
          <w:rFonts w:eastAsia="Times New Roman"/>
          <w:noProof/>
          <w:szCs w:val="24"/>
        </w:rPr>
      </w:pPr>
      <w:r>
        <w:rPr>
          <w:noProof/>
        </w:rPr>
        <w:t>Cilj te reforme je prispevati k zagotavljanju širokopasovne pokritosti celotnega ozemlja Republike Slovenije.</w:t>
      </w:r>
    </w:p>
    <w:p w14:paraId="23B63587" w14:textId="77777777" w:rsidR="003C6015" w:rsidRPr="00DD6A04" w:rsidRDefault="003C6015" w:rsidP="003C6015">
      <w:pPr>
        <w:spacing w:line="240" w:lineRule="auto"/>
        <w:jc w:val="both"/>
        <w:rPr>
          <w:rFonts w:eastAsia="Times New Roman"/>
          <w:noProof/>
          <w:szCs w:val="24"/>
        </w:rPr>
      </w:pPr>
      <w:r>
        <w:rPr>
          <w:noProof/>
        </w:rPr>
        <w:t xml:space="preserve">Zakon o elektronskih komunikacijah bo spremenjen, da se optimizirajo postopki za izgradnjo elektronskih komunikacijskih omrežij ter poveča učinkovitost skupne gradnje in predvidljivost poslovnega okolja. Vlada Republike Slovenije bo sprejela nacionalni načrt za širokopasovna omrežja, ki bo določal potrebe za razvoj širokopasovne pokritosti celotne države do leta 2025 in ukrepe za dosego tega cilja. </w:t>
      </w:r>
    </w:p>
    <w:p w14:paraId="20303930" w14:textId="77777777" w:rsidR="003C6015" w:rsidRPr="00DD6A04" w:rsidRDefault="003C6015" w:rsidP="003C6015">
      <w:pPr>
        <w:spacing w:line="240" w:lineRule="auto"/>
        <w:jc w:val="both"/>
        <w:rPr>
          <w:rFonts w:eastAsia="Times New Roman"/>
          <w:noProof/>
          <w:szCs w:val="24"/>
        </w:rPr>
      </w:pPr>
      <w:r>
        <w:rPr>
          <w:noProof/>
        </w:rPr>
        <w:t>Mejnik v zvezi z izvedbo reforme bo dosežen do 30. junija 2022.</w:t>
      </w:r>
    </w:p>
    <w:p w14:paraId="750EADCE" w14:textId="77777777" w:rsidR="003C6015" w:rsidRPr="00DD6A04" w:rsidRDefault="003C6015" w:rsidP="003C6015">
      <w:pPr>
        <w:spacing w:line="240" w:lineRule="auto"/>
        <w:jc w:val="both"/>
        <w:rPr>
          <w:rFonts w:eastAsia="Times New Roman"/>
          <w:noProof/>
          <w:u w:val="single"/>
        </w:rPr>
      </w:pPr>
      <w:r>
        <w:rPr>
          <w:noProof/>
          <w:u w:val="single"/>
        </w:rPr>
        <w:t>Investicija G. Modernizacija digitalnega okolja javne uprave</w:t>
      </w:r>
    </w:p>
    <w:p w14:paraId="4F2EA558" w14:textId="77777777" w:rsidR="003C6015" w:rsidRPr="00DD6A04" w:rsidRDefault="003C6015" w:rsidP="003C6015">
      <w:pPr>
        <w:spacing w:line="240" w:lineRule="auto"/>
        <w:jc w:val="both"/>
        <w:rPr>
          <w:rFonts w:eastAsia="Times New Roman"/>
          <w:noProof/>
          <w:color w:val="000000"/>
          <w:szCs w:val="24"/>
        </w:rPr>
      </w:pPr>
      <w:r>
        <w:rPr>
          <w:noProof/>
          <w:color w:val="000000"/>
        </w:rPr>
        <w:t>Cilji investicije so razviti na uporabnika osredotočene e-storitve, nadgraditi informacijsko infrastrukturo v javni upravi, izvesti pilotni projekt za avtomatizirano in trajnostno upravljanje javnih stavb, zagotavljati digitalne storitve ter okrepiti razvoj znanj in spretnosti javnih uslužbencev.</w:t>
      </w:r>
    </w:p>
    <w:p w14:paraId="4B89F99C" w14:textId="77777777" w:rsidR="003C6015" w:rsidRPr="00DD6A04" w:rsidRDefault="003C6015" w:rsidP="003C6015">
      <w:pPr>
        <w:spacing w:line="240" w:lineRule="auto"/>
        <w:jc w:val="both"/>
        <w:rPr>
          <w:rFonts w:eastAsia="Times New Roman"/>
          <w:noProof/>
          <w:color w:val="000000"/>
          <w:szCs w:val="24"/>
        </w:rPr>
      </w:pPr>
      <w:r>
        <w:rPr>
          <w:noProof/>
          <w:color w:val="000000"/>
        </w:rPr>
        <w:t>Investicija je sestavljena iz več podinvesticij, zlasti v:</w:t>
      </w:r>
    </w:p>
    <w:p w14:paraId="0739AAF2" w14:textId="6F9267E4" w:rsidR="003C6015" w:rsidRPr="00DD6A04" w:rsidRDefault="003237DF" w:rsidP="00BD7FBD">
      <w:pPr>
        <w:numPr>
          <w:ilvl w:val="0"/>
          <w:numId w:val="31"/>
        </w:numPr>
        <w:spacing w:before="0" w:after="200" w:line="240" w:lineRule="auto"/>
        <w:ind w:left="360"/>
        <w:jc w:val="both"/>
        <w:rPr>
          <w:rFonts w:eastAsia="Times New Roman"/>
          <w:noProof/>
          <w:color w:val="000000"/>
        </w:rPr>
      </w:pPr>
      <w:r>
        <w:rPr>
          <w:noProof/>
          <w:color w:val="000000" w:themeColor="text1"/>
        </w:rPr>
        <w:t>usposabljanja na področju digitalnih spretnosti, kjer naj bi bilo opravljenih vsaj 40 000 udeležb javnih uslužbencev,</w:t>
      </w:r>
    </w:p>
    <w:p w14:paraId="4A5FAE26" w14:textId="77777777" w:rsidR="003C6015" w:rsidRPr="00DD6A04" w:rsidRDefault="003C6015" w:rsidP="00BD7FBD">
      <w:pPr>
        <w:numPr>
          <w:ilvl w:val="0"/>
          <w:numId w:val="31"/>
        </w:numPr>
        <w:spacing w:before="0" w:after="200" w:line="240" w:lineRule="auto"/>
        <w:ind w:left="360"/>
        <w:jc w:val="both"/>
        <w:rPr>
          <w:rFonts w:eastAsia="Times New Roman"/>
          <w:noProof/>
          <w:color w:val="000000"/>
          <w:szCs w:val="24"/>
        </w:rPr>
      </w:pPr>
      <w:r>
        <w:rPr>
          <w:noProof/>
          <w:color w:val="000000"/>
        </w:rPr>
        <w:t>digitalno platformo e-Zakonodaja za pripravo, sprejetje in objavo nacionalne zakonodaje in predpisov,</w:t>
      </w:r>
    </w:p>
    <w:p w14:paraId="53A8D666" w14:textId="77777777" w:rsidR="003C6015" w:rsidRPr="00DD6A04" w:rsidRDefault="003C6015" w:rsidP="00BD7FBD">
      <w:pPr>
        <w:numPr>
          <w:ilvl w:val="0"/>
          <w:numId w:val="31"/>
        </w:numPr>
        <w:spacing w:before="0" w:after="200" w:line="240" w:lineRule="auto"/>
        <w:ind w:left="360"/>
        <w:jc w:val="both"/>
        <w:rPr>
          <w:rFonts w:eastAsia="Times New Roman"/>
          <w:noProof/>
          <w:color w:val="000000"/>
          <w:szCs w:val="24"/>
        </w:rPr>
      </w:pPr>
      <w:r>
        <w:rPr>
          <w:noProof/>
          <w:color w:val="000000"/>
        </w:rPr>
        <w:t xml:space="preserve">večdržavni projekt v zvezi z vzpostavitvijo in operacionalizacijo nacionalne infrastrukture za kvantno komunikacijo (QCI) ter njeno povezavo z nacionalnimi omrežji sosednjih držav in namenskimi sateliti drugih omrežij. </w:t>
      </w:r>
    </w:p>
    <w:p w14:paraId="0F35E4CB" w14:textId="77777777" w:rsidR="003C6015" w:rsidRPr="00DD6A04" w:rsidRDefault="003C6015" w:rsidP="003C6015">
      <w:pPr>
        <w:spacing w:line="240" w:lineRule="auto"/>
        <w:jc w:val="both"/>
        <w:rPr>
          <w:rFonts w:eastAsia="Times New Roman"/>
          <w:noProof/>
          <w:szCs w:val="24"/>
        </w:rPr>
      </w:pPr>
      <w:r>
        <w:rPr>
          <w:noProof/>
        </w:rPr>
        <w:t>Investicija bo dokončana do 30. junija 2026.</w:t>
      </w:r>
    </w:p>
    <w:p w14:paraId="2196FC24" w14:textId="77777777" w:rsidR="003C6015" w:rsidRPr="00DD6A04" w:rsidRDefault="003C6015" w:rsidP="003C6015">
      <w:pPr>
        <w:spacing w:line="240" w:lineRule="auto"/>
        <w:jc w:val="both"/>
        <w:rPr>
          <w:rFonts w:eastAsia="Times New Roman"/>
          <w:noProof/>
          <w:u w:val="single"/>
        </w:rPr>
      </w:pPr>
      <w:r>
        <w:rPr>
          <w:noProof/>
          <w:u w:val="single"/>
        </w:rPr>
        <w:t>Investicija H. Gigabitna infrastruktura</w:t>
      </w:r>
    </w:p>
    <w:p w14:paraId="3853B3FD" w14:textId="77777777" w:rsidR="003C6015" w:rsidRPr="00DD6A04" w:rsidRDefault="003C6015" w:rsidP="003C6015">
      <w:pPr>
        <w:spacing w:line="240" w:lineRule="auto"/>
        <w:jc w:val="both"/>
        <w:rPr>
          <w:rFonts w:eastAsia="Times New Roman"/>
          <w:noProof/>
        </w:rPr>
      </w:pPr>
      <w:r>
        <w:rPr>
          <w:noProof/>
        </w:rPr>
        <w:t xml:space="preserve">Cilj investicije je omogočiti vzpostavitev infrastrukture za širokopasovni dostop do nadgradljivih zelo visokozmogljivih omrežij. </w:t>
      </w:r>
    </w:p>
    <w:p w14:paraId="7E2CD29D" w14:textId="5EA89727" w:rsidR="003C6015" w:rsidRPr="00DD6A04" w:rsidRDefault="003C6015" w:rsidP="003C6015">
      <w:pPr>
        <w:spacing w:line="240" w:lineRule="auto"/>
        <w:jc w:val="both"/>
        <w:rPr>
          <w:rFonts w:eastAsia="Times New Roman"/>
          <w:noProof/>
        </w:rPr>
      </w:pPr>
      <w:r>
        <w:rPr>
          <w:noProof/>
        </w:rPr>
        <w:t xml:space="preserve">Investicija bo podpirala izgradnjo zelo visokozmogljivih širokopasovnih omrežij za najmanj 6 838 gospodinjstev na območjih „belih lis“, predvsem na redko poseljenih in težko dostopnih območjih. Projekti bodo imeli minimalen vpliv na prostor in okolje, saj se bo dajala prednost skupni uporabi obstoječe infrastrukture ter skupni gradnji in povezovanju z drugimi investicijami v infrastrukturo. </w:t>
      </w:r>
    </w:p>
    <w:p w14:paraId="1898CBD8" w14:textId="77777777" w:rsidR="003C6015" w:rsidRPr="00DD6A04" w:rsidRDefault="003C6015" w:rsidP="003C6015">
      <w:pPr>
        <w:spacing w:line="240" w:lineRule="auto"/>
        <w:jc w:val="both"/>
        <w:rPr>
          <w:rFonts w:eastAsia="Times New Roman"/>
          <w:noProof/>
        </w:rPr>
      </w:pPr>
      <w:r>
        <w:rPr>
          <w:noProof/>
        </w:rPr>
        <w:t>Investicija bo dokončana do 30. junija 2026.</w:t>
      </w:r>
    </w:p>
    <w:p w14:paraId="4202F683" w14:textId="77777777" w:rsidR="003C6015" w:rsidRPr="00DD6A04" w:rsidRDefault="003C6015" w:rsidP="003C6015">
      <w:pPr>
        <w:spacing w:line="240" w:lineRule="auto"/>
        <w:jc w:val="both"/>
        <w:rPr>
          <w:rFonts w:eastAsia="Times New Roman"/>
          <w:noProof/>
          <w:u w:val="single"/>
        </w:rPr>
      </w:pPr>
      <w:r>
        <w:rPr>
          <w:noProof/>
          <w:u w:val="single"/>
        </w:rPr>
        <w:t>Investicija I. Digitalizacija notranje varnosti</w:t>
      </w:r>
    </w:p>
    <w:p w14:paraId="06B7D516" w14:textId="77777777" w:rsidR="003C6015" w:rsidRPr="00DD6A04" w:rsidRDefault="003C6015" w:rsidP="003C6015">
      <w:pPr>
        <w:spacing w:line="240" w:lineRule="auto"/>
        <w:jc w:val="both"/>
        <w:rPr>
          <w:rFonts w:eastAsia="Times New Roman"/>
          <w:noProof/>
        </w:rPr>
      </w:pPr>
      <w:r>
        <w:rPr>
          <w:noProof/>
        </w:rPr>
        <w:t>Cilj investicije je izboljšati in nadgraditi tehnologijo, ki je na voljo na ravni slovenske policije, da se optimizirajo in podprejo delovni postopki.</w:t>
      </w:r>
    </w:p>
    <w:p w14:paraId="55766A22" w14:textId="77777777" w:rsidR="003C6015" w:rsidRPr="00DD6A04" w:rsidRDefault="003C6015" w:rsidP="003C6015">
      <w:pPr>
        <w:spacing w:line="240" w:lineRule="auto"/>
        <w:jc w:val="both"/>
        <w:rPr>
          <w:rFonts w:eastAsia="Times New Roman"/>
          <w:noProof/>
        </w:rPr>
      </w:pPr>
      <w:r>
        <w:rPr>
          <w:noProof/>
        </w:rPr>
        <w:t xml:space="preserve">Za potrebe nacionalne policije bo vzpostavljen in operativen zaseben oblak, ki bo interoperabilen z obstoječimi sistemi na ravni države. Ta oblak naj bi zagotovil nemoteno delovanje policijskih aplikacij. </w:t>
      </w:r>
    </w:p>
    <w:p w14:paraId="3AD27C95" w14:textId="77777777" w:rsidR="003C6015" w:rsidRPr="00DD6A04" w:rsidRDefault="003C6015" w:rsidP="003C6015">
      <w:pPr>
        <w:spacing w:line="240" w:lineRule="auto"/>
        <w:jc w:val="both"/>
        <w:rPr>
          <w:rFonts w:eastAsia="Times New Roman"/>
          <w:noProof/>
        </w:rPr>
      </w:pPr>
      <w:r>
        <w:rPr>
          <w:noProof/>
        </w:rPr>
        <w:t xml:space="preserve">Za potrebe nacionalne policije bo na celotnem območju države vzpostavljena in operativna tudi infrastruktura digitalnega radijskega omrežja po standardu TETRA. Omrežje bo združljivo z drugimi nacionalnimi radijskimi sistemi sosednjih držav. </w:t>
      </w:r>
    </w:p>
    <w:p w14:paraId="38023EFD" w14:textId="77777777" w:rsidR="003C6015" w:rsidRPr="00DD6A04" w:rsidRDefault="003C6015" w:rsidP="003C6015">
      <w:pPr>
        <w:spacing w:line="240" w:lineRule="auto"/>
        <w:jc w:val="both"/>
        <w:rPr>
          <w:rFonts w:eastAsia="Times New Roman"/>
          <w:noProof/>
          <w:szCs w:val="24"/>
        </w:rPr>
      </w:pPr>
      <w:r>
        <w:rPr>
          <w:noProof/>
        </w:rPr>
        <w:t>Mejniki in cilji v zvezi z izvedbo investicije bodo doseženi do 31. decembra 2025.</w:t>
      </w:r>
    </w:p>
    <w:p w14:paraId="4937481A" w14:textId="2D143542" w:rsidR="003C6015" w:rsidRPr="00DD6A04" w:rsidRDefault="003C6015" w:rsidP="003C6015">
      <w:pPr>
        <w:spacing w:line="240" w:lineRule="auto"/>
        <w:jc w:val="both"/>
        <w:rPr>
          <w:rFonts w:eastAsia="Times New Roman"/>
          <w:noProof/>
          <w:u w:val="single"/>
        </w:rPr>
      </w:pPr>
      <w:r>
        <w:rPr>
          <w:noProof/>
          <w:u w:val="single"/>
        </w:rPr>
        <w:t xml:space="preserve">Investicija J. Digitalizacija izobraževanja in znanosti </w:t>
      </w:r>
    </w:p>
    <w:p w14:paraId="68D5DF44" w14:textId="77777777" w:rsidR="003C6015" w:rsidRPr="00DD6A04" w:rsidRDefault="003C6015" w:rsidP="003C6015">
      <w:pPr>
        <w:spacing w:line="240" w:lineRule="auto"/>
        <w:jc w:val="both"/>
        <w:rPr>
          <w:rFonts w:eastAsia="Times New Roman"/>
          <w:noProof/>
        </w:rPr>
      </w:pPr>
      <w:r>
        <w:rPr>
          <w:noProof/>
        </w:rPr>
        <w:t>Cilji investicije so digitalizirati pedagoški proces in vodenje zavodov na vseh ravneh izobraževanja, zagotoviti ustrezno informacijsko in komunikacijsko infrastrukturo ter zagotoviti ustrezne e-storitve za razvoj digitalnih kompetenc. V raziskovalnih organizacijah bodo zagotovljeni visokohitrostna povezljivost, shranjevanje podatkov ter krepitev kompetenc za odprte podatke in odprto znanost. To naj bi prispevalo k razvoju digitalnih znanj, spretnosti in kompetenc ter zmanjšanju digitalnega razkoraka.</w:t>
      </w:r>
    </w:p>
    <w:p w14:paraId="6FE31B07" w14:textId="77777777" w:rsidR="003C6015" w:rsidRPr="00DD6A04" w:rsidRDefault="003C6015" w:rsidP="003C6015">
      <w:pPr>
        <w:spacing w:line="240" w:lineRule="auto"/>
        <w:jc w:val="both"/>
        <w:rPr>
          <w:rFonts w:eastAsia="Times New Roman"/>
          <w:noProof/>
        </w:rPr>
      </w:pPr>
      <w:r>
        <w:rPr>
          <w:noProof/>
        </w:rPr>
        <w:t>Investicija bo zagotovila zlasti:</w:t>
      </w:r>
    </w:p>
    <w:p w14:paraId="7690C7E3" w14:textId="77777777" w:rsidR="003C6015" w:rsidRPr="00DD6A04" w:rsidRDefault="003C6015" w:rsidP="00BD7FBD">
      <w:pPr>
        <w:numPr>
          <w:ilvl w:val="0"/>
          <w:numId w:val="32"/>
        </w:numPr>
        <w:spacing w:before="0" w:after="200" w:line="259" w:lineRule="auto"/>
        <w:ind w:left="360"/>
        <w:contextualSpacing/>
        <w:jc w:val="both"/>
        <w:rPr>
          <w:rFonts w:eastAsia="Times New Roman"/>
          <w:noProof/>
          <w:szCs w:val="24"/>
        </w:rPr>
      </w:pPr>
      <w:r>
        <w:rPr>
          <w:noProof/>
        </w:rPr>
        <w:t>povezljivost za osnovnošolske in srednješolske zavode, višje strokovne šole ter organizacije za izobraževanje odraslih,</w:t>
      </w:r>
    </w:p>
    <w:p w14:paraId="2B51427B" w14:textId="77777777" w:rsidR="003C6015" w:rsidRPr="00DD6A04" w:rsidRDefault="003C6015" w:rsidP="00BD7FBD">
      <w:pPr>
        <w:numPr>
          <w:ilvl w:val="0"/>
          <w:numId w:val="32"/>
        </w:numPr>
        <w:spacing w:before="0" w:after="200" w:line="259" w:lineRule="auto"/>
        <w:ind w:left="360"/>
        <w:contextualSpacing/>
        <w:jc w:val="both"/>
        <w:rPr>
          <w:rFonts w:eastAsia="Times New Roman"/>
          <w:noProof/>
        </w:rPr>
      </w:pPr>
      <w:r>
        <w:rPr>
          <w:noProof/>
        </w:rPr>
        <w:t>razvoj in operacionalizacijo novih rešitev IT v podporo digitalizaciji pedagoškega procesa za vse ravni izobraževanja,</w:t>
      </w:r>
    </w:p>
    <w:p w14:paraId="67703BA1" w14:textId="77777777" w:rsidR="003C6015" w:rsidRPr="00DD6A04" w:rsidRDefault="003C6015" w:rsidP="00BD7FBD">
      <w:pPr>
        <w:numPr>
          <w:ilvl w:val="0"/>
          <w:numId w:val="32"/>
        </w:numPr>
        <w:spacing w:before="0" w:after="200" w:line="259" w:lineRule="auto"/>
        <w:ind w:left="360"/>
        <w:contextualSpacing/>
        <w:jc w:val="both"/>
        <w:rPr>
          <w:rFonts w:eastAsia="Times New Roman"/>
          <w:noProof/>
        </w:rPr>
      </w:pPr>
      <w:r>
        <w:rPr>
          <w:noProof/>
        </w:rPr>
        <w:t>visokohitrostno hrbtenično optično omrežje med vstopnimi točkami Akademske in raziskovalne mreže Slovenije (Arnes) ter odložišči podatkov za ohranjanje rezultatov odprtih raziskav.</w:t>
      </w:r>
    </w:p>
    <w:p w14:paraId="0CC1A826" w14:textId="77777777" w:rsidR="003C6015" w:rsidRPr="00DD6A04" w:rsidRDefault="003C6015" w:rsidP="003C6015">
      <w:pPr>
        <w:spacing w:line="240" w:lineRule="auto"/>
        <w:jc w:val="both"/>
        <w:rPr>
          <w:rFonts w:eastAsia="Times New Roman"/>
          <w:noProof/>
          <w:szCs w:val="24"/>
          <w:u w:val="single"/>
        </w:rPr>
      </w:pPr>
      <w:r>
        <w:rPr>
          <w:noProof/>
        </w:rPr>
        <w:t>Cilji v zvezi z izvedbo investicije bodo doseženi do 31. decembra 2025.</w:t>
      </w:r>
    </w:p>
    <w:p w14:paraId="7C5C658F" w14:textId="77777777" w:rsidR="003C6015" w:rsidRPr="00DD6A04" w:rsidRDefault="003C6015" w:rsidP="003C6015">
      <w:pPr>
        <w:spacing w:line="240" w:lineRule="auto"/>
        <w:jc w:val="both"/>
        <w:rPr>
          <w:rFonts w:eastAsia="Times New Roman"/>
          <w:noProof/>
          <w:u w:val="single"/>
        </w:rPr>
      </w:pPr>
      <w:r>
        <w:rPr>
          <w:noProof/>
          <w:u w:val="single"/>
        </w:rPr>
        <w:t>Investicija K. Zeleni slovenski lokacijski okvir</w:t>
      </w:r>
    </w:p>
    <w:p w14:paraId="7FB12225" w14:textId="77777777" w:rsidR="003C6015" w:rsidRPr="00DD6A04" w:rsidRDefault="003C6015" w:rsidP="003C6015">
      <w:pPr>
        <w:suppressAutoHyphens/>
        <w:autoSpaceDN w:val="0"/>
        <w:spacing w:line="240" w:lineRule="auto"/>
        <w:jc w:val="both"/>
        <w:textAlignment w:val="baseline"/>
        <w:rPr>
          <w:rFonts w:eastAsia="Times New Roman"/>
          <w:noProof/>
        </w:rPr>
      </w:pPr>
      <w:r>
        <w:rPr>
          <w:noProof/>
        </w:rPr>
        <w:t xml:space="preserve">Cilj investicije je spodbujati pametno upravljanje prostora kot omejenega naravnega vira in omejiti gradnjo na novih zemljiščih ter tako povečati odpornost na podnebne spremembe. Poleg tega naj bi se z investicijo zagotovili prostorski podatki in storitve v realnem času na podlagi kombinirane uporabe nepremičninskih evidenc ter evidenc okolja, voda, gospodarska javne infrastrukture in stavbnih zemljišč. </w:t>
      </w:r>
    </w:p>
    <w:p w14:paraId="4977E7BE" w14:textId="77777777" w:rsidR="003C6015" w:rsidRPr="00DD6A04" w:rsidRDefault="003C6015" w:rsidP="003C6015">
      <w:pPr>
        <w:spacing w:line="240" w:lineRule="auto"/>
        <w:jc w:val="both"/>
        <w:rPr>
          <w:rFonts w:eastAsia="Times New Roman"/>
          <w:noProof/>
        </w:rPr>
      </w:pPr>
      <w:r>
        <w:rPr>
          <w:noProof/>
        </w:rPr>
        <w:t>Investicija bo zagotovila, da bodo ključni digitalni prostorski in okoljski podatki medsebojno povezani. To naj bi podprlo razvoj in operacionalizacijo digitalnih storitev, povezanih zlasti z okoljem, poplavnimi območji, zemljiško politiko na lokalni in nacionalni ravni ter udeležbo javnosti pri prostorskem načrtovanju.</w:t>
      </w:r>
    </w:p>
    <w:p w14:paraId="18023912" w14:textId="77777777" w:rsidR="003C6015" w:rsidRPr="00DD6A04" w:rsidRDefault="003C6015" w:rsidP="003C6015">
      <w:pPr>
        <w:spacing w:line="240" w:lineRule="auto"/>
        <w:jc w:val="both"/>
        <w:rPr>
          <w:rFonts w:eastAsia="Times New Roman"/>
          <w:noProof/>
          <w:szCs w:val="24"/>
        </w:rPr>
      </w:pPr>
      <w:r>
        <w:rPr>
          <w:noProof/>
        </w:rPr>
        <w:t>Cilji v zvezi z izvedbo investicije bodo doseženi do 31. decembra 2025.</w:t>
      </w:r>
    </w:p>
    <w:p w14:paraId="2854213C" w14:textId="77777777" w:rsidR="003C6015" w:rsidRPr="00DD6A04" w:rsidRDefault="003C6015" w:rsidP="003C6015">
      <w:pPr>
        <w:spacing w:line="240" w:lineRule="auto"/>
        <w:jc w:val="both"/>
        <w:rPr>
          <w:rFonts w:eastAsia="Times New Roman"/>
          <w:noProof/>
          <w:u w:val="single"/>
        </w:rPr>
      </w:pPr>
      <w:r>
        <w:rPr>
          <w:noProof/>
          <w:u w:val="single"/>
        </w:rPr>
        <w:t>Investicija L. Digitalni prehod na področju kmetijstva, prehrane in gozdarstva</w:t>
      </w:r>
    </w:p>
    <w:p w14:paraId="3E8BCF64" w14:textId="77777777" w:rsidR="003C6015" w:rsidRPr="00DD6A04" w:rsidRDefault="003C6015" w:rsidP="003C6015">
      <w:pPr>
        <w:spacing w:line="240" w:lineRule="auto"/>
        <w:jc w:val="both"/>
        <w:rPr>
          <w:rFonts w:eastAsia="Times New Roman"/>
          <w:noProof/>
        </w:rPr>
      </w:pPr>
      <w:r>
        <w:rPr>
          <w:noProof/>
        </w:rPr>
        <w:t>Cilja investicije sta poenostaviti upravno breme za upravičence prihodnje skupne kmetijske politike in gozdarski sektor ter zagotoviti boljše podatke za nosilce odločanja.</w:t>
      </w:r>
    </w:p>
    <w:p w14:paraId="14A00BF1" w14:textId="77777777" w:rsidR="003C6015" w:rsidRPr="00DD6A04" w:rsidRDefault="003C6015" w:rsidP="003C6015">
      <w:pPr>
        <w:spacing w:line="240" w:lineRule="auto"/>
        <w:jc w:val="both"/>
        <w:rPr>
          <w:rFonts w:eastAsia="Times New Roman"/>
          <w:noProof/>
        </w:rPr>
      </w:pPr>
      <w:r>
        <w:rPr>
          <w:noProof/>
        </w:rPr>
        <w:t>Investicija vključuje zlasti razvoj podatkovnega skladišča, ki naj bi omogočil povezovanje in razširjanje podatkov, podporo delu Uprave za varno hrano, veterinarstvo in varstvo rastlin ter digitalizacijo podatkovnih zbirk v živinoreji. Na podlagi tega bodo na področju kmetijstva, prehrane, gozdarstva, javne službe kmetijskega svetovanja ter spremljanja in inšpekcijskega nadzora razvite e-storitve.</w:t>
      </w:r>
    </w:p>
    <w:p w14:paraId="5AF6E382" w14:textId="77777777" w:rsidR="003C6015" w:rsidRPr="00DD6A04" w:rsidRDefault="003C6015" w:rsidP="003C6015">
      <w:pPr>
        <w:spacing w:line="240" w:lineRule="auto"/>
        <w:jc w:val="both"/>
        <w:rPr>
          <w:rFonts w:eastAsia="Times New Roman"/>
          <w:noProof/>
          <w:u w:val="single"/>
        </w:rPr>
      </w:pPr>
      <w:r>
        <w:rPr>
          <w:noProof/>
        </w:rPr>
        <w:t>Investicija bo dokončana do 30. junija 2026.</w:t>
      </w:r>
    </w:p>
    <w:p w14:paraId="50EF98F1" w14:textId="77777777" w:rsidR="003C6015" w:rsidRPr="00DD6A04" w:rsidRDefault="003C6015" w:rsidP="003C6015">
      <w:pPr>
        <w:spacing w:line="240" w:lineRule="auto"/>
        <w:jc w:val="both"/>
        <w:rPr>
          <w:rFonts w:eastAsia="Times New Roman"/>
          <w:noProof/>
          <w:u w:val="single"/>
        </w:rPr>
      </w:pPr>
      <w:r>
        <w:rPr>
          <w:noProof/>
          <w:u w:val="single"/>
        </w:rPr>
        <w:t>Investicija M. Digitalizacija na področju kulture</w:t>
      </w:r>
    </w:p>
    <w:p w14:paraId="12CB3876" w14:textId="50F88B83" w:rsidR="003C6015" w:rsidRPr="00DD6A04" w:rsidRDefault="003C6015" w:rsidP="003C6015">
      <w:pPr>
        <w:spacing w:line="240" w:lineRule="auto"/>
        <w:jc w:val="both"/>
        <w:rPr>
          <w:rFonts w:eastAsia="Times New Roman"/>
          <w:noProof/>
        </w:rPr>
      </w:pPr>
      <w:r>
        <w:rPr>
          <w:noProof/>
        </w:rPr>
        <w:t>Cilji investicije so povečati dostopnost kulturne dediščine, optimizirati postopke za prijavljanje kulturnih spomenikov in pridobitev kulturnovarstvenih soglasij za posege v dediščino ter podpirati e-arhiviranje.</w:t>
      </w:r>
    </w:p>
    <w:p w14:paraId="1941B15B" w14:textId="77777777" w:rsidR="003C6015" w:rsidRPr="00DD6A04" w:rsidRDefault="003C6015" w:rsidP="003C6015">
      <w:pPr>
        <w:spacing w:line="240" w:lineRule="auto"/>
        <w:jc w:val="both"/>
        <w:rPr>
          <w:rFonts w:eastAsia="Times New Roman"/>
          <w:noProof/>
        </w:rPr>
      </w:pPr>
      <w:r>
        <w:rPr>
          <w:noProof/>
        </w:rPr>
        <w:t xml:space="preserve">Investicija vključuje vzpostavitev informacijske platforme e-Kultura, da se izboljša infrastruktura in zagotovi vključitev digitalnih kulturnih vsebin v procese izobraževanja na daljavo, ter razvoj kompetenc ustvarjalcev s področja kulture za ustvarjanje digitalnih vsebin v turistične namene. E-storitve bodo operativne in uporabljale jih bodo kulturne ustanove. </w:t>
      </w:r>
    </w:p>
    <w:p w14:paraId="083DA32A" w14:textId="77777777" w:rsidR="003C6015" w:rsidRPr="00DD6A04" w:rsidRDefault="003C6015" w:rsidP="003C6015">
      <w:pPr>
        <w:spacing w:line="240" w:lineRule="auto"/>
        <w:jc w:val="both"/>
        <w:rPr>
          <w:rFonts w:eastAsia="Times New Roman"/>
          <w:noProof/>
        </w:rPr>
      </w:pPr>
      <w:r>
        <w:rPr>
          <w:noProof/>
        </w:rPr>
        <w:t>K preoblikovanju tega sektorja naj bi prispevala sistem e-Dediščina za posodobitev in vzpostavitev dinamičnih e-storitev za varstvo kulturne dediščine ter posodobitev slovenskega sistema e-ARH.si za e-arhiviranje.</w:t>
      </w:r>
    </w:p>
    <w:p w14:paraId="3FA93117" w14:textId="2B59422C" w:rsidR="003C6015" w:rsidRPr="00DD6A04" w:rsidRDefault="003C6015" w:rsidP="3531102F">
      <w:pPr>
        <w:spacing w:line="240" w:lineRule="auto"/>
        <w:jc w:val="both"/>
        <w:rPr>
          <w:rFonts w:eastAsia="Times New Roman"/>
          <w:noProof/>
        </w:rPr>
      </w:pPr>
      <w:r>
        <w:rPr>
          <w:noProof/>
        </w:rPr>
        <w:t>Cilji v zvezi z izvedbo investicije bodo doseženi do 30. junija 2026.</w:t>
      </w:r>
    </w:p>
    <w:p w14:paraId="58CD06FC" w14:textId="77777777" w:rsidR="003C6015" w:rsidRPr="00DD6A04" w:rsidRDefault="003C6015" w:rsidP="003C6015">
      <w:pPr>
        <w:spacing w:line="240" w:lineRule="auto"/>
        <w:jc w:val="both"/>
        <w:rPr>
          <w:rFonts w:eastAsia="Times New Roman"/>
          <w:noProof/>
          <w:u w:val="single"/>
        </w:rPr>
      </w:pPr>
      <w:r>
        <w:rPr>
          <w:noProof/>
          <w:u w:val="single"/>
        </w:rPr>
        <w:t>Investicija N. Digitalizacija pravosodja</w:t>
      </w:r>
    </w:p>
    <w:p w14:paraId="4C91E443" w14:textId="77777777" w:rsidR="003C6015" w:rsidRPr="00DD6A04" w:rsidRDefault="003C6015" w:rsidP="003C6015">
      <w:pPr>
        <w:spacing w:line="240" w:lineRule="auto"/>
        <w:jc w:val="both"/>
        <w:rPr>
          <w:rFonts w:eastAsia="Times New Roman"/>
          <w:noProof/>
        </w:rPr>
      </w:pPr>
      <w:r>
        <w:rPr>
          <w:noProof/>
        </w:rPr>
        <w:t xml:space="preserve">Cilj investicije je izboljšati dostopnost pravosodja za podjetja in državljane. </w:t>
      </w:r>
    </w:p>
    <w:p w14:paraId="13EEBBB4" w14:textId="77777777" w:rsidR="003C6015" w:rsidRPr="00DD6A04" w:rsidRDefault="003C6015" w:rsidP="003C6015">
      <w:pPr>
        <w:spacing w:line="240" w:lineRule="auto"/>
        <w:jc w:val="both"/>
        <w:rPr>
          <w:rFonts w:eastAsia="Times New Roman"/>
          <w:noProof/>
        </w:rPr>
      </w:pPr>
      <w:r>
        <w:rPr>
          <w:noProof/>
        </w:rPr>
        <w:t xml:space="preserve">Z investicijo se bosta pospešila nadaljnja digitalizacija storitev in razvoj novih rešitev IT, da se zagotovi celovita izmenjava informacij in pravne dokumentacije ter prispeva k hitrejšemu reševanju sodnih postopkov. Z varno in kakovostno avdiovizualno opremo se bo izboljšal dostop za državljane in podjetja. Za Center za izobraževanje v pravosodju bo razvit sistem za usposabljanje na daljavo in digitalizacijo izpitov. </w:t>
      </w:r>
    </w:p>
    <w:p w14:paraId="48A3A84E" w14:textId="77777777" w:rsidR="003C6015" w:rsidRPr="00DD6A04" w:rsidRDefault="003C6015" w:rsidP="003C6015">
      <w:pPr>
        <w:spacing w:line="240" w:lineRule="auto"/>
        <w:rPr>
          <w:rFonts w:eastAsia="Times New Roman"/>
          <w:noProof/>
          <w:szCs w:val="24"/>
        </w:rPr>
        <w:sectPr w:rsidR="003C6015" w:rsidRPr="00DD6A04" w:rsidSect="00073927">
          <w:headerReference w:type="even" r:id="rId138"/>
          <w:headerReference w:type="default" r:id="rId139"/>
          <w:footerReference w:type="even" r:id="rId140"/>
          <w:footerReference w:type="default" r:id="rId141"/>
          <w:headerReference w:type="first" r:id="rId142"/>
          <w:footerReference w:type="first" r:id="rId143"/>
          <w:pgSz w:w="11907" w:h="16839"/>
          <w:pgMar w:top="1134" w:right="1134" w:bottom="1134" w:left="1134" w:header="567" w:footer="567" w:gutter="0"/>
          <w:cols w:space="720"/>
          <w:docGrid w:linePitch="326"/>
        </w:sectPr>
      </w:pPr>
      <w:r>
        <w:rPr>
          <w:noProof/>
        </w:rPr>
        <w:t>Investicija bo dokončana do 30. junija 2026.</w:t>
      </w:r>
    </w:p>
    <w:p w14:paraId="497C8FDA" w14:textId="429B8AE2" w:rsidR="003C6015" w:rsidRPr="00DD6A04" w:rsidRDefault="003C6015" w:rsidP="003C6015">
      <w:pPr>
        <w:spacing w:before="0" w:line="240" w:lineRule="auto"/>
        <w:ind w:left="850"/>
        <w:jc w:val="both"/>
        <w:rPr>
          <w:b/>
          <w:noProof/>
          <w:u w:val="single"/>
        </w:rPr>
      </w:pPr>
      <w:r>
        <w:rPr>
          <w:b/>
          <w:noProof/>
          <w:u w:val="single"/>
        </w:rPr>
        <w:t xml:space="preserve">G.2 </w:t>
      </w:r>
      <w:r>
        <w:rPr>
          <w:b/>
          <w:noProof/>
          <w:u w:val="single"/>
        </w:rPr>
        <w:tab/>
        <w:t>Mejniki, cilji, kazalniki in časovni razpored za spremljanje in izvajanje nepovratne finančne podpore</w:t>
      </w:r>
    </w:p>
    <w:p w14:paraId="2FA5DA59" w14:textId="77777777" w:rsidR="001E76D1" w:rsidRPr="00DD6A04" w:rsidRDefault="001E76D1" w:rsidP="003C6015">
      <w:pPr>
        <w:spacing w:before="0" w:line="240" w:lineRule="auto"/>
        <w:ind w:left="850"/>
        <w:jc w:val="both"/>
        <w:rPr>
          <w:b/>
          <w:noProof/>
          <w:u w:val="single"/>
          <w:lang w:val="en-GB"/>
        </w:rPr>
      </w:pP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523"/>
        <w:gridCol w:w="1016"/>
        <w:gridCol w:w="1559"/>
        <w:gridCol w:w="1947"/>
        <w:gridCol w:w="1103"/>
        <w:gridCol w:w="1000"/>
        <w:gridCol w:w="912"/>
        <w:gridCol w:w="813"/>
        <w:gridCol w:w="707"/>
        <w:gridCol w:w="3361"/>
      </w:tblGrid>
      <w:tr w:rsidR="001E76D1" w:rsidRPr="00DD6A04" w14:paraId="2E91FFEF" w14:textId="77777777" w:rsidTr="00A70F67">
        <w:trPr>
          <w:trHeight w:val="740"/>
          <w:tblHeader/>
          <w:jc w:val="center"/>
        </w:trPr>
        <w:tc>
          <w:tcPr>
            <w:tcW w:w="1381" w:type="dxa"/>
            <w:vMerge w:val="restart"/>
            <w:shd w:val="clear" w:color="auto" w:fill="BDD7EE"/>
            <w:vAlign w:val="center"/>
            <w:hideMark/>
          </w:tcPr>
          <w:p w14:paraId="2334C62C" w14:textId="77777777" w:rsidR="001E76D1" w:rsidRPr="00DD6A04" w:rsidRDefault="001E76D1">
            <w:pPr>
              <w:spacing w:before="0" w:after="0" w:line="240" w:lineRule="auto"/>
              <w:jc w:val="center"/>
              <w:rPr>
                <w:rFonts w:eastAsia="Times New Roman"/>
                <w:b/>
                <w:noProof/>
              </w:rPr>
            </w:pPr>
            <w:r>
              <w:rPr>
                <w:b/>
                <w:noProof/>
              </w:rPr>
              <w:t>Zaporedna številka</w:t>
            </w:r>
          </w:p>
        </w:tc>
        <w:tc>
          <w:tcPr>
            <w:tcW w:w="1523" w:type="dxa"/>
            <w:vMerge w:val="restart"/>
            <w:shd w:val="clear" w:color="auto" w:fill="BDD7EE"/>
            <w:vAlign w:val="center"/>
            <w:hideMark/>
          </w:tcPr>
          <w:p w14:paraId="3AA33C88" w14:textId="77777777" w:rsidR="001E76D1" w:rsidRPr="00DD6A04" w:rsidRDefault="001E76D1">
            <w:pPr>
              <w:spacing w:before="0" w:after="0" w:line="240" w:lineRule="auto"/>
              <w:jc w:val="center"/>
              <w:rPr>
                <w:rFonts w:eastAsia="Times New Roman"/>
                <w:b/>
                <w:noProof/>
              </w:rPr>
            </w:pPr>
            <w:r>
              <w:rPr>
                <w:b/>
                <w:noProof/>
              </w:rPr>
              <w:t>Povezani ukrep (reforma ali naložba)</w:t>
            </w:r>
          </w:p>
        </w:tc>
        <w:tc>
          <w:tcPr>
            <w:tcW w:w="1016" w:type="dxa"/>
            <w:vMerge w:val="restart"/>
            <w:shd w:val="clear" w:color="auto" w:fill="BDD7EE"/>
            <w:vAlign w:val="center"/>
            <w:hideMark/>
          </w:tcPr>
          <w:p w14:paraId="2356103D" w14:textId="77777777" w:rsidR="001E76D1" w:rsidRPr="00DD6A04" w:rsidRDefault="001E76D1">
            <w:pPr>
              <w:spacing w:before="0" w:after="0" w:line="240" w:lineRule="auto"/>
              <w:jc w:val="center"/>
              <w:rPr>
                <w:rFonts w:eastAsia="Times New Roman"/>
                <w:b/>
                <w:noProof/>
              </w:rPr>
            </w:pPr>
            <w:r>
              <w:rPr>
                <w:b/>
                <w:noProof/>
              </w:rPr>
              <w:t>Mejnik/cilj</w:t>
            </w:r>
          </w:p>
        </w:tc>
        <w:tc>
          <w:tcPr>
            <w:tcW w:w="1559" w:type="dxa"/>
            <w:vMerge w:val="restart"/>
            <w:shd w:val="clear" w:color="auto" w:fill="BDD7EE"/>
            <w:vAlign w:val="center"/>
            <w:hideMark/>
          </w:tcPr>
          <w:p w14:paraId="37B9BE0A" w14:textId="77777777" w:rsidR="001E76D1" w:rsidRPr="00DD6A04" w:rsidRDefault="001E76D1">
            <w:pPr>
              <w:spacing w:before="0" w:after="0" w:line="240" w:lineRule="auto"/>
              <w:jc w:val="center"/>
              <w:rPr>
                <w:rFonts w:eastAsia="Times New Roman"/>
                <w:b/>
                <w:noProof/>
              </w:rPr>
            </w:pPr>
            <w:r>
              <w:rPr>
                <w:b/>
                <w:noProof/>
              </w:rPr>
              <w:t>Ime</w:t>
            </w:r>
          </w:p>
        </w:tc>
        <w:tc>
          <w:tcPr>
            <w:tcW w:w="1947" w:type="dxa"/>
            <w:vMerge w:val="restart"/>
            <w:shd w:val="clear" w:color="auto" w:fill="BDD7EE"/>
            <w:vAlign w:val="center"/>
            <w:hideMark/>
          </w:tcPr>
          <w:p w14:paraId="6BBC6337" w14:textId="77777777" w:rsidR="001E76D1" w:rsidRPr="00DD6A04" w:rsidRDefault="001E76D1">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015" w:type="dxa"/>
            <w:gridSpan w:val="3"/>
            <w:shd w:val="clear" w:color="auto" w:fill="BDD7EE"/>
            <w:vAlign w:val="center"/>
            <w:hideMark/>
          </w:tcPr>
          <w:p w14:paraId="3537302A" w14:textId="77777777" w:rsidR="001E76D1" w:rsidRPr="00DD6A04" w:rsidRDefault="001E76D1">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520" w:type="dxa"/>
            <w:gridSpan w:val="2"/>
            <w:shd w:val="clear" w:color="auto" w:fill="BDD7EE"/>
            <w:vAlign w:val="center"/>
            <w:hideMark/>
          </w:tcPr>
          <w:p w14:paraId="213F866A" w14:textId="77777777" w:rsidR="001E76D1" w:rsidRPr="00DD6A04" w:rsidRDefault="001E76D1">
            <w:pPr>
              <w:spacing w:before="0" w:after="0" w:line="240" w:lineRule="auto"/>
              <w:jc w:val="center"/>
              <w:rPr>
                <w:rFonts w:eastAsia="Times New Roman"/>
                <w:b/>
                <w:noProof/>
              </w:rPr>
            </w:pPr>
            <w:r>
              <w:rPr>
                <w:b/>
                <w:noProof/>
              </w:rPr>
              <w:t xml:space="preserve">Okvirni časovni razpored za dokončanje </w:t>
            </w:r>
          </w:p>
        </w:tc>
        <w:tc>
          <w:tcPr>
            <w:tcW w:w="3361" w:type="dxa"/>
            <w:vMerge w:val="restart"/>
            <w:shd w:val="clear" w:color="auto" w:fill="BDD7EE"/>
            <w:vAlign w:val="center"/>
            <w:hideMark/>
          </w:tcPr>
          <w:p w14:paraId="1D144B1B" w14:textId="77777777" w:rsidR="001E76D1" w:rsidRPr="00DD6A04" w:rsidRDefault="001E76D1">
            <w:pPr>
              <w:spacing w:before="0" w:after="0" w:line="240" w:lineRule="auto"/>
              <w:jc w:val="center"/>
              <w:rPr>
                <w:rFonts w:eastAsia="Times New Roman"/>
                <w:b/>
                <w:noProof/>
              </w:rPr>
            </w:pPr>
            <w:r>
              <w:rPr>
                <w:b/>
                <w:noProof/>
              </w:rPr>
              <w:t>Opis vsakega mejnika in cilja</w:t>
            </w:r>
          </w:p>
        </w:tc>
      </w:tr>
      <w:tr w:rsidR="001E76D1" w:rsidRPr="00DD6A04" w14:paraId="2FE60524" w14:textId="77777777" w:rsidTr="00A70F67">
        <w:trPr>
          <w:trHeight w:val="751"/>
          <w:tblHeader/>
          <w:jc w:val="center"/>
        </w:trPr>
        <w:tc>
          <w:tcPr>
            <w:tcW w:w="1381" w:type="dxa"/>
            <w:vMerge/>
            <w:vAlign w:val="center"/>
            <w:hideMark/>
          </w:tcPr>
          <w:p w14:paraId="32144559" w14:textId="77777777" w:rsidR="001E76D1" w:rsidRPr="00DD6A04" w:rsidRDefault="001E76D1">
            <w:pPr>
              <w:spacing w:before="0" w:after="0" w:line="240" w:lineRule="auto"/>
              <w:rPr>
                <w:rFonts w:eastAsia="Times New Roman"/>
                <w:b/>
                <w:noProof/>
                <w:sz w:val="22"/>
                <w:lang w:val="en-GB" w:eastAsia="en-GB"/>
              </w:rPr>
            </w:pPr>
          </w:p>
        </w:tc>
        <w:tc>
          <w:tcPr>
            <w:tcW w:w="1523" w:type="dxa"/>
            <w:vMerge/>
            <w:vAlign w:val="center"/>
            <w:hideMark/>
          </w:tcPr>
          <w:p w14:paraId="4EB532C9" w14:textId="77777777" w:rsidR="001E76D1" w:rsidRPr="00DD6A04" w:rsidRDefault="001E76D1">
            <w:pPr>
              <w:spacing w:before="0" w:after="0" w:line="240" w:lineRule="auto"/>
              <w:rPr>
                <w:rFonts w:eastAsia="Times New Roman"/>
                <w:b/>
                <w:noProof/>
                <w:sz w:val="22"/>
                <w:lang w:val="en-GB" w:eastAsia="en-GB"/>
              </w:rPr>
            </w:pPr>
          </w:p>
        </w:tc>
        <w:tc>
          <w:tcPr>
            <w:tcW w:w="1016" w:type="dxa"/>
            <w:vMerge/>
            <w:vAlign w:val="center"/>
            <w:hideMark/>
          </w:tcPr>
          <w:p w14:paraId="186A1F7D" w14:textId="77777777" w:rsidR="001E76D1" w:rsidRPr="00DD6A04" w:rsidRDefault="001E76D1">
            <w:pPr>
              <w:spacing w:before="0" w:after="0" w:line="240" w:lineRule="auto"/>
              <w:rPr>
                <w:rFonts w:eastAsia="Times New Roman"/>
                <w:b/>
                <w:noProof/>
                <w:sz w:val="22"/>
                <w:lang w:val="en-GB" w:eastAsia="en-GB"/>
              </w:rPr>
            </w:pPr>
          </w:p>
        </w:tc>
        <w:tc>
          <w:tcPr>
            <w:tcW w:w="1559" w:type="dxa"/>
            <w:vMerge/>
            <w:vAlign w:val="center"/>
            <w:hideMark/>
          </w:tcPr>
          <w:p w14:paraId="3A46C96A" w14:textId="77777777" w:rsidR="001E76D1" w:rsidRPr="00DD6A04" w:rsidRDefault="001E76D1">
            <w:pPr>
              <w:spacing w:before="0" w:after="0" w:line="240" w:lineRule="auto"/>
              <w:rPr>
                <w:rFonts w:eastAsia="Times New Roman"/>
                <w:b/>
                <w:noProof/>
                <w:sz w:val="22"/>
                <w:lang w:val="en-GB" w:eastAsia="en-GB"/>
              </w:rPr>
            </w:pPr>
          </w:p>
        </w:tc>
        <w:tc>
          <w:tcPr>
            <w:tcW w:w="1947" w:type="dxa"/>
            <w:vMerge/>
            <w:vAlign w:val="center"/>
            <w:hideMark/>
          </w:tcPr>
          <w:p w14:paraId="48A9BA87" w14:textId="77777777" w:rsidR="001E76D1" w:rsidRPr="00DD6A04" w:rsidRDefault="001E76D1">
            <w:pPr>
              <w:spacing w:before="0" w:after="0" w:line="240" w:lineRule="auto"/>
              <w:rPr>
                <w:rFonts w:eastAsia="Times New Roman"/>
                <w:b/>
                <w:noProof/>
                <w:sz w:val="22"/>
                <w:lang w:val="en-GB" w:eastAsia="en-GB"/>
              </w:rPr>
            </w:pPr>
          </w:p>
        </w:tc>
        <w:tc>
          <w:tcPr>
            <w:tcW w:w="1103" w:type="dxa"/>
            <w:shd w:val="clear" w:color="auto" w:fill="BDD7EE"/>
            <w:vAlign w:val="center"/>
            <w:hideMark/>
          </w:tcPr>
          <w:p w14:paraId="3265B0C6" w14:textId="77777777" w:rsidR="001E76D1" w:rsidRPr="00DD6A04" w:rsidRDefault="001E76D1">
            <w:pPr>
              <w:spacing w:before="0" w:after="0" w:line="240" w:lineRule="auto"/>
              <w:jc w:val="center"/>
              <w:rPr>
                <w:rFonts w:eastAsia="Times New Roman"/>
                <w:b/>
                <w:noProof/>
                <w:sz w:val="22"/>
              </w:rPr>
            </w:pPr>
            <w:r>
              <w:rPr>
                <w:b/>
                <w:noProof/>
                <w:sz w:val="22"/>
              </w:rPr>
              <w:t>Enota merjenja</w:t>
            </w:r>
          </w:p>
        </w:tc>
        <w:tc>
          <w:tcPr>
            <w:tcW w:w="1000" w:type="dxa"/>
            <w:shd w:val="clear" w:color="auto" w:fill="BDD7EE"/>
            <w:vAlign w:val="center"/>
            <w:hideMark/>
          </w:tcPr>
          <w:p w14:paraId="023B6CB5" w14:textId="77777777" w:rsidR="001E76D1" w:rsidRPr="00DD6A04" w:rsidRDefault="001E76D1">
            <w:pPr>
              <w:spacing w:before="0" w:after="0" w:line="240" w:lineRule="auto"/>
              <w:jc w:val="center"/>
              <w:rPr>
                <w:rFonts w:eastAsia="Times New Roman"/>
                <w:b/>
                <w:noProof/>
                <w:sz w:val="22"/>
              </w:rPr>
            </w:pPr>
            <w:r>
              <w:rPr>
                <w:b/>
                <w:noProof/>
                <w:sz w:val="22"/>
              </w:rPr>
              <w:t xml:space="preserve">Izhodiščna raven </w:t>
            </w:r>
          </w:p>
        </w:tc>
        <w:tc>
          <w:tcPr>
            <w:tcW w:w="912" w:type="dxa"/>
            <w:shd w:val="clear" w:color="auto" w:fill="BDD7EE"/>
            <w:vAlign w:val="center"/>
            <w:hideMark/>
          </w:tcPr>
          <w:p w14:paraId="3CC607E3" w14:textId="77777777" w:rsidR="001E76D1" w:rsidRPr="00DD6A04" w:rsidRDefault="001E76D1">
            <w:pPr>
              <w:spacing w:before="0" w:after="0" w:line="240" w:lineRule="auto"/>
              <w:jc w:val="center"/>
              <w:rPr>
                <w:rFonts w:eastAsia="Times New Roman"/>
                <w:b/>
                <w:noProof/>
                <w:sz w:val="22"/>
              </w:rPr>
            </w:pPr>
            <w:r>
              <w:rPr>
                <w:b/>
                <w:noProof/>
                <w:sz w:val="22"/>
              </w:rPr>
              <w:t xml:space="preserve">Ciljna raven </w:t>
            </w:r>
          </w:p>
        </w:tc>
        <w:tc>
          <w:tcPr>
            <w:tcW w:w="813" w:type="dxa"/>
            <w:shd w:val="clear" w:color="auto" w:fill="BDD7EE"/>
            <w:vAlign w:val="center"/>
            <w:hideMark/>
          </w:tcPr>
          <w:p w14:paraId="142968C9" w14:textId="77777777" w:rsidR="001E76D1" w:rsidRPr="00DD6A04" w:rsidRDefault="001E76D1">
            <w:pPr>
              <w:spacing w:before="0" w:after="0" w:line="240" w:lineRule="auto"/>
              <w:jc w:val="center"/>
              <w:rPr>
                <w:rFonts w:eastAsia="Times New Roman"/>
                <w:b/>
                <w:noProof/>
                <w:sz w:val="22"/>
              </w:rPr>
            </w:pPr>
            <w:r>
              <w:rPr>
                <w:b/>
                <w:noProof/>
                <w:sz w:val="22"/>
              </w:rPr>
              <w:t>Četrtletje</w:t>
            </w:r>
          </w:p>
        </w:tc>
        <w:tc>
          <w:tcPr>
            <w:tcW w:w="707" w:type="dxa"/>
            <w:shd w:val="clear" w:color="auto" w:fill="BDD7EE"/>
            <w:vAlign w:val="center"/>
            <w:hideMark/>
          </w:tcPr>
          <w:p w14:paraId="13A59EEB" w14:textId="77777777" w:rsidR="001E76D1" w:rsidRPr="00DD6A04" w:rsidRDefault="001E76D1">
            <w:pPr>
              <w:spacing w:before="0" w:after="0" w:line="240" w:lineRule="auto"/>
              <w:jc w:val="center"/>
              <w:rPr>
                <w:rFonts w:eastAsia="Times New Roman"/>
                <w:b/>
                <w:noProof/>
                <w:sz w:val="22"/>
              </w:rPr>
            </w:pPr>
            <w:r>
              <w:rPr>
                <w:b/>
                <w:noProof/>
                <w:sz w:val="22"/>
              </w:rPr>
              <w:t>Leto</w:t>
            </w:r>
          </w:p>
        </w:tc>
        <w:tc>
          <w:tcPr>
            <w:tcW w:w="3361" w:type="dxa"/>
            <w:vMerge/>
            <w:vAlign w:val="center"/>
            <w:hideMark/>
          </w:tcPr>
          <w:p w14:paraId="53CE642D" w14:textId="77777777" w:rsidR="001E76D1" w:rsidRPr="00DD6A04" w:rsidRDefault="001E76D1">
            <w:pPr>
              <w:spacing w:before="0" w:after="0" w:line="240" w:lineRule="auto"/>
              <w:rPr>
                <w:rFonts w:eastAsia="Times New Roman"/>
                <w:b/>
                <w:noProof/>
                <w:sz w:val="22"/>
                <w:lang w:val="en-GB" w:eastAsia="en-GB"/>
              </w:rPr>
            </w:pPr>
          </w:p>
        </w:tc>
      </w:tr>
      <w:tr w:rsidR="001E76D1" w:rsidRPr="00DD6A04" w14:paraId="55D7F293" w14:textId="77777777" w:rsidTr="00A70F67">
        <w:trPr>
          <w:trHeight w:val="309"/>
          <w:jc w:val="center"/>
        </w:trPr>
        <w:tc>
          <w:tcPr>
            <w:tcW w:w="1381" w:type="dxa"/>
            <w:shd w:val="clear" w:color="auto" w:fill="C6EFCE"/>
            <w:noWrap/>
          </w:tcPr>
          <w:p w14:paraId="265FF40C" w14:textId="3F6E150E" w:rsidR="001E76D1" w:rsidRPr="00DD6A04" w:rsidRDefault="001E76D1" w:rsidP="001E76D1">
            <w:pPr>
              <w:spacing w:before="0" w:after="0" w:line="240" w:lineRule="auto"/>
              <w:rPr>
                <w:rFonts w:eastAsia="Times New Roman"/>
                <w:noProof/>
                <w:color w:val="006100"/>
                <w:sz w:val="22"/>
              </w:rPr>
            </w:pPr>
            <w:r>
              <w:rPr>
                <w:noProof/>
                <w:color w:val="006100"/>
                <w:sz w:val="22"/>
              </w:rPr>
              <w:t>90</w:t>
            </w:r>
          </w:p>
        </w:tc>
        <w:tc>
          <w:tcPr>
            <w:tcW w:w="1523" w:type="dxa"/>
            <w:shd w:val="clear" w:color="auto" w:fill="C6EFCE"/>
            <w:noWrap/>
          </w:tcPr>
          <w:p w14:paraId="4A222C27" w14:textId="7D2A7D71" w:rsidR="001E76D1" w:rsidRPr="00DD6A04" w:rsidRDefault="001E76D1" w:rsidP="001E76D1">
            <w:pPr>
              <w:spacing w:before="0" w:after="0" w:line="240" w:lineRule="auto"/>
              <w:rPr>
                <w:rFonts w:eastAsia="Times New Roman"/>
                <w:noProof/>
                <w:color w:val="006100"/>
                <w:sz w:val="22"/>
              </w:rPr>
            </w:pPr>
            <w:r>
              <w:rPr>
                <w:noProof/>
                <w:color w:val="006100"/>
                <w:sz w:val="22"/>
              </w:rPr>
              <w:t>A: Okrepitev upravljanja digitalne preobrazbe javne uprave</w:t>
            </w:r>
          </w:p>
        </w:tc>
        <w:tc>
          <w:tcPr>
            <w:tcW w:w="1016" w:type="dxa"/>
            <w:shd w:val="clear" w:color="auto" w:fill="C6EFCE"/>
            <w:noWrap/>
          </w:tcPr>
          <w:p w14:paraId="1C04AC10" w14:textId="621B6391"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7A4997C2" w14:textId="4FC793E8" w:rsidR="001E76D1" w:rsidRPr="00DD6A04" w:rsidRDefault="001E76D1" w:rsidP="001E76D1">
            <w:pPr>
              <w:spacing w:before="0" w:after="0" w:line="240" w:lineRule="auto"/>
              <w:rPr>
                <w:rFonts w:eastAsia="Times New Roman"/>
                <w:noProof/>
                <w:color w:val="006100"/>
                <w:sz w:val="22"/>
              </w:rPr>
            </w:pPr>
            <w:r>
              <w:rPr>
                <w:noProof/>
                <w:color w:val="006100"/>
                <w:sz w:val="22"/>
              </w:rPr>
              <w:t>Ustanovljen in operativen Svet za razvoj informatike v državni upravi</w:t>
            </w:r>
          </w:p>
        </w:tc>
        <w:tc>
          <w:tcPr>
            <w:tcW w:w="1947" w:type="dxa"/>
            <w:shd w:val="clear" w:color="auto" w:fill="C6EFCE"/>
            <w:noWrap/>
          </w:tcPr>
          <w:p w14:paraId="744FE549" w14:textId="36820A24" w:rsidR="001E76D1" w:rsidRPr="00DD6A04" w:rsidRDefault="001E76D1" w:rsidP="001E76D1">
            <w:pPr>
              <w:spacing w:before="0" w:after="0" w:line="240" w:lineRule="auto"/>
              <w:rPr>
                <w:rFonts w:eastAsia="Times New Roman"/>
                <w:noProof/>
                <w:color w:val="006100"/>
                <w:sz w:val="22"/>
              </w:rPr>
            </w:pPr>
            <w:r>
              <w:rPr>
                <w:noProof/>
                <w:color w:val="006100"/>
                <w:sz w:val="22"/>
              </w:rPr>
              <w:t>Sprejetje sklepa o ustanovitvi Sveta s strani Vlade Republike Slovenije in imenovanje njegovih članov s strani Ministrstva za javno upravo</w:t>
            </w:r>
          </w:p>
        </w:tc>
        <w:tc>
          <w:tcPr>
            <w:tcW w:w="1103" w:type="dxa"/>
            <w:shd w:val="clear" w:color="auto" w:fill="C6EFCE"/>
            <w:noWrap/>
          </w:tcPr>
          <w:p w14:paraId="381C0C71" w14:textId="69412BE3"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000" w:type="dxa"/>
            <w:shd w:val="clear" w:color="auto" w:fill="C6EFCE"/>
            <w:noWrap/>
          </w:tcPr>
          <w:p w14:paraId="27162CAF" w14:textId="480253BB"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912" w:type="dxa"/>
            <w:shd w:val="clear" w:color="auto" w:fill="C6EFCE"/>
            <w:noWrap/>
          </w:tcPr>
          <w:p w14:paraId="18BD030E" w14:textId="3638029F"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813" w:type="dxa"/>
            <w:shd w:val="clear" w:color="auto" w:fill="C6EFCE"/>
            <w:noWrap/>
          </w:tcPr>
          <w:p w14:paraId="262ADC85" w14:textId="1DC96BCD"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555AA924" w14:textId="53394960" w:rsidR="001E76D1" w:rsidRPr="00DD6A04" w:rsidRDefault="001E76D1" w:rsidP="001E76D1">
            <w:pPr>
              <w:spacing w:before="0" w:after="0" w:line="240" w:lineRule="auto"/>
              <w:rPr>
                <w:rFonts w:eastAsia="Times New Roman"/>
                <w:noProof/>
                <w:color w:val="006100"/>
                <w:sz w:val="22"/>
              </w:rPr>
            </w:pPr>
            <w:r>
              <w:rPr>
                <w:noProof/>
                <w:color w:val="006100"/>
                <w:sz w:val="22"/>
              </w:rPr>
              <w:t>2021</w:t>
            </w:r>
          </w:p>
        </w:tc>
        <w:tc>
          <w:tcPr>
            <w:tcW w:w="3361" w:type="dxa"/>
            <w:shd w:val="clear" w:color="auto" w:fill="C6EFCE"/>
            <w:noWrap/>
          </w:tcPr>
          <w:p w14:paraId="3076BA5B" w14:textId="18AC1CF7" w:rsidR="001E76D1" w:rsidRPr="00DD6A04" w:rsidRDefault="001E76D1" w:rsidP="001E76D1">
            <w:pPr>
              <w:spacing w:before="0" w:after="0" w:line="240" w:lineRule="auto"/>
              <w:rPr>
                <w:rFonts w:eastAsia="Times New Roman"/>
                <w:noProof/>
                <w:color w:val="006100"/>
                <w:sz w:val="22"/>
                <w:highlight w:val="yellow"/>
              </w:rPr>
            </w:pPr>
            <w:r>
              <w:rPr>
                <w:noProof/>
                <w:color w:val="006100"/>
                <w:sz w:val="22"/>
              </w:rPr>
              <w:t>Svet bo zagotavljal osrednjo točko za javno upravo za usklajevanje operacij na operativni ravni, povezanih z investicijami v IT, standardi, podpornimi sistemi in drugim tehnološkim razvojem, pri katerem je združljivost sistemov bistvena za njihovo učinkovito delovanje in vzdrževanje.</w:t>
            </w:r>
          </w:p>
        </w:tc>
      </w:tr>
      <w:tr w:rsidR="001E76D1" w:rsidRPr="00DD6A04" w14:paraId="0319B7E1" w14:textId="77777777" w:rsidTr="00A70F67">
        <w:trPr>
          <w:trHeight w:val="309"/>
          <w:jc w:val="center"/>
        </w:trPr>
        <w:tc>
          <w:tcPr>
            <w:tcW w:w="1381" w:type="dxa"/>
            <w:shd w:val="clear" w:color="auto" w:fill="C6EFCE"/>
            <w:noWrap/>
          </w:tcPr>
          <w:p w14:paraId="4B0CFA1E" w14:textId="1DDFF617" w:rsidR="001E76D1" w:rsidRPr="00DD6A04" w:rsidRDefault="001E76D1" w:rsidP="001E76D1">
            <w:pPr>
              <w:spacing w:before="0" w:after="0" w:line="240" w:lineRule="auto"/>
              <w:rPr>
                <w:rFonts w:eastAsia="Times New Roman"/>
                <w:noProof/>
                <w:color w:val="006100"/>
                <w:sz w:val="22"/>
              </w:rPr>
            </w:pPr>
            <w:r>
              <w:rPr>
                <w:noProof/>
                <w:color w:val="006100"/>
                <w:sz w:val="22"/>
              </w:rPr>
              <w:t>91</w:t>
            </w:r>
          </w:p>
        </w:tc>
        <w:tc>
          <w:tcPr>
            <w:tcW w:w="1523" w:type="dxa"/>
            <w:shd w:val="clear" w:color="auto" w:fill="C6EFCE"/>
            <w:noWrap/>
          </w:tcPr>
          <w:p w14:paraId="4BE43574" w14:textId="33F09956"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B: Vzpostavitev okolja za uporabo e-storitev javne uprave </w:t>
            </w:r>
          </w:p>
        </w:tc>
        <w:tc>
          <w:tcPr>
            <w:tcW w:w="1016" w:type="dxa"/>
            <w:shd w:val="clear" w:color="auto" w:fill="C6EFCE"/>
            <w:noWrap/>
          </w:tcPr>
          <w:p w14:paraId="0CE373D8" w14:textId="30374EEF"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0CDFCAA3" w14:textId="54DC06BB" w:rsidR="001E76D1" w:rsidRPr="00DD6A04" w:rsidRDefault="001E76D1" w:rsidP="001E76D1">
            <w:pPr>
              <w:spacing w:before="0" w:after="0" w:line="240" w:lineRule="auto"/>
              <w:rPr>
                <w:rFonts w:eastAsia="Times New Roman"/>
                <w:noProof/>
                <w:color w:val="006100"/>
                <w:sz w:val="22"/>
              </w:rPr>
            </w:pPr>
            <w:r>
              <w:rPr>
                <w:noProof/>
                <w:color w:val="006100"/>
                <w:sz w:val="22"/>
              </w:rPr>
              <w:t>Varni nacionalni dokumenti z e-identiteto</w:t>
            </w:r>
          </w:p>
        </w:tc>
        <w:tc>
          <w:tcPr>
            <w:tcW w:w="1947" w:type="dxa"/>
            <w:shd w:val="clear" w:color="auto" w:fill="C6EFCE"/>
            <w:noWrap/>
          </w:tcPr>
          <w:p w14:paraId="006D864B" w14:textId="17FB20F5" w:rsidR="001E76D1" w:rsidRPr="00DD6A04" w:rsidRDefault="001E76D1" w:rsidP="001E76D1">
            <w:pPr>
              <w:spacing w:before="0" w:after="0" w:line="240" w:lineRule="auto"/>
              <w:rPr>
                <w:rFonts w:eastAsia="Times New Roman"/>
                <w:noProof/>
                <w:color w:val="006100"/>
                <w:sz w:val="22"/>
              </w:rPr>
            </w:pPr>
            <w:r>
              <w:rPr>
                <w:noProof/>
                <w:color w:val="006100"/>
                <w:sz w:val="22"/>
              </w:rPr>
              <w:t>Začetek izdajanja novih nacionalnih izkaznic z e-identiteto</w:t>
            </w:r>
          </w:p>
        </w:tc>
        <w:tc>
          <w:tcPr>
            <w:tcW w:w="1103" w:type="dxa"/>
            <w:shd w:val="clear" w:color="auto" w:fill="C6EFCE"/>
            <w:noWrap/>
          </w:tcPr>
          <w:p w14:paraId="04C58BC5" w14:textId="182C157F"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000" w:type="dxa"/>
            <w:shd w:val="clear" w:color="auto" w:fill="C6EFCE"/>
            <w:noWrap/>
          </w:tcPr>
          <w:p w14:paraId="298FB19A" w14:textId="6E416F58"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912" w:type="dxa"/>
            <w:shd w:val="clear" w:color="auto" w:fill="C6EFCE"/>
            <w:noWrap/>
          </w:tcPr>
          <w:p w14:paraId="089D264A" w14:textId="5F596460"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813" w:type="dxa"/>
            <w:shd w:val="clear" w:color="auto" w:fill="C6EFCE"/>
            <w:noWrap/>
          </w:tcPr>
          <w:p w14:paraId="0FD2A80F" w14:textId="036C95D0"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1F860801" w14:textId="77BC055B" w:rsidR="001E76D1" w:rsidRPr="00DD6A04" w:rsidRDefault="001E76D1" w:rsidP="001E76D1">
            <w:pPr>
              <w:spacing w:before="0" w:after="0" w:line="240" w:lineRule="auto"/>
              <w:rPr>
                <w:rFonts w:eastAsia="Times New Roman"/>
                <w:noProof/>
                <w:color w:val="006100"/>
                <w:sz w:val="22"/>
              </w:rPr>
            </w:pPr>
            <w:r>
              <w:rPr>
                <w:noProof/>
                <w:color w:val="006100"/>
                <w:sz w:val="22"/>
              </w:rPr>
              <w:t>2022</w:t>
            </w:r>
          </w:p>
        </w:tc>
        <w:tc>
          <w:tcPr>
            <w:tcW w:w="3361" w:type="dxa"/>
            <w:shd w:val="clear" w:color="auto" w:fill="C6EFCE"/>
            <w:noWrap/>
          </w:tcPr>
          <w:p w14:paraId="03266820" w14:textId="1A4C54C0" w:rsidR="001E76D1" w:rsidRPr="00DD6A04" w:rsidRDefault="001E76D1" w:rsidP="001E76D1">
            <w:pPr>
              <w:spacing w:before="0" w:after="0" w:line="256" w:lineRule="auto"/>
              <w:rPr>
                <w:rFonts w:eastAsia="Times New Roman"/>
                <w:noProof/>
                <w:color w:val="006100"/>
                <w:sz w:val="22"/>
              </w:rPr>
            </w:pPr>
            <w:r>
              <w:rPr>
                <w:noProof/>
                <w:color w:val="006100"/>
                <w:sz w:val="22"/>
              </w:rPr>
              <w:t xml:space="preserve">Izdajo se prve nove izkaznice z e-identiteto, ki se uporabljajo v e-trgovini znotraj države in čezmejno. </w:t>
            </w:r>
          </w:p>
          <w:p w14:paraId="73755509" w14:textId="1CC1746A" w:rsidR="001E76D1" w:rsidRPr="00DD6A04" w:rsidRDefault="001E76D1" w:rsidP="001E76D1">
            <w:pPr>
              <w:spacing w:before="0" w:after="0" w:line="256" w:lineRule="auto"/>
              <w:rPr>
                <w:rFonts w:eastAsia="Times New Roman"/>
                <w:noProof/>
                <w:color w:val="006100"/>
                <w:sz w:val="22"/>
              </w:rPr>
            </w:pPr>
            <w:r>
              <w:rPr>
                <w:noProof/>
                <w:color w:val="006100"/>
                <w:sz w:val="22"/>
              </w:rPr>
              <w:t>Nova izkaznica bo državljanom omogočala elektronsko identifikacijo in avtentikacijo za dostop do elektronskih storitev in elektronsko podpisovanje.</w:t>
            </w:r>
            <w:r w:rsidR="00037751">
              <w:rPr>
                <w:noProof/>
                <w:color w:val="006100"/>
                <w:sz w:val="22"/>
              </w:rPr>
              <w:t xml:space="preserve"> </w:t>
            </w:r>
            <w:r>
              <w:rPr>
                <w:noProof/>
                <w:color w:val="006100"/>
                <w:sz w:val="22"/>
              </w:rPr>
              <w:t>Pravna podlaga za izdajo e-identitete bosta Zakon o elektronski identifikaciji in storitvah zaupanja ter spremenjeni Zakon o osebni izkaznici (Zakon o spremembah in dopolnitvah Zakona o osebni izkaznici).</w:t>
            </w:r>
          </w:p>
          <w:p w14:paraId="73EDC133" w14:textId="774C2A10" w:rsidR="001E76D1" w:rsidRPr="00DD6A04" w:rsidRDefault="001E76D1" w:rsidP="001E76D1">
            <w:pPr>
              <w:spacing w:before="0" w:after="0" w:line="240" w:lineRule="auto"/>
              <w:rPr>
                <w:rFonts w:eastAsia="Times New Roman"/>
                <w:noProof/>
                <w:color w:val="006100"/>
                <w:sz w:val="22"/>
              </w:rPr>
            </w:pPr>
            <w:r>
              <w:rPr>
                <w:noProof/>
                <w:color w:val="006100"/>
                <w:sz w:val="22"/>
              </w:rPr>
              <w:t>Sistem bo v okviru eIDAS priglašen kot čezmejno priznan.</w:t>
            </w:r>
          </w:p>
        </w:tc>
      </w:tr>
      <w:tr w:rsidR="001E76D1" w:rsidRPr="00DD6A04" w14:paraId="4D141537" w14:textId="77777777" w:rsidTr="00A70F67">
        <w:trPr>
          <w:trHeight w:val="309"/>
          <w:jc w:val="center"/>
        </w:trPr>
        <w:tc>
          <w:tcPr>
            <w:tcW w:w="1381" w:type="dxa"/>
            <w:shd w:val="clear" w:color="auto" w:fill="C6EFCE"/>
            <w:noWrap/>
          </w:tcPr>
          <w:p w14:paraId="6E94E186" w14:textId="3FF69908" w:rsidR="001E76D1" w:rsidRPr="00DD6A04" w:rsidRDefault="001E76D1" w:rsidP="001E76D1">
            <w:pPr>
              <w:spacing w:before="0" w:after="0" w:line="240" w:lineRule="auto"/>
              <w:rPr>
                <w:rFonts w:eastAsia="Times New Roman"/>
                <w:noProof/>
                <w:color w:val="006100"/>
                <w:sz w:val="22"/>
              </w:rPr>
            </w:pPr>
            <w:r>
              <w:rPr>
                <w:noProof/>
                <w:color w:val="006100"/>
                <w:sz w:val="22"/>
              </w:rPr>
              <w:t>92</w:t>
            </w:r>
          </w:p>
        </w:tc>
        <w:tc>
          <w:tcPr>
            <w:tcW w:w="1523" w:type="dxa"/>
            <w:shd w:val="clear" w:color="auto" w:fill="C6EFCE"/>
            <w:noWrap/>
          </w:tcPr>
          <w:p w14:paraId="609CB841" w14:textId="50808F7F" w:rsidR="001E76D1" w:rsidRPr="00DD6A04" w:rsidRDefault="001E76D1" w:rsidP="001E76D1">
            <w:pPr>
              <w:spacing w:before="0" w:after="0" w:line="240" w:lineRule="auto"/>
              <w:rPr>
                <w:rFonts w:eastAsia="Times New Roman"/>
                <w:noProof/>
                <w:color w:val="006100"/>
                <w:sz w:val="22"/>
              </w:rPr>
            </w:pPr>
            <w:r>
              <w:rPr>
                <w:noProof/>
                <w:color w:val="006100"/>
                <w:sz w:val="22"/>
              </w:rPr>
              <w:t>D: Vzpostavitev kompetenčnega centra – centra za kadre in dvig usposobljenosti zaposlenih v javni upravi</w:t>
            </w:r>
          </w:p>
        </w:tc>
        <w:tc>
          <w:tcPr>
            <w:tcW w:w="1016" w:type="dxa"/>
            <w:shd w:val="clear" w:color="auto" w:fill="C6EFCE"/>
            <w:noWrap/>
          </w:tcPr>
          <w:p w14:paraId="77558913" w14:textId="708591C0"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27789A96" w14:textId="4E807846"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Vzpostavljen in operativen kompetenčni center – center za kadre </w:t>
            </w:r>
          </w:p>
        </w:tc>
        <w:tc>
          <w:tcPr>
            <w:tcW w:w="1947" w:type="dxa"/>
            <w:shd w:val="clear" w:color="auto" w:fill="C6EFCE"/>
            <w:noWrap/>
          </w:tcPr>
          <w:p w14:paraId="58CF298F" w14:textId="6F8CDDBB"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Kompetenčni center – center za kadre je operativen </w:t>
            </w:r>
          </w:p>
        </w:tc>
        <w:tc>
          <w:tcPr>
            <w:tcW w:w="1103" w:type="dxa"/>
            <w:shd w:val="clear" w:color="auto" w:fill="C6EFCE"/>
            <w:noWrap/>
          </w:tcPr>
          <w:p w14:paraId="1E7A2E37" w14:textId="421CB671"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000" w:type="dxa"/>
            <w:shd w:val="clear" w:color="auto" w:fill="C6EFCE"/>
            <w:noWrap/>
          </w:tcPr>
          <w:p w14:paraId="504BB099" w14:textId="628FDEF2"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912" w:type="dxa"/>
            <w:shd w:val="clear" w:color="auto" w:fill="C6EFCE"/>
            <w:noWrap/>
          </w:tcPr>
          <w:p w14:paraId="02C2B567" w14:textId="4468D835"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813" w:type="dxa"/>
            <w:shd w:val="clear" w:color="auto" w:fill="C6EFCE"/>
            <w:noWrap/>
          </w:tcPr>
          <w:p w14:paraId="02B5DF67" w14:textId="0A79FD2F"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164821A1" w14:textId="04F2A60E" w:rsidR="001E76D1" w:rsidRPr="00DD6A04" w:rsidRDefault="001E76D1" w:rsidP="001E76D1">
            <w:pPr>
              <w:spacing w:before="0" w:after="0" w:line="240" w:lineRule="auto"/>
              <w:rPr>
                <w:rFonts w:eastAsia="Times New Roman"/>
                <w:noProof/>
                <w:color w:val="006100"/>
                <w:sz w:val="22"/>
              </w:rPr>
            </w:pPr>
            <w:r>
              <w:rPr>
                <w:noProof/>
                <w:color w:val="006100"/>
                <w:sz w:val="22"/>
              </w:rPr>
              <w:t>2024</w:t>
            </w:r>
          </w:p>
        </w:tc>
        <w:tc>
          <w:tcPr>
            <w:tcW w:w="3361" w:type="dxa"/>
            <w:shd w:val="clear" w:color="auto" w:fill="C6EFCE"/>
            <w:noWrap/>
          </w:tcPr>
          <w:p w14:paraId="276458DC" w14:textId="7195DAD1" w:rsidR="001E76D1" w:rsidRPr="00DD6A04" w:rsidRDefault="001E76D1" w:rsidP="001E76D1">
            <w:pPr>
              <w:spacing w:before="0" w:after="0" w:line="256" w:lineRule="auto"/>
              <w:rPr>
                <w:rFonts w:eastAsia="Times New Roman"/>
                <w:noProof/>
                <w:color w:val="006100"/>
                <w:sz w:val="22"/>
              </w:rPr>
            </w:pPr>
            <w:r>
              <w:rPr>
                <w:noProof/>
                <w:color w:val="006100"/>
                <w:sz w:val="22"/>
              </w:rPr>
              <w:t xml:space="preserve">Kompetenčni center – center za kadre bo vzpostavljen s spremembo Zakona o javnih uslužbencih. </w:t>
            </w:r>
          </w:p>
          <w:p w14:paraId="683ED23B" w14:textId="0A2351B0" w:rsidR="004D1A41" w:rsidRPr="00DD6A04" w:rsidRDefault="007C77E4" w:rsidP="46F9D6A4">
            <w:pPr>
              <w:spacing w:before="0" w:after="0" w:line="240" w:lineRule="auto"/>
              <w:rPr>
                <w:rFonts w:eastAsia="Times New Roman"/>
                <w:noProof/>
                <w:color w:val="006100"/>
                <w:sz w:val="22"/>
              </w:rPr>
            </w:pPr>
            <w:r>
              <w:rPr>
                <w:noProof/>
                <w:color w:val="006100"/>
                <w:sz w:val="22"/>
              </w:rPr>
              <w:t>Center bo prispeval k ocenjevanju in razvoju kompetenc. Center bo izbiral kandidate v postopkih zaposlovanja državne uprave. Hkrati bo tudi razvijal kompetenčni okvir javnih uslužbencev ter druga orodja za ravnanje s kadri v organih državne uprave. Prispeval bo k oblikovanju sodobnega in učinkovitega sistema upravljanja človeških virov, in sicer z razvojem različnih vodstvenih in operativnih kompetenc za namene zaposlovanja, poklicnega razvoja in odkrivanja talentov. Med drugim bo prispeval tudi k izboljšanju digitalnih kompetenc javnih uslužbencev.</w:t>
            </w:r>
          </w:p>
        </w:tc>
      </w:tr>
      <w:tr w:rsidR="001E76D1" w:rsidRPr="00DD6A04" w14:paraId="0AD078E5" w14:textId="77777777" w:rsidTr="00A70F67">
        <w:trPr>
          <w:trHeight w:val="309"/>
          <w:jc w:val="center"/>
        </w:trPr>
        <w:tc>
          <w:tcPr>
            <w:tcW w:w="1381" w:type="dxa"/>
            <w:shd w:val="clear" w:color="auto" w:fill="C6EFCE"/>
            <w:noWrap/>
          </w:tcPr>
          <w:p w14:paraId="3862E181" w14:textId="72BB6DD4" w:rsidR="001E76D1" w:rsidRPr="00DD6A04" w:rsidRDefault="001E76D1" w:rsidP="001E76D1">
            <w:pPr>
              <w:spacing w:before="0" w:after="0" w:line="240" w:lineRule="auto"/>
              <w:rPr>
                <w:rFonts w:eastAsia="Times New Roman"/>
                <w:noProof/>
                <w:color w:val="006100"/>
                <w:sz w:val="22"/>
              </w:rPr>
            </w:pPr>
            <w:r>
              <w:rPr>
                <w:noProof/>
                <w:color w:val="006100"/>
                <w:sz w:val="22"/>
              </w:rPr>
              <w:t>93</w:t>
            </w:r>
          </w:p>
        </w:tc>
        <w:tc>
          <w:tcPr>
            <w:tcW w:w="1523" w:type="dxa"/>
            <w:shd w:val="clear" w:color="auto" w:fill="C6EFCE"/>
            <w:noWrap/>
          </w:tcPr>
          <w:p w14:paraId="4471D1ED" w14:textId="1B714E8F" w:rsidR="001E76D1" w:rsidRPr="00DD6A04" w:rsidRDefault="001E76D1" w:rsidP="001E76D1">
            <w:pPr>
              <w:spacing w:before="0" w:after="0" w:line="240" w:lineRule="auto"/>
              <w:rPr>
                <w:rFonts w:eastAsia="Times New Roman"/>
                <w:noProof/>
                <w:color w:val="006100"/>
                <w:sz w:val="22"/>
              </w:rPr>
            </w:pPr>
            <w:r>
              <w:rPr>
                <w:noProof/>
                <w:color w:val="006100"/>
                <w:sz w:val="22"/>
              </w:rPr>
              <w:t>C: Posodobitev upravnih procesov za uspešno digitalno preobrazbo</w:t>
            </w:r>
          </w:p>
        </w:tc>
        <w:tc>
          <w:tcPr>
            <w:tcW w:w="1016" w:type="dxa"/>
            <w:shd w:val="clear" w:color="auto" w:fill="C6EFCE"/>
            <w:noWrap/>
          </w:tcPr>
          <w:p w14:paraId="5D8F568D" w14:textId="64DF9731"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5EF836D0" w14:textId="70B82B6F" w:rsidR="001E76D1" w:rsidRPr="00DD6A04" w:rsidRDefault="001E76D1" w:rsidP="001E76D1">
            <w:pPr>
              <w:spacing w:before="0" w:after="0" w:line="240" w:lineRule="auto"/>
              <w:rPr>
                <w:rFonts w:eastAsia="Times New Roman"/>
                <w:noProof/>
                <w:color w:val="006100"/>
                <w:sz w:val="22"/>
              </w:rPr>
            </w:pPr>
            <w:r>
              <w:rPr>
                <w:noProof/>
                <w:color w:val="006100"/>
                <w:sz w:val="22"/>
              </w:rPr>
              <w:t>Odprava pravnih in upravnih ovir za opravljanje e-storitev:</w:t>
            </w:r>
          </w:p>
        </w:tc>
        <w:tc>
          <w:tcPr>
            <w:tcW w:w="1947" w:type="dxa"/>
            <w:shd w:val="clear" w:color="auto" w:fill="C6EFCE"/>
            <w:noWrap/>
          </w:tcPr>
          <w:p w14:paraId="735BB05C" w14:textId="64672C18"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Zakonodajna določba o začetku veljavnosti sprememb Zakona o splošnem upravnem postopku in Uredbe o upravnem poslovanju </w:t>
            </w:r>
          </w:p>
        </w:tc>
        <w:tc>
          <w:tcPr>
            <w:tcW w:w="1103" w:type="dxa"/>
            <w:shd w:val="clear" w:color="auto" w:fill="C6EFCE"/>
            <w:noWrap/>
          </w:tcPr>
          <w:p w14:paraId="1F89C1B8" w14:textId="65138EC6"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000" w:type="dxa"/>
            <w:shd w:val="clear" w:color="auto" w:fill="C6EFCE"/>
            <w:noWrap/>
          </w:tcPr>
          <w:p w14:paraId="02D972E9" w14:textId="3A593E03"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912" w:type="dxa"/>
            <w:shd w:val="clear" w:color="auto" w:fill="C6EFCE"/>
            <w:noWrap/>
          </w:tcPr>
          <w:p w14:paraId="6B19F78F" w14:textId="0CACCB24"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813" w:type="dxa"/>
            <w:shd w:val="clear" w:color="auto" w:fill="C6EFCE"/>
            <w:noWrap/>
          </w:tcPr>
          <w:p w14:paraId="5E3B1B84" w14:textId="5BF9D395"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1C9B7D62" w14:textId="1A36DB1D" w:rsidR="001E76D1" w:rsidRPr="00DD6A04" w:rsidRDefault="001E76D1" w:rsidP="001E76D1">
            <w:pPr>
              <w:spacing w:before="0" w:after="0" w:line="240" w:lineRule="auto"/>
              <w:rPr>
                <w:rFonts w:eastAsia="Times New Roman"/>
                <w:noProof/>
                <w:color w:val="006100"/>
                <w:sz w:val="22"/>
              </w:rPr>
            </w:pPr>
            <w:r>
              <w:rPr>
                <w:noProof/>
                <w:color w:val="006100"/>
                <w:sz w:val="22"/>
              </w:rPr>
              <w:t>2022</w:t>
            </w:r>
          </w:p>
        </w:tc>
        <w:tc>
          <w:tcPr>
            <w:tcW w:w="3361" w:type="dxa"/>
            <w:shd w:val="clear" w:color="auto" w:fill="C6EFCE"/>
            <w:noWrap/>
          </w:tcPr>
          <w:p w14:paraId="4580B529" w14:textId="77777777" w:rsidR="001E76D1" w:rsidRPr="00DD6A04" w:rsidRDefault="001E76D1" w:rsidP="001E76D1">
            <w:pPr>
              <w:spacing w:before="0" w:after="0" w:line="256" w:lineRule="auto"/>
              <w:rPr>
                <w:rFonts w:eastAsia="Times New Roman"/>
                <w:noProof/>
                <w:color w:val="006100"/>
                <w:sz w:val="22"/>
              </w:rPr>
            </w:pPr>
            <w:r>
              <w:rPr>
                <w:noProof/>
                <w:color w:val="006100"/>
                <w:sz w:val="22"/>
              </w:rPr>
              <w:t>Spremembe Zakona o splošnem upravnem postopku in Uredbe o upravnem poslovanju bodo namenjene poenostavitvi pravnih zahtev za opravljanje storitev elektronske javne uprave ter nadaljnji digitalizaciji upravnih postopkov. To bo med drugim vključevalo plačilne storitve, podporo razvoju elektronskih aplikacij in elektronsko predložitev dokumentov.</w:t>
            </w:r>
          </w:p>
          <w:p w14:paraId="1425D7B2" w14:textId="77777777" w:rsidR="001E76D1" w:rsidRPr="00DD6A04" w:rsidRDefault="001E76D1" w:rsidP="001E76D1">
            <w:pPr>
              <w:spacing w:before="0" w:after="0" w:line="240" w:lineRule="auto"/>
              <w:rPr>
                <w:rFonts w:eastAsia="Times New Roman"/>
                <w:noProof/>
                <w:color w:val="006100"/>
                <w:sz w:val="22"/>
                <w:lang w:val="en-GB" w:eastAsia="en-GB"/>
              </w:rPr>
            </w:pPr>
          </w:p>
        </w:tc>
      </w:tr>
      <w:tr w:rsidR="001E76D1" w:rsidRPr="00DD6A04" w14:paraId="30751380" w14:textId="77777777" w:rsidTr="00A70F67">
        <w:trPr>
          <w:trHeight w:val="309"/>
          <w:jc w:val="center"/>
        </w:trPr>
        <w:tc>
          <w:tcPr>
            <w:tcW w:w="1381" w:type="dxa"/>
            <w:shd w:val="clear" w:color="auto" w:fill="C6EFCE"/>
            <w:noWrap/>
          </w:tcPr>
          <w:p w14:paraId="62C6796D" w14:textId="75B2C6A0" w:rsidR="001E76D1" w:rsidRPr="00DD6A04" w:rsidRDefault="001E76D1" w:rsidP="001E76D1">
            <w:pPr>
              <w:spacing w:before="0" w:after="0" w:line="240" w:lineRule="auto"/>
              <w:rPr>
                <w:rFonts w:eastAsia="Times New Roman"/>
                <w:noProof/>
                <w:color w:val="006100"/>
                <w:sz w:val="22"/>
              </w:rPr>
            </w:pPr>
            <w:r>
              <w:rPr>
                <w:noProof/>
                <w:color w:val="006100"/>
                <w:sz w:val="22"/>
              </w:rPr>
              <w:t>94</w:t>
            </w:r>
          </w:p>
        </w:tc>
        <w:tc>
          <w:tcPr>
            <w:tcW w:w="1523" w:type="dxa"/>
            <w:shd w:val="clear" w:color="auto" w:fill="C6EFCE"/>
            <w:noWrap/>
          </w:tcPr>
          <w:p w14:paraId="732D3DC2" w14:textId="667AD512" w:rsidR="001E76D1" w:rsidRPr="00DD6A04" w:rsidRDefault="001E76D1" w:rsidP="001E76D1">
            <w:pPr>
              <w:spacing w:before="0" w:after="0" w:line="240" w:lineRule="auto"/>
              <w:rPr>
                <w:rFonts w:eastAsia="Times New Roman"/>
                <w:noProof/>
                <w:color w:val="006100"/>
                <w:sz w:val="22"/>
              </w:rPr>
            </w:pPr>
            <w:r>
              <w:rPr>
                <w:noProof/>
                <w:color w:val="006100"/>
                <w:sz w:val="22"/>
              </w:rPr>
              <w:t>F: Prehod v gigabitno družbo</w:t>
            </w:r>
          </w:p>
        </w:tc>
        <w:tc>
          <w:tcPr>
            <w:tcW w:w="1016" w:type="dxa"/>
            <w:shd w:val="clear" w:color="auto" w:fill="C6EFCE"/>
            <w:noWrap/>
          </w:tcPr>
          <w:p w14:paraId="29A742A6" w14:textId="114CF194"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10B4A7DC" w14:textId="4FDC6CAB"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Sprejetje Načrta razvoja širokopasovnih omrežij 2021–2025 </w:t>
            </w:r>
          </w:p>
        </w:tc>
        <w:tc>
          <w:tcPr>
            <w:tcW w:w="1947" w:type="dxa"/>
            <w:shd w:val="clear" w:color="auto" w:fill="C6EFCE"/>
            <w:noWrap/>
          </w:tcPr>
          <w:p w14:paraId="7D985652" w14:textId="5641B4E9" w:rsidR="001E76D1" w:rsidRPr="00DD6A04" w:rsidRDefault="001E76D1" w:rsidP="001E76D1">
            <w:pPr>
              <w:spacing w:before="0" w:after="0" w:line="240" w:lineRule="auto"/>
              <w:rPr>
                <w:rFonts w:eastAsia="Times New Roman"/>
                <w:noProof/>
                <w:color w:val="006100"/>
                <w:sz w:val="22"/>
              </w:rPr>
            </w:pPr>
            <w:r>
              <w:rPr>
                <w:noProof/>
                <w:color w:val="006100"/>
                <w:sz w:val="22"/>
              </w:rPr>
              <w:t>Sprejetje Načrta razvoja širokopasovnih omrežij s strani Vlade Republike Slovenije</w:t>
            </w:r>
          </w:p>
        </w:tc>
        <w:tc>
          <w:tcPr>
            <w:tcW w:w="1103" w:type="dxa"/>
            <w:shd w:val="clear" w:color="auto" w:fill="C6EFCE"/>
            <w:noWrap/>
          </w:tcPr>
          <w:p w14:paraId="583478DB" w14:textId="31C631DA"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000" w:type="dxa"/>
            <w:shd w:val="clear" w:color="auto" w:fill="C6EFCE"/>
            <w:noWrap/>
          </w:tcPr>
          <w:p w14:paraId="700D4724" w14:textId="1B733E8E"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912" w:type="dxa"/>
            <w:shd w:val="clear" w:color="auto" w:fill="C6EFCE"/>
            <w:noWrap/>
          </w:tcPr>
          <w:p w14:paraId="486F2B43" w14:textId="2F339691"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813" w:type="dxa"/>
            <w:shd w:val="clear" w:color="auto" w:fill="C6EFCE"/>
            <w:noWrap/>
          </w:tcPr>
          <w:p w14:paraId="6BDB747E" w14:textId="69240F5E"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5D10E6BB" w14:textId="276E690F" w:rsidR="001E76D1" w:rsidRPr="00DD6A04" w:rsidRDefault="001E76D1" w:rsidP="001E76D1">
            <w:pPr>
              <w:spacing w:before="0" w:after="0" w:line="240" w:lineRule="auto"/>
              <w:rPr>
                <w:rFonts w:eastAsia="Times New Roman"/>
                <w:noProof/>
                <w:color w:val="006100"/>
                <w:sz w:val="22"/>
              </w:rPr>
            </w:pPr>
            <w:r>
              <w:rPr>
                <w:noProof/>
                <w:color w:val="006100"/>
                <w:sz w:val="22"/>
              </w:rPr>
              <w:t>2022</w:t>
            </w:r>
          </w:p>
        </w:tc>
        <w:tc>
          <w:tcPr>
            <w:tcW w:w="3361" w:type="dxa"/>
            <w:shd w:val="clear" w:color="auto" w:fill="C6EFCE"/>
            <w:noWrap/>
          </w:tcPr>
          <w:p w14:paraId="6C706F92" w14:textId="51C12B1B" w:rsidR="001E76D1" w:rsidRPr="00DD6A04" w:rsidRDefault="001E76D1" w:rsidP="001E76D1">
            <w:pPr>
              <w:spacing w:before="0" w:after="0" w:line="240" w:lineRule="auto"/>
              <w:rPr>
                <w:rFonts w:eastAsia="Times New Roman"/>
                <w:noProof/>
                <w:color w:val="006100"/>
                <w:sz w:val="22"/>
              </w:rPr>
            </w:pPr>
            <w:r>
              <w:rPr>
                <w:noProof/>
                <w:color w:val="006100"/>
                <w:sz w:val="22"/>
              </w:rPr>
              <w:t>Sprejeti načrt bo določal: 1. potrebo po zagotavljanju ustreznih širokopasovnih omrežij v Sloveniji do leta 2025 v skladu s cilji glede povezljivosti za evropsko gigabitno družbo do leta 2025; 2. nacionalni načrt za izgradnjo infrastrukture 5G; 3. potrebne spremembe pravnih podlag na področju elektronskih komunikacij; 4. ukrepe za zagotovitev ustreznega območja radiofrekvenčnega spektra v Sloveniji; 5. konkretne ukrepe, potrebne za doseganje ciljev ter 6. ključne kazalnike uspešnosti za doseganje zastavljenih ciljev v določenih rokih.</w:t>
            </w:r>
          </w:p>
        </w:tc>
      </w:tr>
      <w:tr w:rsidR="001E76D1" w:rsidRPr="00DD6A04" w14:paraId="1CAD1499" w14:textId="77777777" w:rsidTr="00A70F67">
        <w:trPr>
          <w:trHeight w:val="309"/>
          <w:jc w:val="center"/>
        </w:trPr>
        <w:tc>
          <w:tcPr>
            <w:tcW w:w="1381" w:type="dxa"/>
            <w:shd w:val="clear" w:color="auto" w:fill="C6EFCE"/>
            <w:noWrap/>
          </w:tcPr>
          <w:p w14:paraId="3D2F3EF5" w14:textId="7A9F8FA9" w:rsidR="001E76D1" w:rsidRPr="00DD6A04" w:rsidRDefault="001E76D1" w:rsidP="001E76D1">
            <w:pPr>
              <w:spacing w:before="0" w:after="0" w:line="240" w:lineRule="auto"/>
              <w:rPr>
                <w:rFonts w:eastAsia="Times New Roman"/>
                <w:noProof/>
                <w:color w:val="006100"/>
                <w:sz w:val="22"/>
              </w:rPr>
            </w:pPr>
            <w:r>
              <w:rPr>
                <w:noProof/>
                <w:color w:val="006100"/>
                <w:sz w:val="22"/>
              </w:rPr>
              <w:t>95</w:t>
            </w:r>
          </w:p>
        </w:tc>
        <w:tc>
          <w:tcPr>
            <w:tcW w:w="1523" w:type="dxa"/>
            <w:shd w:val="clear" w:color="auto" w:fill="C6EFCE"/>
            <w:noWrap/>
          </w:tcPr>
          <w:p w14:paraId="588F18DD" w14:textId="565732F7" w:rsidR="001E76D1" w:rsidRPr="00DD6A04" w:rsidRDefault="001E76D1" w:rsidP="001E76D1">
            <w:pPr>
              <w:spacing w:before="0" w:after="0" w:line="240" w:lineRule="auto"/>
              <w:rPr>
                <w:rFonts w:eastAsia="Times New Roman"/>
                <w:noProof/>
                <w:color w:val="006100"/>
                <w:sz w:val="22"/>
              </w:rPr>
            </w:pPr>
            <w:r>
              <w:rPr>
                <w:noProof/>
                <w:color w:val="006100"/>
                <w:sz w:val="22"/>
              </w:rPr>
              <w:t>E: Zagotavljanje kibernetske varnosti</w:t>
            </w:r>
          </w:p>
        </w:tc>
        <w:tc>
          <w:tcPr>
            <w:tcW w:w="1016" w:type="dxa"/>
            <w:shd w:val="clear" w:color="auto" w:fill="C6EFCE"/>
            <w:noWrap/>
          </w:tcPr>
          <w:p w14:paraId="04B9CAA7" w14:textId="6A4B0F36"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66A01F83" w14:textId="5C937085" w:rsidR="001E76D1" w:rsidRPr="00DD6A04" w:rsidRDefault="001E76D1" w:rsidP="001E76D1">
            <w:pPr>
              <w:spacing w:before="0" w:after="0" w:line="240" w:lineRule="auto"/>
              <w:rPr>
                <w:rFonts w:eastAsia="Times New Roman"/>
                <w:noProof/>
                <w:color w:val="006100"/>
                <w:sz w:val="22"/>
              </w:rPr>
            </w:pPr>
            <w:r>
              <w:rPr>
                <w:noProof/>
                <w:color w:val="006100"/>
                <w:sz w:val="22"/>
              </w:rPr>
              <w:t>Večja zmogljivost javne uprave za odzivanje na kibernetske incidente</w:t>
            </w:r>
          </w:p>
        </w:tc>
        <w:tc>
          <w:tcPr>
            <w:tcW w:w="1947" w:type="dxa"/>
            <w:shd w:val="clear" w:color="auto" w:fill="C6EFCE"/>
            <w:noWrap/>
          </w:tcPr>
          <w:p w14:paraId="27E5E34C" w14:textId="1F50795B"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Operativni sistem za izmenjavo informacij in analizo, platforma za priglasitev varnostnih incidentov in certifikacijski organ za kibernetsko varnost </w:t>
            </w:r>
          </w:p>
        </w:tc>
        <w:tc>
          <w:tcPr>
            <w:tcW w:w="1103" w:type="dxa"/>
            <w:shd w:val="clear" w:color="auto" w:fill="C6EFCE"/>
            <w:noWrap/>
          </w:tcPr>
          <w:p w14:paraId="394D9401"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1000" w:type="dxa"/>
            <w:shd w:val="clear" w:color="auto" w:fill="C6EFCE"/>
            <w:noWrap/>
          </w:tcPr>
          <w:p w14:paraId="7033C972"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912" w:type="dxa"/>
            <w:shd w:val="clear" w:color="auto" w:fill="C6EFCE"/>
            <w:noWrap/>
          </w:tcPr>
          <w:p w14:paraId="0DC40783"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813" w:type="dxa"/>
            <w:shd w:val="clear" w:color="auto" w:fill="C6EFCE"/>
            <w:noWrap/>
          </w:tcPr>
          <w:p w14:paraId="3460F20D" w14:textId="6D4C6622"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06329ED0" w14:textId="26F70A88" w:rsidR="001E76D1" w:rsidRPr="00DD6A04" w:rsidRDefault="001E76D1" w:rsidP="001E76D1">
            <w:pPr>
              <w:spacing w:before="0" w:after="0" w:line="240" w:lineRule="auto"/>
              <w:rPr>
                <w:rFonts w:eastAsia="Times New Roman"/>
                <w:noProof/>
                <w:color w:val="006100"/>
                <w:sz w:val="22"/>
              </w:rPr>
            </w:pPr>
            <w:r>
              <w:rPr>
                <w:noProof/>
                <w:color w:val="006100"/>
                <w:sz w:val="22"/>
              </w:rPr>
              <w:t>2026</w:t>
            </w:r>
          </w:p>
        </w:tc>
        <w:tc>
          <w:tcPr>
            <w:tcW w:w="3361" w:type="dxa"/>
            <w:shd w:val="clear" w:color="auto" w:fill="C6EFCE"/>
            <w:noWrap/>
          </w:tcPr>
          <w:p w14:paraId="5F034CFB" w14:textId="6E5BD7B3" w:rsidR="001E76D1" w:rsidRPr="00DD6A04" w:rsidRDefault="001E76D1" w:rsidP="00637F9F">
            <w:pPr>
              <w:spacing w:before="0" w:after="0" w:line="240" w:lineRule="auto"/>
              <w:jc w:val="both"/>
              <w:rPr>
                <w:rFonts w:eastAsia="Times New Roman"/>
                <w:noProof/>
                <w:color w:val="006100"/>
                <w:sz w:val="22"/>
              </w:rPr>
            </w:pPr>
            <w:r>
              <w:rPr>
                <w:noProof/>
                <w:color w:val="006100"/>
                <w:sz w:val="22"/>
              </w:rPr>
              <w:t>Vzpostavljeni in operativni bodo nacionalni certifikacijski organ za kibernetsko varnost, funkcionalna platforma centra za izmenjavo in analizo informacij (ISAC) v okviru Urada Vlade za informacijsko varnost ter funkcionalna platforma za priglasitev varnostnih incidentov v okviru Urada Vlade za informacijsko varnost. Operativni sistem za izmenjavo informacij in analizo, platforma za priglasitev varnostnih incidentov in certifikacijski organ za kibernetsko varnost</w:t>
            </w:r>
          </w:p>
        </w:tc>
      </w:tr>
      <w:tr w:rsidR="001E76D1" w:rsidRPr="00DD6A04" w14:paraId="552EDD4D" w14:textId="77777777" w:rsidTr="00A70F67">
        <w:trPr>
          <w:trHeight w:val="309"/>
          <w:jc w:val="center"/>
        </w:trPr>
        <w:tc>
          <w:tcPr>
            <w:tcW w:w="1381" w:type="dxa"/>
            <w:shd w:val="clear" w:color="auto" w:fill="C6EFCE"/>
            <w:noWrap/>
          </w:tcPr>
          <w:p w14:paraId="76EFD708" w14:textId="546ED521" w:rsidR="001E76D1" w:rsidRPr="00DD6A04" w:rsidRDefault="001E76D1" w:rsidP="001E76D1">
            <w:pPr>
              <w:spacing w:before="0" w:after="0" w:line="240" w:lineRule="auto"/>
              <w:rPr>
                <w:rFonts w:eastAsia="Times New Roman"/>
                <w:noProof/>
                <w:color w:val="006100"/>
                <w:sz w:val="22"/>
              </w:rPr>
            </w:pPr>
            <w:r>
              <w:rPr>
                <w:noProof/>
                <w:color w:val="006100"/>
                <w:sz w:val="22"/>
              </w:rPr>
              <w:t>96</w:t>
            </w:r>
          </w:p>
        </w:tc>
        <w:tc>
          <w:tcPr>
            <w:tcW w:w="1523" w:type="dxa"/>
            <w:shd w:val="clear" w:color="auto" w:fill="C6EFCE"/>
            <w:noWrap/>
          </w:tcPr>
          <w:p w14:paraId="6A194DE2" w14:textId="3AF32A6E" w:rsidR="001E76D1" w:rsidRPr="00DD6A04" w:rsidRDefault="001E76D1" w:rsidP="001E76D1">
            <w:pPr>
              <w:spacing w:before="0" w:after="0" w:line="240" w:lineRule="auto"/>
              <w:rPr>
                <w:rFonts w:eastAsia="Times New Roman"/>
                <w:noProof/>
                <w:color w:val="006100"/>
                <w:sz w:val="22"/>
              </w:rPr>
            </w:pPr>
            <w:r>
              <w:rPr>
                <w:noProof/>
                <w:color w:val="006100"/>
                <w:sz w:val="22"/>
              </w:rPr>
              <w:t>G: Modernizacija digitalnega okolja javne uprave</w:t>
            </w:r>
          </w:p>
        </w:tc>
        <w:tc>
          <w:tcPr>
            <w:tcW w:w="1016" w:type="dxa"/>
            <w:shd w:val="clear" w:color="auto" w:fill="C6EFCE"/>
            <w:noWrap/>
          </w:tcPr>
          <w:p w14:paraId="1DAF96D4" w14:textId="77777777" w:rsidR="001E76D1" w:rsidRPr="00DD6A04" w:rsidRDefault="001E76D1" w:rsidP="001E76D1">
            <w:pPr>
              <w:spacing w:before="0" w:after="0" w:line="256" w:lineRule="auto"/>
              <w:rPr>
                <w:rFonts w:eastAsia="Times New Roman"/>
                <w:noProof/>
                <w:color w:val="006100"/>
                <w:sz w:val="22"/>
                <w:lang w:val="en-GB" w:eastAsia="en-GB"/>
              </w:rPr>
            </w:pPr>
          </w:p>
          <w:p w14:paraId="67CDBA3B" w14:textId="743A06D3"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5A6E4F2F" w14:textId="7124B540"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Vzpostavitev nacionalnega omrežja SI-EuroQCI </w:t>
            </w:r>
          </w:p>
        </w:tc>
        <w:tc>
          <w:tcPr>
            <w:tcW w:w="1947" w:type="dxa"/>
            <w:shd w:val="clear" w:color="auto" w:fill="C6EFCE"/>
            <w:noWrap/>
          </w:tcPr>
          <w:p w14:paraId="54E0B18A" w14:textId="284A47F8" w:rsidR="001E76D1" w:rsidRPr="00DD6A04" w:rsidRDefault="001E76D1" w:rsidP="001E76D1">
            <w:pPr>
              <w:spacing w:before="0" w:after="0" w:line="240" w:lineRule="auto"/>
              <w:rPr>
                <w:rFonts w:eastAsia="Times New Roman"/>
                <w:noProof/>
                <w:color w:val="006100"/>
                <w:sz w:val="22"/>
              </w:rPr>
            </w:pPr>
            <w:r>
              <w:rPr>
                <w:noProof/>
                <w:color w:val="006100"/>
                <w:sz w:val="22"/>
              </w:rPr>
              <w:t>Operativno nacionalno omrežje SI-EuroQCI</w:t>
            </w:r>
          </w:p>
        </w:tc>
        <w:tc>
          <w:tcPr>
            <w:tcW w:w="1103" w:type="dxa"/>
            <w:shd w:val="clear" w:color="auto" w:fill="C6EFCE"/>
            <w:noWrap/>
          </w:tcPr>
          <w:p w14:paraId="4B07D173"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1000" w:type="dxa"/>
            <w:shd w:val="clear" w:color="auto" w:fill="C6EFCE"/>
            <w:noWrap/>
          </w:tcPr>
          <w:p w14:paraId="05FB0C36"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912" w:type="dxa"/>
            <w:shd w:val="clear" w:color="auto" w:fill="C6EFCE"/>
            <w:noWrap/>
          </w:tcPr>
          <w:p w14:paraId="0B102885"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813" w:type="dxa"/>
            <w:shd w:val="clear" w:color="auto" w:fill="C6EFCE"/>
            <w:noWrap/>
          </w:tcPr>
          <w:p w14:paraId="05EF32F0" w14:textId="44B7C857"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4481D2A4" w14:textId="598D83E0" w:rsidR="001E76D1" w:rsidRPr="00DD6A04" w:rsidRDefault="001E76D1" w:rsidP="001E76D1">
            <w:pPr>
              <w:spacing w:before="0" w:after="0" w:line="240" w:lineRule="auto"/>
              <w:rPr>
                <w:rFonts w:eastAsia="Times New Roman"/>
                <w:noProof/>
                <w:color w:val="006100"/>
                <w:sz w:val="22"/>
              </w:rPr>
            </w:pPr>
            <w:r>
              <w:rPr>
                <w:noProof/>
                <w:color w:val="006100"/>
                <w:sz w:val="22"/>
              </w:rPr>
              <w:t>2026</w:t>
            </w:r>
          </w:p>
        </w:tc>
        <w:tc>
          <w:tcPr>
            <w:tcW w:w="3361" w:type="dxa"/>
            <w:shd w:val="clear" w:color="auto" w:fill="C6EFCE"/>
            <w:noWrap/>
          </w:tcPr>
          <w:p w14:paraId="437AB2EC" w14:textId="25091326" w:rsidR="001E76D1" w:rsidRPr="00DD6A04" w:rsidRDefault="001E76D1" w:rsidP="001E76D1">
            <w:pPr>
              <w:spacing w:before="0" w:after="0" w:line="240" w:lineRule="auto"/>
              <w:rPr>
                <w:rFonts w:eastAsia="Times New Roman"/>
                <w:noProof/>
                <w:color w:val="006100"/>
                <w:sz w:val="22"/>
              </w:rPr>
            </w:pPr>
            <w:r>
              <w:rPr>
                <w:noProof/>
                <w:color w:val="006100"/>
                <w:sz w:val="22"/>
              </w:rPr>
              <w:t>Nacionalno omrežje SI-EuroQCI (infrastruktura za varno kvantno komunikacijo) bo operativno ter povezano z nacionalnimi omrežji sosednjih držav ter konstelacijo namenskih satelitov.</w:t>
            </w:r>
          </w:p>
        </w:tc>
      </w:tr>
      <w:tr w:rsidR="001E76D1" w:rsidRPr="00DD6A04" w14:paraId="223B24D9" w14:textId="77777777" w:rsidTr="00A70F67">
        <w:trPr>
          <w:trHeight w:val="309"/>
          <w:jc w:val="center"/>
        </w:trPr>
        <w:tc>
          <w:tcPr>
            <w:tcW w:w="1381" w:type="dxa"/>
            <w:shd w:val="clear" w:color="auto" w:fill="C6EFCE"/>
            <w:noWrap/>
          </w:tcPr>
          <w:p w14:paraId="54E1D5C7" w14:textId="68306C6C" w:rsidR="001E76D1" w:rsidRPr="00DD6A04" w:rsidRDefault="001E76D1" w:rsidP="001E76D1">
            <w:pPr>
              <w:spacing w:before="0" w:after="0" w:line="240" w:lineRule="auto"/>
              <w:rPr>
                <w:rFonts w:eastAsia="Times New Roman"/>
                <w:noProof/>
                <w:color w:val="006100"/>
                <w:sz w:val="22"/>
              </w:rPr>
            </w:pPr>
            <w:r>
              <w:rPr>
                <w:noProof/>
                <w:color w:val="006100"/>
                <w:sz w:val="22"/>
              </w:rPr>
              <w:t>97</w:t>
            </w:r>
          </w:p>
        </w:tc>
        <w:tc>
          <w:tcPr>
            <w:tcW w:w="1523" w:type="dxa"/>
            <w:shd w:val="clear" w:color="auto" w:fill="C6EFCE"/>
            <w:noWrap/>
          </w:tcPr>
          <w:p w14:paraId="76D328C7" w14:textId="24BC6059" w:rsidR="001E76D1" w:rsidRPr="00DD6A04" w:rsidRDefault="001E76D1" w:rsidP="001E76D1">
            <w:pPr>
              <w:spacing w:before="0" w:after="0" w:line="240" w:lineRule="auto"/>
              <w:rPr>
                <w:rFonts w:eastAsia="Times New Roman"/>
                <w:noProof/>
                <w:color w:val="006100"/>
                <w:sz w:val="22"/>
              </w:rPr>
            </w:pPr>
            <w:r>
              <w:rPr>
                <w:noProof/>
                <w:color w:val="006100"/>
                <w:sz w:val="22"/>
              </w:rPr>
              <w:t>G: Modernizacija digitalnega okolja javne uprave</w:t>
            </w:r>
          </w:p>
        </w:tc>
        <w:tc>
          <w:tcPr>
            <w:tcW w:w="1016" w:type="dxa"/>
            <w:shd w:val="clear" w:color="auto" w:fill="C6EFCE"/>
            <w:noWrap/>
          </w:tcPr>
          <w:p w14:paraId="1DD0534E" w14:textId="69C90C7F"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5C18984C" w14:textId="60F15FFE"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Začetek delovanja platforme e-Zakonodaja </w:t>
            </w:r>
          </w:p>
        </w:tc>
        <w:tc>
          <w:tcPr>
            <w:tcW w:w="1947" w:type="dxa"/>
            <w:shd w:val="clear" w:color="auto" w:fill="C6EFCE"/>
            <w:noWrap/>
          </w:tcPr>
          <w:p w14:paraId="369787F5" w14:textId="26FC76C8" w:rsidR="001E76D1" w:rsidRPr="00DD6A04" w:rsidRDefault="001E76D1" w:rsidP="001E76D1">
            <w:pPr>
              <w:spacing w:before="0" w:after="0" w:line="240" w:lineRule="auto"/>
              <w:rPr>
                <w:rFonts w:eastAsia="Times New Roman"/>
                <w:noProof/>
                <w:color w:val="006100"/>
                <w:sz w:val="22"/>
              </w:rPr>
            </w:pPr>
            <w:r>
              <w:rPr>
                <w:noProof/>
                <w:color w:val="006100"/>
                <w:sz w:val="22"/>
              </w:rPr>
              <w:t>Začetek delovanja platforme e-Zakonodaja</w:t>
            </w:r>
          </w:p>
        </w:tc>
        <w:tc>
          <w:tcPr>
            <w:tcW w:w="1103" w:type="dxa"/>
            <w:shd w:val="clear" w:color="auto" w:fill="C6EFCE"/>
            <w:noWrap/>
          </w:tcPr>
          <w:p w14:paraId="6E478E81" w14:textId="3E659286"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000" w:type="dxa"/>
            <w:shd w:val="clear" w:color="auto" w:fill="C6EFCE"/>
            <w:noWrap/>
          </w:tcPr>
          <w:p w14:paraId="4A32D629" w14:textId="59B2FD8A"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912" w:type="dxa"/>
            <w:shd w:val="clear" w:color="auto" w:fill="C6EFCE"/>
            <w:noWrap/>
          </w:tcPr>
          <w:p w14:paraId="1B4EC0EF" w14:textId="42B56F53"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813" w:type="dxa"/>
            <w:shd w:val="clear" w:color="auto" w:fill="C6EFCE"/>
            <w:noWrap/>
          </w:tcPr>
          <w:p w14:paraId="374C42BA" w14:textId="457C94F9"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03A8B25D" w14:textId="576BFBC8" w:rsidR="001E76D1" w:rsidRPr="00DD6A04" w:rsidRDefault="001E76D1" w:rsidP="001E76D1">
            <w:pPr>
              <w:spacing w:before="0" w:after="0" w:line="240" w:lineRule="auto"/>
              <w:rPr>
                <w:rFonts w:eastAsia="Times New Roman"/>
                <w:noProof/>
                <w:color w:val="006100"/>
                <w:sz w:val="22"/>
              </w:rPr>
            </w:pPr>
            <w:r>
              <w:rPr>
                <w:noProof/>
                <w:color w:val="006100"/>
                <w:sz w:val="22"/>
              </w:rPr>
              <w:t>2025</w:t>
            </w:r>
          </w:p>
        </w:tc>
        <w:tc>
          <w:tcPr>
            <w:tcW w:w="3361" w:type="dxa"/>
            <w:shd w:val="clear" w:color="auto" w:fill="C6EFCE"/>
            <w:noWrap/>
          </w:tcPr>
          <w:p w14:paraId="64A71400" w14:textId="77777777" w:rsidR="001E76D1" w:rsidRPr="00DD6A04" w:rsidRDefault="001E76D1" w:rsidP="001E76D1">
            <w:pPr>
              <w:spacing w:before="0" w:after="0" w:line="256" w:lineRule="auto"/>
              <w:rPr>
                <w:rFonts w:eastAsia="Times New Roman"/>
                <w:noProof/>
                <w:color w:val="006100"/>
                <w:sz w:val="22"/>
              </w:rPr>
            </w:pPr>
            <w:r>
              <w:rPr>
                <w:noProof/>
                <w:color w:val="006100"/>
                <w:sz w:val="22"/>
              </w:rPr>
              <w:t xml:space="preserve">V okviru enotne digitalne platforme se bodo izvajale vse dejavnosti v zvezi s pripravo, sprejetjem in objavo zakonodaje za vse javne organe. </w:t>
            </w:r>
          </w:p>
          <w:p w14:paraId="79CF56A0" w14:textId="78B736DD" w:rsidR="001E76D1" w:rsidRPr="00DD6A04" w:rsidRDefault="001E76D1" w:rsidP="001E76D1">
            <w:pPr>
              <w:spacing w:before="0" w:after="0" w:line="240" w:lineRule="auto"/>
              <w:rPr>
                <w:rFonts w:eastAsia="Times New Roman"/>
                <w:noProof/>
                <w:color w:val="006100"/>
                <w:sz w:val="22"/>
              </w:rPr>
            </w:pPr>
            <w:r>
              <w:rPr>
                <w:noProof/>
                <w:color w:val="006100"/>
                <w:sz w:val="22"/>
              </w:rPr>
              <w:t>Zunanji deležniki in javnost bodo do digitalne platforme dostopali prek nadgrajenega nacionalnega pravno-zakonodajnega portala.</w:t>
            </w:r>
          </w:p>
        </w:tc>
      </w:tr>
      <w:tr w:rsidR="001E76D1" w:rsidRPr="00DD6A04" w14:paraId="1B9A5130" w14:textId="77777777" w:rsidTr="00A70F67">
        <w:trPr>
          <w:trHeight w:val="309"/>
          <w:jc w:val="center"/>
        </w:trPr>
        <w:tc>
          <w:tcPr>
            <w:tcW w:w="1381" w:type="dxa"/>
            <w:shd w:val="clear" w:color="auto" w:fill="C6EFCE"/>
            <w:noWrap/>
          </w:tcPr>
          <w:p w14:paraId="5FC14337" w14:textId="27C0A796" w:rsidR="001E76D1" w:rsidRPr="00DD6A04" w:rsidRDefault="001E76D1" w:rsidP="001E76D1">
            <w:pPr>
              <w:spacing w:before="0" w:after="0" w:line="240" w:lineRule="auto"/>
              <w:rPr>
                <w:rFonts w:eastAsia="Times New Roman"/>
                <w:noProof/>
                <w:color w:val="006100"/>
                <w:sz w:val="22"/>
              </w:rPr>
            </w:pPr>
            <w:r>
              <w:rPr>
                <w:noProof/>
                <w:color w:val="006100"/>
                <w:sz w:val="22"/>
              </w:rPr>
              <w:t>98</w:t>
            </w:r>
          </w:p>
        </w:tc>
        <w:tc>
          <w:tcPr>
            <w:tcW w:w="1523" w:type="dxa"/>
            <w:shd w:val="clear" w:color="auto" w:fill="C6EFCE"/>
            <w:noWrap/>
          </w:tcPr>
          <w:p w14:paraId="143C82AE" w14:textId="24E9DD2A" w:rsidR="001E76D1" w:rsidRPr="00DD6A04" w:rsidRDefault="001E76D1" w:rsidP="001E76D1">
            <w:pPr>
              <w:spacing w:before="0" w:after="0" w:line="240" w:lineRule="auto"/>
              <w:rPr>
                <w:rFonts w:eastAsia="Times New Roman"/>
                <w:noProof/>
                <w:color w:val="006100"/>
                <w:sz w:val="22"/>
              </w:rPr>
            </w:pPr>
            <w:r>
              <w:rPr>
                <w:noProof/>
                <w:color w:val="006100"/>
                <w:sz w:val="22"/>
              </w:rPr>
              <w:t>G: Modernizacija digitalnega okolja javne uprave</w:t>
            </w:r>
          </w:p>
        </w:tc>
        <w:tc>
          <w:tcPr>
            <w:tcW w:w="1016" w:type="dxa"/>
            <w:shd w:val="clear" w:color="auto" w:fill="C6EFCE"/>
            <w:noWrap/>
          </w:tcPr>
          <w:p w14:paraId="706DFDB0" w14:textId="3AD66C86"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46AA36C8" w14:textId="3A65B351" w:rsidR="001E76D1" w:rsidRPr="00DD6A04" w:rsidRDefault="001E76D1" w:rsidP="001E76D1">
            <w:pPr>
              <w:spacing w:before="0" w:after="0" w:line="240" w:lineRule="auto"/>
              <w:rPr>
                <w:rFonts w:eastAsia="Times New Roman"/>
                <w:noProof/>
                <w:color w:val="006100"/>
                <w:sz w:val="22"/>
              </w:rPr>
            </w:pPr>
            <w:r>
              <w:rPr>
                <w:noProof/>
                <w:color w:val="006100"/>
                <w:sz w:val="22"/>
              </w:rPr>
              <w:t>Število udeležb javnih uslužbencev, ki so zaključili usposabljanje na področju digitalnih znanj in spretnosti</w:t>
            </w:r>
          </w:p>
        </w:tc>
        <w:tc>
          <w:tcPr>
            <w:tcW w:w="1947" w:type="dxa"/>
            <w:shd w:val="clear" w:color="auto" w:fill="C6EFCE"/>
            <w:noWrap/>
          </w:tcPr>
          <w:p w14:paraId="0B047B97" w14:textId="6D59C3CC"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103" w:type="dxa"/>
            <w:shd w:val="clear" w:color="auto" w:fill="C6EFCE"/>
            <w:noWrap/>
          </w:tcPr>
          <w:p w14:paraId="4605F6AB" w14:textId="27B955D5"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6DD4DB68" w14:textId="0C1E9570"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19F20418" w14:textId="0C57A0FD" w:rsidR="001E76D1" w:rsidRPr="00DD6A04" w:rsidRDefault="001E76D1" w:rsidP="001E76D1">
            <w:pPr>
              <w:spacing w:before="0" w:after="0" w:line="240" w:lineRule="auto"/>
              <w:rPr>
                <w:rFonts w:eastAsia="Times New Roman"/>
                <w:noProof/>
                <w:color w:val="006100"/>
                <w:sz w:val="22"/>
              </w:rPr>
            </w:pPr>
            <w:r>
              <w:rPr>
                <w:noProof/>
                <w:color w:val="006100"/>
                <w:sz w:val="22"/>
              </w:rPr>
              <w:t>40000</w:t>
            </w:r>
          </w:p>
        </w:tc>
        <w:tc>
          <w:tcPr>
            <w:tcW w:w="813" w:type="dxa"/>
            <w:shd w:val="clear" w:color="auto" w:fill="C6EFCE"/>
            <w:noWrap/>
          </w:tcPr>
          <w:p w14:paraId="7493C1FD" w14:textId="18C7BF56"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63860CBB" w14:textId="42040D46" w:rsidR="001E76D1" w:rsidRPr="00DD6A04" w:rsidRDefault="001E76D1" w:rsidP="001E76D1">
            <w:pPr>
              <w:spacing w:before="0" w:after="0" w:line="240" w:lineRule="auto"/>
              <w:rPr>
                <w:rFonts w:eastAsia="Times New Roman"/>
                <w:noProof/>
                <w:color w:val="006100"/>
                <w:sz w:val="22"/>
              </w:rPr>
            </w:pPr>
            <w:r>
              <w:rPr>
                <w:noProof/>
                <w:color w:val="006100"/>
                <w:sz w:val="22"/>
              </w:rPr>
              <w:t>2026</w:t>
            </w:r>
          </w:p>
        </w:tc>
        <w:tc>
          <w:tcPr>
            <w:tcW w:w="3361" w:type="dxa"/>
            <w:shd w:val="clear" w:color="auto" w:fill="C6EFCE"/>
            <w:noWrap/>
          </w:tcPr>
          <w:p w14:paraId="28A34BA9" w14:textId="7C2E6B0C"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Na usposabljanjih za digitalne kompetence bo realiziranih vsaj 40 000 udeležb. To vključuje vsaj 1 000 udeležb strokovnjakov za informacijsko tehnologijo (zaposlenih javnih uslužbencev) na specialističnih IT usposabljanjih. </w:t>
            </w:r>
          </w:p>
        </w:tc>
      </w:tr>
      <w:tr w:rsidR="001E76D1" w:rsidRPr="00DD6A04" w14:paraId="359418A1" w14:textId="77777777" w:rsidTr="00A70F67">
        <w:trPr>
          <w:trHeight w:val="309"/>
          <w:jc w:val="center"/>
        </w:trPr>
        <w:tc>
          <w:tcPr>
            <w:tcW w:w="1381" w:type="dxa"/>
            <w:shd w:val="clear" w:color="auto" w:fill="C6EFCE"/>
            <w:noWrap/>
          </w:tcPr>
          <w:p w14:paraId="23AEBEDF" w14:textId="20223D6C" w:rsidR="001E76D1" w:rsidRPr="00DD6A04" w:rsidRDefault="001E76D1" w:rsidP="001E76D1">
            <w:pPr>
              <w:spacing w:before="0" w:after="0" w:line="240" w:lineRule="auto"/>
              <w:rPr>
                <w:rFonts w:eastAsia="Times New Roman"/>
                <w:noProof/>
                <w:color w:val="006100"/>
                <w:sz w:val="22"/>
              </w:rPr>
            </w:pPr>
            <w:r>
              <w:rPr>
                <w:noProof/>
                <w:color w:val="006100"/>
                <w:sz w:val="22"/>
              </w:rPr>
              <w:t>99</w:t>
            </w:r>
          </w:p>
        </w:tc>
        <w:tc>
          <w:tcPr>
            <w:tcW w:w="1523" w:type="dxa"/>
            <w:shd w:val="clear" w:color="auto" w:fill="C6EFCE"/>
            <w:noWrap/>
          </w:tcPr>
          <w:p w14:paraId="01DD2FCE" w14:textId="5C9B0EA2" w:rsidR="001E76D1" w:rsidRPr="00DD6A04" w:rsidRDefault="001E76D1" w:rsidP="001E76D1">
            <w:pPr>
              <w:spacing w:before="0" w:after="0" w:line="240" w:lineRule="auto"/>
              <w:rPr>
                <w:rFonts w:eastAsia="Times New Roman"/>
                <w:noProof/>
                <w:color w:val="006100"/>
                <w:sz w:val="22"/>
              </w:rPr>
            </w:pPr>
            <w:r>
              <w:rPr>
                <w:noProof/>
                <w:color w:val="006100"/>
                <w:sz w:val="22"/>
              </w:rPr>
              <w:t>H: Gigabitna infrastruktura</w:t>
            </w:r>
          </w:p>
        </w:tc>
        <w:tc>
          <w:tcPr>
            <w:tcW w:w="1016" w:type="dxa"/>
            <w:shd w:val="clear" w:color="auto" w:fill="C6EFCE"/>
            <w:noWrap/>
          </w:tcPr>
          <w:p w14:paraId="1D7FAD8E" w14:textId="438D31BF"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4631F183" w14:textId="1ABA3E83"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Dodatna gospodinjstva s širokopasovnim dostopom </w:t>
            </w:r>
          </w:p>
        </w:tc>
        <w:tc>
          <w:tcPr>
            <w:tcW w:w="1947" w:type="dxa"/>
            <w:shd w:val="clear" w:color="auto" w:fill="C6EFCE"/>
            <w:noWrap/>
          </w:tcPr>
          <w:p w14:paraId="050AFFAB" w14:textId="75FCDE0F"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103" w:type="dxa"/>
            <w:shd w:val="clear" w:color="auto" w:fill="C6EFCE"/>
            <w:noWrap/>
          </w:tcPr>
          <w:p w14:paraId="11FEE4C4" w14:textId="00DFE7AE"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7A9AFC08" w14:textId="28C7A600"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26C3AE07" w14:textId="1BCDA32C" w:rsidR="001E76D1" w:rsidRPr="00DD6A04" w:rsidRDefault="001E76D1" w:rsidP="001E76D1">
            <w:pPr>
              <w:spacing w:before="0" w:after="0" w:line="240" w:lineRule="auto"/>
              <w:rPr>
                <w:rFonts w:eastAsia="Times New Roman"/>
                <w:noProof/>
                <w:color w:val="006100"/>
                <w:sz w:val="22"/>
              </w:rPr>
            </w:pPr>
            <w:r>
              <w:rPr>
                <w:noProof/>
                <w:color w:val="006100"/>
                <w:sz w:val="22"/>
              </w:rPr>
              <w:t>6838</w:t>
            </w:r>
          </w:p>
        </w:tc>
        <w:tc>
          <w:tcPr>
            <w:tcW w:w="813" w:type="dxa"/>
            <w:shd w:val="clear" w:color="auto" w:fill="C6EFCE"/>
            <w:noWrap/>
          </w:tcPr>
          <w:p w14:paraId="3BF80468" w14:textId="5DB95B76"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34CDD6A9" w14:textId="2AF698D5" w:rsidR="001E76D1" w:rsidRPr="00DD6A04" w:rsidRDefault="001E76D1" w:rsidP="001E76D1">
            <w:pPr>
              <w:spacing w:before="0" w:after="0" w:line="240" w:lineRule="auto"/>
              <w:rPr>
                <w:rFonts w:eastAsia="Times New Roman"/>
                <w:noProof/>
                <w:color w:val="006100"/>
                <w:sz w:val="22"/>
              </w:rPr>
            </w:pPr>
            <w:r>
              <w:rPr>
                <w:noProof/>
                <w:color w:val="006100"/>
                <w:sz w:val="22"/>
              </w:rPr>
              <w:t>2026</w:t>
            </w:r>
          </w:p>
        </w:tc>
        <w:tc>
          <w:tcPr>
            <w:tcW w:w="3361" w:type="dxa"/>
            <w:shd w:val="clear" w:color="auto" w:fill="C6EFCE"/>
            <w:noWrap/>
          </w:tcPr>
          <w:p w14:paraId="57B0D2CE" w14:textId="6FBE0C0C" w:rsidR="001E76D1" w:rsidRPr="00DD6A04" w:rsidRDefault="001E76D1" w:rsidP="001E76D1">
            <w:pPr>
              <w:spacing w:before="0" w:after="0" w:line="240" w:lineRule="auto"/>
              <w:rPr>
                <w:rFonts w:eastAsia="Times New Roman"/>
                <w:noProof/>
                <w:color w:val="006100"/>
                <w:sz w:val="22"/>
              </w:rPr>
            </w:pPr>
            <w:r>
              <w:rPr>
                <w:noProof/>
                <w:color w:val="006100"/>
                <w:sz w:val="22"/>
              </w:rPr>
              <w:t>Vsaj 6 838 dodatnih gospodinjstev z nadgradljivimi in zelo visokozmogljivimi širokopasovnimi povezavami.</w:t>
            </w:r>
            <w:r w:rsidR="00037751">
              <w:rPr>
                <w:noProof/>
                <w:color w:val="006100"/>
                <w:sz w:val="22"/>
              </w:rPr>
              <w:t xml:space="preserve"> </w:t>
            </w:r>
            <w:r>
              <w:rPr>
                <w:noProof/>
                <w:color w:val="006100"/>
                <w:sz w:val="22"/>
              </w:rPr>
              <w:t xml:space="preserve">Gre za gospodinjstva, ki se nahajajo na redko poseljenih območjih in območjih, na katerih ni visokozmogljive širokopasovne infrastrukture (območja „belih lis“). </w:t>
            </w:r>
          </w:p>
        </w:tc>
      </w:tr>
      <w:tr w:rsidR="001E76D1" w:rsidRPr="00DD6A04" w14:paraId="224A159F" w14:textId="77777777" w:rsidTr="00A70F67">
        <w:trPr>
          <w:trHeight w:val="309"/>
          <w:jc w:val="center"/>
        </w:trPr>
        <w:tc>
          <w:tcPr>
            <w:tcW w:w="1381" w:type="dxa"/>
            <w:shd w:val="clear" w:color="auto" w:fill="C6EFCE"/>
            <w:noWrap/>
          </w:tcPr>
          <w:p w14:paraId="2C7A6CD2" w14:textId="4E9D7F59" w:rsidR="001E76D1" w:rsidRPr="00DD6A04" w:rsidRDefault="001E76D1" w:rsidP="001E76D1">
            <w:pPr>
              <w:spacing w:before="0" w:after="0" w:line="240" w:lineRule="auto"/>
              <w:rPr>
                <w:rFonts w:eastAsia="Times New Roman"/>
                <w:noProof/>
                <w:color w:val="006100"/>
                <w:sz w:val="22"/>
              </w:rPr>
            </w:pPr>
            <w:r>
              <w:rPr>
                <w:noProof/>
                <w:color w:val="006100"/>
                <w:sz w:val="22"/>
              </w:rPr>
              <w:t>100</w:t>
            </w:r>
          </w:p>
        </w:tc>
        <w:tc>
          <w:tcPr>
            <w:tcW w:w="1523" w:type="dxa"/>
            <w:shd w:val="clear" w:color="auto" w:fill="C6EFCE"/>
            <w:noWrap/>
          </w:tcPr>
          <w:p w14:paraId="6FAD8AD4" w14:textId="0B2B4D2E" w:rsidR="001E76D1" w:rsidRPr="00DD6A04" w:rsidRDefault="001E76D1" w:rsidP="001E76D1">
            <w:pPr>
              <w:spacing w:before="0" w:after="0" w:line="240" w:lineRule="auto"/>
              <w:rPr>
                <w:rFonts w:eastAsia="Times New Roman"/>
                <w:noProof/>
                <w:color w:val="006100"/>
                <w:sz w:val="22"/>
              </w:rPr>
            </w:pPr>
            <w:r>
              <w:rPr>
                <w:noProof/>
                <w:color w:val="006100"/>
                <w:sz w:val="22"/>
              </w:rPr>
              <w:t>I: Digitalizacija notranje varnosti</w:t>
            </w:r>
          </w:p>
        </w:tc>
        <w:tc>
          <w:tcPr>
            <w:tcW w:w="1016" w:type="dxa"/>
            <w:shd w:val="clear" w:color="auto" w:fill="C6EFCE"/>
            <w:noWrap/>
          </w:tcPr>
          <w:p w14:paraId="6FB3DF59" w14:textId="173C9B01"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628C4EBE" w14:textId="0B133F2C"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Uporabniki novega policijskega digitalnega radijskega omrežja (TETRA) </w:t>
            </w:r>
          </w:p>
        </w:tc>
        <w:tc>
          <w:tcPr>
            <w:tcW w:w="1947" w:type="dxa"/>
            <w:shd w:val="clear" w:color="auto" w:fill="C6EFCE"/>
            <w:noWrap/>
          </w:tcPr>
          <w:p w14:paraId="3BB5C124" w14:textId="7C6B2B3C"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103" w:type="dxa"/>
            <w:shd w:val="clear" w:color="auto" w:fill="C6EFCE"/>
            <w:noWrap/>
          </w:tcPr>
          <w:p w14:paraId="46BF4E0E" w14:textId="36669C1A"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34224FF8" w14:textId="197F5C4D"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2362B19D" w14:textId="4604BB0E" w:rsidR="001E76D1" w:rsidRPr="00DD6A04" w:rsidRDefault="001E76D1" w:rsidP="001E76D1">
            <w:pPr>
              <w:spacing w:before="0" w:after="0" w:line="240" w:lineRule="auto"/>
              <w:rPr>
                <w:rFonts w:eastAsia="Times New Roman"/>
                <w:noProof/>
                <w:color w:val="006100"/>
                <w:sz w:val="22"/>
              </w:rPr>
            </w:pPr>
            <w:r>
              <w:rPr>
                <w:noProof/>
                <w:color w:val="006100"/>
                <w:sz w:val="22"/>
              </w:rPr>
              <w:t>11000</w:t>
            </w:r>
          </w:p>
        </w:tc>
        <w:tc>
          <w:tcPr>
            <w:tcW w:w="813" w:type="dxa"/>
            <w:shd w:val="clear" w:color="auto" w:fill="C6EFCE"/>
            <w:noWrap/>
          </w:tcPr>
          <w:p w14:paraId="1C44A9AE" w14:textId="3E88F40F"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112E434B" w14:textId="2707B379" w:rsidR="001E76D1" w:rsidRPr="00DD6A04" w:rsidRDefault="001E76D1" w:rsidP="001E76D1">
            <w:pPr>
              <w:spacing w:before="0" w:after="0" w:line="240" w:lineRule="auto"/>
              <w:rPr>
                <w:rFonts w:eastAsia="Times New Roman"/>
                <w:noProof/>
                <w:color w:val="006100"/>
                <w:sz w:val="22"/>
              </w:rPr>
            </w:pPr>
            <w:r>
              <w:rPr>
                <w:noProof/>
                <w:color w:val="006100"/>
                <w:sz w:val="22"/>
              </w:rPr>
              <w:t>2022</w:t>
            </w:r>
          </w:p>
        </w:tc>
        <w:tc>
          <w:tcPr>
            <w:tcW w:w="3361" w:type="dxa"/>
            <w:shd w:val="clear" w:color="auto" w:fill="C6EFCE"/>
            <w:noWrap/>
          </w:tcPr>
          <w:p w14:paraId="6D7D027E" w14:textId="77777777" w:rsidR="001E76D1" w:rsidRPr="00DD6A04" w:rsidRDefault="001E76D1" w:rsidP="001E76D1">
            <w:pPr>
              <w:spacing w:before="0" w:after="0" w:line="256" w:lineRule="auto"/>
              <w:rPr>
                <w:rFonts w:eastAsia="Times New Roman"/>
                <w:noProof/>
                <w:color w:val="006100"/>
                <w:sz w:val="22"/>
              </w:rPr>
            </w:pPr>
            <w:r>
              <w:rPr>
                <w:noProof/>
                <w:color w:val="006100"/>
                <w:sz w:val="22"/>
              </w:rPr>
              <w:t xml:space="preserve">Digitalno radijsko omrežje nacionalnih organov Republike Slovenije naj bi imelo 11 000 uporabnikov. </w:t>
            </w:r>
          </w:p>
          <w:p w14:paraId="36D847DF" w14:textId="6FD59E4C" w:rsidR="001E76D1" w:rsidRPr="00DD6A04" w:rsidRDefault="001E76D1" w:rsidP="001E76D1">
            <w:pPr>
              <w:spacing w:before="0" w:after="0" w:line="240" w:lineRule="auto"/>
              <w:rPr>
                <w:rFonts w:eastAsia="Times New Roman"/>
                <w:noProof/>
                <w:color w:val="006100"/>
                <w:sz w:val="22"/>
              </w:rPr>
            </w:pPr>
            <w:r>
              <w:rPr>
                <w:noProof/>
                <w:color w:val="006100"/>
                <w:sz w:val="22"/>
              </w:rPr>
              <w:t>Omrežje bo uporabljalo radijske frekvence za javno varnost, usklajene na ravni EU, in bo združljivo z nacionalnimi radijskimi sistemi sosednjih držav.</w:t>
            </w:r>
          </w:p>
        </w:tc>
      </w:tr>
      <w:tr w:rsidR="001E76D1" w:rsidRPr="00DD6A04" w14:paraId="0F9A0D57" w14:textId="77777777" w:rsidTr="00A70F67">
        <w:trPr>
          <w:trHeight w:val="309"/>
          <w:jc w:val="center"/>
        </w:trPr>
        <w:tc>
          <w:tcPr>
            <w:tcW w:w="1381" w:type="dxa"/>
            <w:shd w:val="clear" w:color="auto" w:fill="C6EFCE"/>
            <w:noWrap/>
          </w:tcPr>
          <w:p w14:paraId="247C24CF" w14:textId="7126B3A1" w:rsidR="001E76D1" w:rsidRPr="00DD6A04" w:rsidRDefault="001E76D1" w:rsidP="001E76D1">
            <w:pPr>
              <w:spacing w:before="0" w:after="0" w:line="240" w:lineRule="auto"/>
              <w:rPr>
                <w:rFonts w:eastAsia="Times New Roman"/>
                <w:noProof/>
                <w:color w:val="006100"/>
                <w:sz w:val="22"/>
              </w:rPr>
            </w:pPr>
            <w:r>
              <w:rPr>
                <w:noProof/>
                <w:color w:val="006100"/>
                <w:sz w:val="22"/>
              </w:rPr>
              <w:t>101</w:t>
            </w:r>
          </w:p>
        </w:tc>
        <w:tc>
          <w:tcPr>
            <w:tcW w:w="1523" w:type="dxa"/>
            <w:shd w:val="clear" w:color="auto" w:fill="C6EFCE"/>
            <w:noWrap/>
          </w:tcPr>
          <w:p w14:paraId="499CD345" w14:textId="74C62896" w:rsidR="001E76D1" w:rsidRPr="00DD6A04" w:rsidRDefault="001E76D1" w:rsidP="001E76D1">
            <w:pPr>
              <w:spacing w:before="0" w:after="0" w:line="240" w:lineRule="auto"/>
              <w:rPr>
                <w:rFonts w:eastAsia="Times New Roman"/>
                <w:noProof/>
                <w:color w:val="006100"/>
                <w:sz w:val="22"/>
              </w:rPr>
            </w:pPr>
            <w:r>
              <w:rPr>
                <w:noProof/>
                <w:color w:val="006100"/>
                <w:sz w:val="22"/>
              </w:rPr>
              <w:t>I: Digitalizacija notranje varnosti</w:t>
            </w:r>
          </w:p>
        </w:tc>
        <w:tc>
          <w:tcPr>
            <w:tcW w:w="1016" w:type="dxa"/>
            <w:shd w:val="clear" w:color="auto" w:fill="C6EFCE"/>
            <w:noWrap/>
          </w:tcPr>
          <w:p w14:paraId="2061CF24" w14:textId="7110017E" w:rsidR="001E76D1" w:rsidRPr="00DD6A04" w:rsidRDefault="001E76D1" w:rsidP="001E76D1">
            <w:pPr>
              <w:spacing w:before="0" w:after="0" w:line="240" w:lineRule="auto"/>
              <w:rPr>
                <w:rFonts w:eastAsia="Times New Roman"/>
                <w:noProof/>
                <w:color w:val="006100"/>
                <w:sz w:val="22"/>
              </w:rPr>
            </w:pPr>
            <w:r>
              <w:rPr>
                <w:noProof/>
                <w:color w:val="006100"/>
                <w:sz w:val="22"/>
              </w:rPr>
              <w:t>Mejnik</w:t>
            </w:r>
          </w:p>
        </w:tc>
        <w:tc>
          <w:tcPr>
            <w:tcW w:w="1559" w:type="dxa"/>
            <w:shd w:val="clear" w:color="auto" w:fill="C6EFCE"/>
            <w:noWrap/>
          </w:tcPr>
          <w:p w14:paraId="63546015" w14:textId="0E163A7C" w:rsidR="001E76D1" w:rsidRPr="00DD6A04" w:rsidRDefault="001E76D1" w:rsidP="001E76D1">
            <w:pPr>
              <w:spacing w:before="0" w:after="0" w:line="240" w:lineRule="auto"/>
              <w:rPr>
                <w:rFonts w:eastAsia="Times New Roman"/>
                <w:noProof/>
                <w:color w:val="006100"/>
                <w:sz w:val="22"/>
              </w:rPr>
            </w:pPr>
            <w:r>
              <w:rPr>
                <w:noProof/>
                <w:color w:val="006100"/>
                <w:sz w:val="22"/>
              </w:rPr>
              <w:t>Operativen zasebni oblak policije</w:t>
            </w:r>
          </w:p>
        </w:tc>
        <w:tc>
          <w:tcPr>
            <w:tcW w:w="1947" w:type="dxa"/>
            <w:shd w:val="clear" w:color="auto" w:fill="C6EFCE"/>
            <w:noWrap/>
          </w:tcPr>
          <w:p w14:paraId="36F6F4D3" w14:textId="05CE5655" w:rsidR="001E76D1" w:rsidRPr="00DD6A04" w:rsidRDefault="001E76D1" w:rsidP="001E76D1">
            <w:pPr>
              <w:spacing w:before="0" w:after="0" w:line="240" w:lineRule="auto"/>
              <w:rPr>
                <w:rFonts w:eastAsia="Times New Roman"/>
                <w:noProof/>
                <w:color w:val="006100"/>
                <w:sz w:val="22"/>
              </w:rPr>
            </w:pPr>
            <w:r>
              <w:rPr>
                <w:noProof/>
                <w:color w:val="006100"/>
                <w:sz w:val="22"/>
              </w:rPr>
              <w:t>Operativen zasebni oblak policije</w:t>
            </w:r>
          </w:p>
        </w:tc>
        <w:tc>
          <w:tcPr>
            <w:tcW w:w="1103" w:type="dxa"/>
            <w:shd w:val="clear" w:color="auto" w:fill="C6EFCE"/>
            <w:noWrap/>
          </w:tcPr>
          <w:p w14:paraId="3B1B0B69" w14:textId="57D29F98"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000" w:type="dxa"/>
            <w:shd w:val="clear" w:color="auto" w:fill="C6EFCE"/>
            <w:noWrap/>
          </w:tcPr>
          <w:p w14:paraId="17917CEF" w14:textId="46416435"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912" w:type="dxa"/>
            <w:shd w:val="clear" w:color="auto" w:fill="C6EFCE"/>
            <w:noWrap/>
          </w:tcPr>
          <w:p w14:paraId="4372A2BC" w14:textId="55AE24DD"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813" w:type="dxa"/>
            <w:shd w:val="clear" w:color="auto" w:fill="C6EFCE"/>
            <w:noWrap/>
          </w:tcPr>
          <w:p w14:paraId="1FD9CBD5" w14:textId="14C9036F"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016D7370" w14:textId="7E95884C" w:rsidR="001E76D1" w:rsidRPr="00DD6A04" w:rsidRDefault="001E76D1" w:rsidP="001E76D1">
            <w:pPr>
              <w:spacing w:before="0" w:after="0" w:line="240" w:lineRule="auto"/>
              <w:rPr>
                <w:rFonts w:eastAsia="Times New Roman"/>
                <w:noProof/>
                <w:color w:val="006100"/>
                <w:sz w:val="22"/>
              </w:rPr>
            </w:pPr>
            <w:r>
              <w:rPr>
                <w:noProof/>
                <w:color w:val="006100"/>
                <w:sz w:val="22"/>
              </w:rPr>
              <w:t>2025</w:t>
            </w:r>
          </w:p>
        </w:tc>
        <w:tc>
          <w:tcPr>
            <w:tcW w:w="3361" w:type="dxa"/>
            <w:shd w:val="clear" w:color="auto" w:fill="C6EFCE"/>
            <w:noWrap/>
          </w:tcPr>
          <w:p w14:paraId="5EF246FC" w14:textId="499AB6AF" w:rsidR="001E76D1" w:rsidRPr="00DD6A04" w:rsidRDefault="001E76D1" w:rsidP="001E76D1">
            <w:pPr>
              <w:spacing w:before="0" w:after="0" w:line="240" w:lineRule="auto"/>
              <w:rPr>
                <w:rFonts w:eastAsia="Times New Roman"/>
                <w:noProof/>
                <w:color w:val="006100"/>
                <w:sz w:val="22"/>
              </w:rPr>
            </w:pPr>
            <w:r>
              <w:rPr>
                <w:noProof/>
                <w:color w:val="006100"/>
                <w:sz w:val="22"/>
              </w:rPr>
              <w:t>V oblaku bodo nameščene in se bodo uporabljale aplikacije v podporo področjem preprečevanja kriminala, javne varnosti, mejnih kontrol in poslovnih procesov.</w:t>
            </w:r>
          </w:p>
        </w:tc>
      </w:tr>
      <w:tr w:rsidR="001E76D1" w:rsidRPr="00DD6A04" w14:paraId="026397AA" w14:textId="77777777" w:rsidTr="00A70F67">
        <w:trPr>
          <w:trHeight w:val="309"/>
          <w:jc w:val="center"/>
        </w:trPr>
        <w:tc>
          <w:tcPr>
            <w:tcW w:w="1381" w:type="dxa"/>
            <w:shd w:val="clear" w:color="auto" w:fill="C6EFCE"/>
            <w:noWrap/>
          </w:tcPr>
          <w:p w14:paraId="32C96818" w14:textId="4F5F20C7" w:rsidR="001E76D1" w:rsidRPr="00DD6A04" w:rsidRDefault="001E76D1" w:rsidP="001E76D1">
            <w:pPr>
              <w:spacing w:before="0" w:after="0" w:line="240" w:lineRule="auto"/>
              <w:rPr>
                <w:rFonts w:eastAsia="Times New Roman"/>
                <w:noProof/>
                <w:color w:val="006100"/>
                <w:sz w:val="22"/>
              </w:rPr>
            </w:pPr>
            <w:r>
              <w:rPr>
                <w:noProof/>
                <w:color w:val="006100"/>
                <w:sz w:val="22"/>
              </w:rPr>
              <w:t>102</w:t>
            </w:r>
          </w:p>
        </w:tc>
        <w:tc>
          <w:tcPr>
            <w:tcW w:w="1523" w:type="dxa"/>
            <w:shd w:val="clear" w:color="auto" w:fill="C6EFCE"/>
            <w:noWrap/>
          </w:tcPr>
          <w:p w14:paraId="73AB231A" w14:textId="0F795DE5" w:rsidR="001E76D1" w:rsidRPr="00DD6A04" w:rsidRDefault="001E76D1" w:rsidP="001E76D1">
            <w:pPr>
              <w:spacing w:before="0" w:after="0" w:line="240" w:lineRule="auto"/>
              <w:rPr>
                <w:rFonts w:eastAsia="Times New Roman"/>
                <w:noProof/>
                <w:color w:val="006100"/>
                <w:sz w:val="22"/>
              </w:rPr>
            </w:pPr>
            <w:r>
              <w:rPr>
                <w:noProof/>
                <w:color w:val="006100"/>
                <w:sz w:val="22"/>
              </w:rPr>
              <w:t>K: Zeleni slovenski lokacijski okvir</w:t>
            </w:r>
          </w:p>
        </w:tc>
        <w:tc>
          <w:tcPr>
            <w:tcW w:w="1016" w:type="dxa"/>
            <w:shd w:val="clear" w:color="auto" w:fill="C6EFCE"/>
            <w:noWrap/>
          </w:tcPr>
          <w:p w14:paraId="076E9A1B" w14:textId="3E13C760"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391AA273" w14:textId="17D475A9" w:rsidR="001E76D1" w:rsidRPr="00DD6A04" w:rsidRDefault="001E76D1" w:rsidP="001E76D1">
            <w:pPr>
              <w:spacing w:before="0" w:after="0" w:line="240" w:lineRule="auto"/>
              <w:rPr>
                <w:rFonts w:eastAsia="Times New Roman"/>
                <w:noProof/>
                <w:color w:val="006100"/>
                <w:sz w:val="22"/>
              </w:rPr>
            </w:pPr>
            <w:r>
              <w:rPr>
                <w:noProof/>
                <w:color w:val="006100"/>
                <w:sz w:val="22"/>
              </w:rPr>
              <w:t>Povezana prostorska in okoljska digitalna podatkovna infrastruktura</w:t>
            </w:r>
          </w:p>
        </w:tc>
        <w:tc>
          <w:tcPr>
            <w:tcW w:w="1947" w:type="dxa"/>
            <w:shd w:val="clear" w:color="auto" w:fill="C6EFCE"/>
            <w:noWrap/>
          </w:tcPr>
          <w:p w14:paraId="4DD6E8CC" w14:textId="4CB28852"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103" w:type="dxa"/>
            <w:shd w:val="clear" w:color="auto" w:fill="C6EFCE"/>
            <w:noWrap/>
          </w:tcPr>
          <w:p w14:paraId="48ADBDD7" w14:textId="782486E8"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4C58B1E1" w14:textId="2C58594F"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01ACD73D" w14:textId="5466FC3F" w:rsidR="001E76D1" w:rsidRPr="00DD6A04" w:rsidRDefault="001E76D1" w:rsidP="001E76D1">
            <w:pPr>
              <w:spacing w:before="0" w:after="0" w:line="240" w:lineRule="auto"/>
              <w:rPr>
                <w:rFonts w:eastAsia="Times New Roman"/>
                <w:noProof/>
                <w:color w:val="006100"/>
                <w:sz w:val="22"/>
              </w:rPr>
            </w:pPr>
            <w:r>
              <w:rPr>
                <w:noProof/>
                <w:color w:val="006100"/>
                <w:sz w:val="22"/>
              </w:rPr>
              <w:t>4</w:t>
            </w:r>
          </w:p>
        </w:tc>
        <w:tc>
          <w:tcPr>
            <w:tcW w:w="813" w:type="dxa"/>
            <w:shd w:val="clear" w:color="auto" w:fill="C6EFCE"/>
            <w:noWrap/>
          </w:tcPr>
          <w:p w14:paraId="5EC9F21C" w14:textId="0DE7E0D8"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045A09CC" w14:textId="13A97DC9" w:rsidR="001E76D1" w:rsidRPr="00DD6A04" w:rsidRDefault="001E76D1" w:rsidP="001E76D1">
            <w:pPr>
              <w:spacing w:before="0" w:after="0" w:line="240" w:lineRule="auto"/>
              <w:rPr>
                <w:rFonts w:eastAsia="Times New Roman"/>
                <w:noProof/>
                <w:color w:val="006100"/>
                <w:sz w:val="22"/>
              </w:rPr>
            </w:pPr>
            <w:r>
              <w:rPr>
                <w:noProof/>
                <w:color w:val="006100"/>
                <w:sz w:val="22"/>
              </w:rPr>
              <w:t>2025</w:t>
            </w:r>
          </w:p>
        </w:tc>
        <w:tc>
          <w:tcPr>
            <w:tcW w:w="3361" w:type="dxa"/>
            <w:shd w:val="clear" w:color="auto" w:fill="C6EFCE"/>
            <w:noWrap/>
          </w:tcPr>
          <w:p w14:paraId="0D3697A0" w14:textId="684B4E26" w:rsidR="001E76D1" w:rsidRPr="00DD6A04" w:rsidRDefault="001E76D1" w:rsidP="001E76D1">
            <w:pPr>
              <w:spacing w:before="0" w:after="0" w:line="240" w:lineRule="auto"/>
              <w:rPr>
                <w:rFonts w:eastAsia="Times New Roman"/>
                <w:noProof/>
                <w:color w:val="006100"/>
                <w:sz w:val="22"/>
              </w:rPr>
            </w:pPr>
            <w:r>
              <w:rPr>
                <w:noProof/>
                <w:color w:val="006100"/>
                <w:sz w:val="22"/>
              </w:rPr>
              <w:t>Podatkovne zbirke eProstor, eOkolje, eVode in eNarava bodo medsebojno povezane. Infrastruktura bo zagotovila povezovanje postopkov, podatkov in storitev ter dostop do digitalnih podatkov in storitev na področju prostora, okolja, nepremičnin, vode in narave. Služila naj bi kot podlaga za razvoj povezanih digitalnih storitev.</w:t>
            </w:r>
          </w:p>
        </w:tc>
      </w:tr>
      <w:tr w:rsidR="001E76D1" w:rsidRPr="00DD6A04" w14:paraId="4F2EE3BB" w14:textId="77777777" w:rsidTr="00A70F67">
        <w:trPr>
          <w:trHeight w:val="309"/>
          <w:jc w:val="center"/>
        </w:trPr>
        <w:tc>
          <w:tcPr>
            <w:tcW w:w="1381" w:type="dxa"/>
            <w:shd w:val="clear" w:color="auto" w:fill="C6EFCE"/>
            <w:noWrap/>
          </w:tcPr>
          <w:p w14:paraId="019F026A" w14:textId="2C02089C" w:rsidR="001E76D1" w:rsidRPr="00DD6A04" w:rsidRDefault="001E76D1" w:rsidP="001E76D1">
            <w:pPr>
              <w:spacing w:before="0" w:after="0" w:line="240" w:lineRule="auto"/>
              <w:rPr>
                <w:rFonts w:eastAsia="Times New Roman"/>
                <w:noProof/>
                <w:color w:val="006100"/>
                <w:sz w:val="22"/>
              </w:rPr>
            </w:pPr>
            <w:r>
              <w:rPr>
                <w:noProof/>
                <w:color w:val="006100"/>
                <w:sz w:val="22"/>
              </w:rPr>
              <w:t>103</w:t>
            </w:r>
          </w:p>
        </w:tc>
        <w:tc>
          <w:tcPr>
            <w:tcW w:w="1523" w:type="dxa"/>
            <w:shd w:val="clear" w:color="auto" w:fill="C6EFCE"/>
            <w:noWrap/>
          </w:tcPr>
          <w:p w14:paraId="4C2C5D2C" w14:textId="6511055D" w:rsidR="001E76D1" w:rsidRPr="00DD6A04" w:rsidRDefault="001E76D1" w:rsidP="001E76D1">
            <w:pPr>
              <w:spacing w:before="0" w:after="0" w:line="240" w:lineRule="auto"/>
              <w:rPr>
                <w:rFonts w:eastAsia="Times New Roman"/>
                <w:noProof/>
                <w:color w:val="006100"/>
                <w:sz w:val="22"/>
              </w:rPr>
            </w:pPr>
            <w:r>
              <w:rPr>
                <w:noProof/>
                <w:color w:val="006100"/>
                <w:sz w:val="22"/>
              </w:rPr>
              <w:t>L: Digitalni prehod na področju kmetijstva, prehrane in gozdarstva</w:t>
            </w:r>
          </w:p>
        </w:tc>
        <w:tc>
          <w:tcPr>
            <w:tcW w:w="1016" w:type="dxa"/>
            <w:shd w:val="clear" w:color="auto" w:fill="C6EFCE"/>
            <w:noWrap/>
          </w:tcPr>
          <w:p w14:paraId="5CFF3175" w14:textId="14817544"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45193DF4" w14:textId="457C6148" w:rsidR="001E76D1" w:rsidRPr="00DD6A04" w:rsidRDefault="001E76D1" w:rsidP="001E76D1">
            <w:pPr>
              <w:spacing w:before="0" w:after="0" w:line="240" w:lineRule="auto"/>
              <w:rPr>
                <w:rFonts w:eastAsia="Times New Roman"/>
                <w:noProof/>
                <w:color w:val="006100"/>
                <w:sz w:val="22"/>
              </w:rPr>
            </w:pPr>
            <w:r>
              <w:rPr>
                <w:noProof/>
                <w:color w:val="006100"/>
                <w:sz w:val="22"/>
              </w:rPr>
              <w:t>Nove operativne e-storitve na področju kmetijstva, prehrane in gozdarstva</w:t>
            </w:r>
          </w:p>
        </w:tc>
        <w:tc>
          <w:tcPr>
            <w:tcW w:w="1947" w:type="dxa"/>
            <w:shd w:val="clear" w:color="auto" w:fill="C6EFCE"/>
            <w:noWrap/>
          </w:tcPr>
          <w:p w14:paraId="746A9B6B"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1103" w:type="dxa"/>
            <w:shd w:val="clear" w:color="auto" w:fill="C6EFCE"/>
            <w:noWrap/>
          </w:tcPr>
          <w:p w14:paraId="38D959A6" w14:textId="4FACEE1B"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0550FFDD" w14:textId="383771AD"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0F746A80" w14:textId="4210DAF4" w:rsidR="001E76D1" w:rsidRPr="00DD6A04" w:rsidRDefault="001E76D1" w:rsidP="001E76D1">
            <w:pPr>
              <w:spacing w:before="0" w:after="0" w:line="240" w:lineRule="auto"/>
              <w:rPr>
                <w:rFonts w:eastAsia="Times New Roman"/>
                <w:noProof/>
                <w:color w:val="006100"/>
                <w:sz w:val="22"/>
              </w:rPr>
            </w:pPr>
            <w:r>
              <w:rPr>
                <w:noProof/>
                <w:color w:val="006100"/>
                <w:sz w:val="22"/>
              </w:rPr>
              <w:t>15</w:t>
            </w:r>
          </w:p>
        </w:tc>
        <w:tc>
          <w:tcPr>
            <w:tcW w:w="813" w:type="dxa"/>
            <w:shd w:val="clear" w:color="auto" w:fill="C6EFCE"/>
            <w:noWrap/>
          </w:tcPr>
          <w:p w14:paraId="0026603C" w14:textId="1BACAC11"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5B4685F5" w14:textId="3FDD41B5" w:rsidR="001E76D1" w:rsidRPr="00DD6A04" w:rsidRDefault="001E76D1" w:rsidP="001E76D1">
            <w:pPr>
              <w:spacing w:before="0" w:after="0" w:line="240" w:lineRule="auto"/>
              <w:rPr>
                <w:rFonts w:eastAsia="Times New Roman"/>
                <w:noProof/>
                <w:color w:val="006100"/>
                <w:sz w:val="22"/>
              </w:rPr>
            </w:pPr>
            <w:r>
              <w:rPr>
                <w:noProof/>
                <w:color w:val="006100"/>
                <w:sz w:val="22"/>
              </w:rPr>
              <w:t>2024</w:t>
            </w:r>
          </w:p>
        </w:tc>
        <w:tc>
          <w:tcPr>
            <w:tcW w:w="3361" w:type="dxa"/>
            <w:shd w:val="clear" w:color="auto" w:fill="C6EFCE"/>
            <w:noWrap/>
          </w:tcPr>
          <w:p w14:paraId="3B8DEFA2" w14:textId="2C286781" w:rsidR="001E76D1" w:rsidRPr="00DD6A04" w:rsidRDefault="001E76D1" w:rsidP="001E76D1">
            <w:pPr>
              <w:spacing w:before="0" w:after="0" w:line="240" w:lineRule="auto"/>
              <w:rPr>
                <w:rFonts w:eastAsia="Times New Roman"/>
                <w:noProof/>
                <w:color w:val="006100"/>
                <w:sz w:val="22"/>
              </w:rPr>
            </w:pPr>
            <w:r>
              <w:rPr>
                <w:noProof/>
                <w:color w:val="006100"/>
                <w:sz w:val="22"/>
              </w:rPr>
              <w:t>Razvitih in operativnih naj bi bilo skupno 15 e-storitev, ki bodo vključevale zlasti:</w:t>
            </w:r>
            <w:r w:rsidR="00037751">
              <w:rPr>
                <w:noProof/>
                <w:color w:val="006100"/>
                <w:sz w:val="22"/>
              </w:rPr>
              <w:t xml:space="preserve"> </w:t>
            </w:r>
            <w:r>
              <w:rPr>
                <w:noProof/>
                <w:color w:val="006100"/>
                <w:sz w:val="22"/>
              </w:rPr>
              <w:t>• podporo za izvajanje nalog Uprave za varno hrano, veterinarstvo in varstvo rastlin, • sisteme za izvajanje skupne kmetijske politike (podatkovne zbirke v živinoreji),</w:t>
            </w:r>
            <w:r w:rsidR="00037751">
              <w:rPr>
                <w:noProof/>
                <w:color w:val="006100"/>
                <w:sz w:val="22"/>
              </w:rPr>
              <w:t xml:space="preserve"> </w:t>
            </w:r>
            <w:r>
              <w:rPr>
                <w:noProof/>
                <w:color w:val="006100"/>
                <w:sz w:val="22"/>
              </w:rPr>
              <w:t>• orodje za trajnostno spremljanje kmetijskih aktivnosti, • informacijski sistem, ki bo podpiral pametni in ciljno usmerjen inšpekcijski nadzor za zagotavljanje skladnosti, varnosti in urejenosti kmetijskega prostora, • e-opremo in e-operabilnost javnih gozdarskih storitev, • opredelitev območij s pomočjo časovne vrste satelitskih podatkov, • pridobivanje in uporabo satelitskih posnetkov (za posamezna območja) z visoko ločljivostjo.</w:t>
            </w:r>
          </w:p>
        </w:tc>
      </w:tr>
      <w:tr w:rsidR="001E76D1" w:rsidRPr="00DD6A04" w14:paraId="21228667" w14:textId="77777777" w:rsidTr="00A70F67">
        <w:trPr>
          <w:trHeight w:val="309"/>
          <w:jc w:val="center"/>
        </w:trPr>
        <w:tc>
          <w:tcPr>
            <w:tcW w:w="1381" w:type="dxa"/>
            <w:shd w:val="clear" w:color="auto" w:fill="C6EFCE"/>
            <w:noWrap/>
          </w:tcPr>
          <w:p w14:paraId="78D751A2" w14:textId="62C488DD" w:rsidR="001E76D1" w:rsidRPr="00DD6A04" w:rsidRDefault="001E76D1" w:rsidP="001E76D1">
            <w:pPr>
              <w:spacing w:before="0" w:after="0" w:line="240" w:lineRule="auto"/>
              <w:rPr>
                <w:rFonts w:eastAsia="Times New Roman"/>
                <w:noProof/>
                <w:color w:val="006100"/>
                <w:sz w:val="22"/>
              </w:rPr>
            </w:pPr>
            <w:r>
              <w:rPr>
                <w:noProof/>
                <w:color w:val="006100"/>
                <w:sz w:val="22"/>
              </w:rPr>
              <w:t>104</w:t>
            </w:r>
          </w:p>
        </w:tc>
        <w:tc>
          <w:tcPr>
            <w:tcW w:w="1523" w:type="dxa"/>
            <w:shd w:val="clear" w:color="auto" w:fill="C6EFCE"/>
            <w:noWrap/>
          </w:tcPr>
          <w:p w14:paraId="7763B94C" w14:textId="28C3836B" w:rsidR="001E76D1" w:rsidRPr="00DD6A04" w:rsidRDefault="001E76D1" w:rsidP="001E76D1">
            <w:pPr>
              <w:spacing w:before="0" w:after="0" w:line="240" w:lineRule="auto"/>
              <w:rPr>
                <w:rFonts w:eastAsia="Times New Roman"/>
                <w:noProof/>
                <w:color w:val="006100"/>
                <w:sz w:val="22"/>
              </w:rPr>
            </w:pPr>
            <w:r>
              <w:rPr>
                <w:noProof/>
                <w:color w:val="006100"/>
                <w:sz w:val="22"/>
              </w:rPr>
              <w:t>L: Digitalni prehod na področju kmetijstva, prehrane in gozdarstva</w:t>
            </w:r>
          </w:p>
        </w:tc>
        <w:tc>
          <w:tcPr>
            <w:tcW w:w="1016" w:type="dxa"/>
            <w:shd w:val="clear" w:color="auto" w:fill="C6EFCE"/>
            <w:noWrap/>
          </w:tcPr>
          <w:p w14:paraId="47C885C8" w14:textId="509F7880"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72C11628" w14:textId="10DEABBB" w:rsidR="001E76D1" w:rsidRPr="00DD6A04" w:rsidRDefault="001E76D1" w:rsidP="001E76D1">
            <w:pPr>
              <w:spacing w:before="0" w:after="0" w:line="240" w:lineRule="auto"/>
              <w:rPr>
                <w:rFonts w:eastAsia="Times New Roman"/>
                <w:noProof/>
                <w:color w:val="006100"/>
                <w:sz w:val="22"/>
              </w:rPr>
            </w:pPr>
            <w:r>
              <w:rPr>
                <w:noProof/>
                <w:color w:val="006100"/>
                <w:sz w:val="22"/>
              </w:rPr>
              <w:t>Nove operativne e-storitve na področju kmetijstva, prehrane in gozdarstva</w:t>
            </w:r>
          </w:p>
        </w:tc>
        <w:tc>
          <w:tcPr>
            <w:tcW w:w="1947" w:type="dxa"/>
            <w:shd w:val="clear" w:color="auto" w:fill="C6EFCE"/>
            <w:noWrap/>
          </w:tcPr>
          <w:p w14:paraId="747BE7D3"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1103" w:type="dxa"/>
            <w:shd w:val="clear" w:color="auto" w:fill="C6EFCE"/>
            <w:noWrap/>
          </w:tcPr>
          <w:p w14:paraId="50798E0D" w14:textId="496EE79F"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624B6110" w14:textId="3EB88B90" w:rsidR="001E76D1" w:rsidRPr="00DD6A04" w:rsidRDefault="001E76D1" w:rsidP="001E76D1">
            <w:pPr>
              <w:spacing w:before="0" w:after="0" w:line="240" w:lineRule="auto"/>
              <w:rPr>
                <w:rFonts w:eastAsia="Times New Roman"/>
                <w:noProof/>
                <w:color w:val="006100"/>
                <w:sz w:val="22"/>
              </w:rPr>
            </w:pPr>
            <w:r>
              <w:rPr>
                <w:noProof/>
                <w:color w:val="006100"/>
                <w:sz w:val="22"/>
              </w:rPr>
              <w:t>15</w:t>
            </w:r>
          </w:p>
        </w:tc>
        <w:tc>
          <w:tcPr>
            <w:tcW w:w="912" w:type="dxa"/>
            <w:shd w:val="clear" w:color="auto" w:fill="C6EFCE"/>
            <w:noWrap/>
          </w:tcPr>
          <w:p w14:paraId="00D78293" w14:textId="48CEF41F" w:rsidR="001E76D1" w:rsidRPr="00DD6A04" w:rsidRDefault="001E76D1" w:rsidP="001E76D1">
            <w:pPr>
              <w:spacing w:before="0" w:after="0" w:line="240" w:lineRule="auto"/>
              <w:rPr>
                <w:rFonts w:eastAsia="Times New Roman"/>
                <w:noProof/>
                <w:color w:val="006100"/>
                <w:sz w:val="22"/>
              </w:rPr>
            </w:pPr>
            <w:r>
              <w:rPr>
                <w:noProof/>
                <w:color w:val="006100"/>
                <w:sz w:val="22"/>
              </w:rPr>
              <w:t>32</w:t>
            </w:r>
          </w:p>
        </w:tc>
        <w:tc>
          <w:tcPr>
            <w:tcW w:w="813" w:type="dxa"/>
            <w:shd w:val="clear" w:color="auto" w:fill="C6EFCE"/>
            <w:noWrap/>
          </w:tcPr>
          <w:p w14:paraId="66B8FA1F" w14:textId="467816D0"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6160645B" w14:textId="08100355" w:rsidR="001E76D1" w:rsidRPr="00DD6A04" w:rsidRDefault="001E76D1" w:rsidP="001E76D1">
            <w:pPr>
              <w:spacing w:before="0" w:after="0" w:line="240" w:lineRule="auto"/>
              <w:rPr>
                <w:rFonts w:eastAsia="Times New Roman"/>
                <w:noProof/>
                <w:color w:val="006100"/>
                <w:sz w:val="22"/>
              </w:rPr>
            </w:pPr>
            <w:r>
              <w:rPr>
                <w:noProof/>
                <w:color w:val="006100"/>
                <w:sz w:val="22"/>
              </w:rPr>
              <w:t>2026</w:t>
            </w:r>
          </w:p>
        </w:tc>
        <w:tc>
          <w:tcPr>
            <w:tcW w:w="3361" w:type="dxa"/>
            <w:shd w:val="clear" w:color="auto" w:fill="C6EFCE"/>
            <w:noWrap/>
          </w:tcPr>
          <w:p w14:paraId="49F6EE58" w14:textId="6AA54A32" w:rsidR="001E76D1" w:rsidRPr="00DD6A04" w:rsidRDefault="001E76D1" w:rsidP="001E76D1">
            <w:pPr>
              <w:spacing w:before="0" w:after="0" w:line="240" w:lineRule="auto"/>
              <w:rPr>
                <w:rFonts w:eastAsia="Times New Roman"/>
                <w:noProof/>
                <w:color w:val="006100"/>
                <w:sz w:val="22"/>
              </w:rPr>
            </w:pPr>
            <w:r>
              <w:rPr>
                <w:noProof/>
                <w:color w:val="006100"/>
                <w:sz w:val="22"/>
              </w:rPr>
              <w:t>Razvitih in operativnih naj bi bilo skupno 32 e-storitev (vključno z e-storitvami iz cilja 103), ki bodo vključevale zlasti:</w:t>
            </w:r>
            <w:r w:rsidR="00037751">
              <w:rPr>
                <w:noProof/>
                <w:color w:val="006100"/>
                <w:sz w:val="22"/>
              </w:rPr>
              <w:t xml:space="preserve"> </w:t>
            </w:r>
            <w:r>
              <w:rPr>
                <w:noProof/>
                <w:color w:val="006100"/>
                <w:sz w:val="22"/>
              </w:rPr>
              <w:t>• podporo za izvajanje nalog Uprave za varno hrano, veterinarstvo in varstvo rastlin, • sisteme za izvajanje skupne kmetijske politike (podatkovne zbirke v živinoreji, podatkovno skladišče), • naloge javne službe kmetijskega svetovanja, • orodje za trajnostno spremljanje kmetijskih aktivnosti, • informacijski sistem, ki bo podpiral pametni in ciljno usmerjen inšpekcijski nadzor za zagotavljanje skladnosti, varnosti in urejenosti kmetijskega prostora, • informacijski sistem in aplikacijo eGozdarstvo.</w:t>
            </w:r>
            <w:r w:rsidR="00037751">
              <w:rPr>
                <w:noProof/>
                <w:color w:val="006100"/>
                <w:sz w:val="22"/>
              </w:rPr>
              <w:t xml:space="preserve"> </w:t>
            </w:r>
          </w:p>
        </w:tc>
      </w:tr>
      <w:tr w:rsidR="001E76D1" w:rsidRPr="00DD6A04" w14:paraId="2394C359" w14:textId="77777777" w:rsidTr="00A70F67">
        <w:trPr>
          <w:trHeight w:val="309"/>
          <w:jc w:val="center"/>
        </w:trPr>
        <w:tc>
          <w:tcPr>
            <w:tcW w:w="1381" w:type="dxa"/>
            <w:shd w:val="clear" w:color="auto" w:fill="C6EFCE"/>
            <w:noWrap/>
          </w:tcPr>
          <w:p w14:paraId="4F16EBC5" w14:textId="1B7CD9DB" w:rsidR="001E76D1" w:rsidRPr="00DD6A04" w:rsidRDefault="001E76D1" w:rsidP="001E76D1">
            <w:pPr>
              <w:spacing w:before="0" w:after="0" w:line="240" w:lineRule="auto"/>
              <w:rPr>
                <w:rFonts w:eastAsia="Times New Roman"/>
                <w:noProof/>
                <w:color w:val="006100"/>
                <w:sz w:val="22"/>
              </w:rPr>
            </w:pPr>
            <w:r>
              <w:rPr>
                <w:noProof/>
                <w:color w:val="006100"/>
                <w:sz w:val="22"/>
              </w:rPr>
              <w:t>105</w:t>
            </w:r>
          </w:p>
        </w:tc>
        <w:tc>
          <w:tcPr>
            <w:tcW w:w="1523" w:type="dxa"/>
            <w:shd w:val="clear" w:color="auto" w:fill="C6EFCE"/>
            <w:noWrap/>
          </w:tcPr>
          <w:p w14:paraId="3D5FBC9C" w14:textId="139E1D0E" w:rsidR="001E76D1" w:rsidRPr="00DD6A04" w:rsidRDefault="001E76D1" w:rsidP="001E76D1">
            <w:pPr>
              <w:spacing w:before="0" w:after="0" w:line="240" w:lineRule="auto"/>
              <w:rPr>
                <w:rFonts w:eastAsia="Times New Roman"/>
                <w:noProof/>
                <w:color w:val="006100"/>
                <w:sz w:val="22"/>
              </w:rPr>
            </w:pPr>
            <w:r>
              <w:rPr>
                <w:noProof/>
                <w:color w:val="006100"/>
                <w:sz w:val="22"/>
              </w:rPr>
              <w:t>N: Digitalizacija pravosodja</w:t>
            </w:r>
          </w:p>
        </w:tc>
        <w:tc>
          <w:tcPr>
            <w:tcW w:w="1016" w:type="dxa"/>
            <w:shd w:val="clear" w:color="auto" w:fill="C6EFCE"/>
            <w:noWrap/>
          </w:tcPr>
          <w:p w14:paraId="1CD3708F" w14:textId="6884AF6B"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7691E727" w14:textId="454A7C74" w:rsidR="001E76D1" w:rsidRPr="00DD6A04" w:rsidRDefault="001E76D1" w:rsidP="001E76D1">
            <w:pPr>
              <w:spacing w:before="0" w:after="0" w:line="240" w:lineRule="auto"/>
              <w:rPr>
                <w:rFonts w:eastAsia="Times New Roman"/>
                <w:noProof/>
                <w:color w:val="006100"/>
                <w:sz w:val="22"/>
              </w:rPr>
            </w:pPr>
            <w:r>
              <w:rPr>
                <w:noProof/>
                <w:color w:val="006100"/>
                <w:sz w:val="22"/>
              </w:rPr>
              <w:t>Novi ali nadgrajeni informacijski sistemi, ki jih uporabljajo pravosodne institucije</w:t>
            </w:r>
          </w:p>
        </w:tc>
        <w:tc>
          <w:tcPr>
            <w:tcW w:w="1947" w:type="dxa"/>
            <w:shd w:val="clear" w:color="auto" w:fill="C6EFCE"/>
            <w:noWrap/>
          </w:tcPr>
          <w:p w14:paraId="565DAEC4"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1103" w:type="dxa"/>
            <w:shd w:val="clear" w:color="auto" w:fill="C6EFCE"/>
            <w:noWrap/>
          </w:tcPr>
          <w:p w14:paraId="630668BF" w14:textId="55954D26"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07ED5589" w14:textId="5BBD90EE"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36F71CB2" w14:textId="33CD6898" w:rsidR="001E76D1" w:rsidRPr="00DD6A04" w:rsidRDefault="001E76D1" w:rsidP="001E76D1">
            <w:pPr>
              <w:spacing w:before="0" w:after="0" w:line="240" w:lineRule="auto"/>
              <w:rPr>
                <w:rFonts w:eastAsia="Times New Roman"/>
                <w:noProof/>
                <w:color w:val="006100"/>
                <w:sz w:val="22"/>
              </w:rPr>
            </w:pPr>
            <w:r>
              <w:rPr>
                <w:noProof/>
                <w:color w:val="006100"/>
                <w:sz w:val="22"/>
              </w:rPr>
              <w:t>11</w:t>
            </w:r>
          </w:p>
        </w:tc>
        <w:tc>
          <w:tcPr>
            <w:tcW w:w="813" w:type="dxa"/>
            <w:shd w:val="clear" w:color="auto" w:fill="C6EFCE"/>
            <w:noWrap/>
          </w:tcPr>
          <w:p w14:paraId="4114ADC8" w14:textId="6495F4EB"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515BB8AF" w14:textId="67E1CA6A" w:rsidR="001E76D1" w:rsidRPr="00DD6A04" w:rsidRDefault="001E76D1" w:rsidP="001E76D1">
            <w:pPr>
              <w:spacing w:before="0" w:after="0" w:line="240" w:lineRule="auto"/>
              <w:rPr>
                <w:rFonts w:eastAsia="Times New Roman"/>
                <w:noProof/>
                <w:color w:val="006100"/>
                <w:sz w:val="22"/>
              </w:rPr>
            </w:pPr>
            <w:r>
              <w:rPr>
                <w:noProof/>
                <w:color w:val="006100"/>
                <w:sz w:val="22"/>
              </w:rPr>
              <w:t>2026</w:t>
            </w:r>
          </w:p>
        </w:tc>
        <w:tc>
          <w:tcPr>
            <w:tcW w:w="3361" w:type="dxa"/>
            <w:shd w:val="clear" w:color="auto" w:fill="C6EFCE"/>
            <w:noWrap/>
          </w:tcPr>
          <w:p w14:paraId="46C8E20C" w14:textId="6A326622" w:rsidR="001E76D1" w:rsidRPr="00DD6A04" w:rsidRDefault="001E76D1" w:rsidP="001E76D1">
            <w:pPr>
              <w:spacing w:before="0" w:after="0" w:line="240" w:lineRule="auto"/>
              <w:rPr>
                <w:rFonts w:eastAsia="Times New Roman"/>
                <w:noProof/>
                <w:color w:val="006100"/>
                <w:sz w:val="22"/>
              </w:rPr>
            </w:pPr>
            <w:r>
              <w:rPr>
                <w:noProof/>
                <w:color w:val="006100"/>
                <w:sz w:val="22"/>
              </w:rPr>
              <w:t>Razvitih ali nadgrajenih bo skupno 11 informacijskih sistemov za uporabo v pravosodju. Informacijski sistemi bodo med drugim zagotovili izvajanje videokonferenčnih sistemov, sistema za usposabljanje na daljavo in sistema za digitalizacijo izpitov v Centru za izobraževanje v pravosodju.</w:t>
            </w:r>
          </w:p>
        </w:tc>
      </w:tr>
      <w:tr w:rsidR="001E76D1" w:rsidRPr="00DD6A04" w14:paraId="2F0AC7B0" w14:textId="77777777" w:rsidTr="00A70F67">
        <w:trPr>
          <w:trHeight w:val="309"/>
          <w:jc w:val="center"/>
        </w:trPr>
        <w:tc>
          <w:tcPr>
            <w:tcW w:w="1381" w:type="dxa"/>
            <w:shd w:val="clear" w:color="auto" w:fill="C6EFCE"/>
            <w:noWrap/>
          </w:tcPr>
          <w:p w14:paraId="41CAF217" w14:textId="31F5C155" w:rsidR="001E76D1" w:rsidRPr="00DD6A04" w:rsidRDefault="001E76D1" w:rsidP="001E76D1">
            <w:pPr>
              <w:spacing w:before="0" w:after="0" w:line="240" w:lineRule="auto"/>
              <w:rPr>
                <w:rFonts w:eastAsia="Times New Roman"/>
                <w:noProof/>
                <w:color w:val="006100"/>
                <w:sz w:val="22"/>
              </w:rPr>
            </w:pPr>
            <w:r>
              <w:rPr>
                <w:noProof/>
                <w:color w:val="006100"/>
                <w:sz w:val="22"/>
              </w:rPr>
              <w:t>106</w:t>
            </w:r>
          </w:p>
        </w:tc>
        <w:tc>
          <w:tcPr>
            <w:tcW w:w="1523" w:type="dxa"/>
            <w:shd w:val="clear" w:color="auto" w:fill="C6EFCE"/>
            <w:noWrap/>
          </w:tcPr>
          <w:p w14:paraId="21B62E2E" w14:textId="15F9C8FD"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J: Digitalizacija izobraževanja in znanosti </w:t>
            </w:r>
          </w:p>
        </w:tc>
        <w:tc>
          <w:tcPr>
            <w:tcW w:w="1016" w:type="dxa"/>
            <w:shd w:val="clear" w:color="auto" w:fill="C6EFCE"/>
            <w:noWrap/>
          </w:tcPr>
          <w:p w14:paraId="65165BAC" w14:textId="65100F35"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25C7C1D5" w14:textId="34245685" w:rsidR="001E76D1" w:rsidRPr="00DD6A04" w:rsidRDefault="001E76D1" w:rsidP="001E76D1">
            <w:pPr>
              <w:spacing w:before="0" w:after="0" w:line="240" w:lineRule="auto"/>
              <w:rPr>
                <w:rFonts w:eastAsia="Times New Roman"/>
                <w:noProof/>
                <w:color w:val="006100"/>
                <w:sz w:val="22"/>
              </w:rPr>
            </w:pPr>
            <w:r>
              <w:rPr>
                <w:noProof/>
                <w:color w:val="006100"/>
                <w:sz w:val="22"/>
              </w:rPr>
              <w:t>Dodatni izobraževalni zavodi z optičnimi povezavami s hitrostjo nad 1 Gb/s</w:t>
            </w:r>
          </w:p>
        </w:tc>
        <w:tc>
          <w:tcPr>
            <w:tcW w:w="1947" w:type="dxa"/>
            <w:shd w:val="clear" w:color="auto" w:fill="C6EFCE"/>
            <w:noWrap/>
          </w:tcPr>
          <w:p w14:paraId="7B63D4E1" w14:textId="7118063A"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103" w:type="dxa"/>
            <w:shd w:val="clear" w:color="auto" w:fill="C6EFCE"/>
            <w:noWrap/>
          </w:tcPr>
          <w:p w14:paraId="3FEAA709" w14:textId="41B3DE13"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2816E24E" w14:textId="2C5B543F"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10F4A29B" w14:textId="2AA04D8E" w:rsidR="001E76D1" w:rsidRPr="00DD6A04" w:rsidRDefault="2AACFD67" w:rsidP="001E76D1">
            <w:pPr>
              <w:spacing w:before="0" w:after="0" w:line="240" w:lineRule="auto"/>
              <w:rPr>
                <w:rFonts w:eastAsia="Times New Roman"/>
                <w:noProof/>
                <w:color w:val="006100"/>
                <w:sz w:val="22"/>
              </w:rPr>
            </w:pPr>
            <w:r>
              <w:rPr>
                <w:noProof/>
                <w:color w:val="006100"/>
                <w:sz w:val="22"/>
              </w:rPr>
              <w:t>204</w:t>
            </w:r>
          </w:p>
        </w:tc>
        <w:tc>
          <w:tcPr>
            <w:tcW w:w="813" w:type="dxa"/>
            <w:shd w:val="clear" w:color="auto" w:fill="C6EFCE"/>
            <w:noWrap/>
          </w:tcPr>
          <w:p w14:paraId="140EC6BD" w14:textId="62CC0A8A" w:rsidR="001E76D1" w:rsidRPr="00DD6A04" w:rsidRDefault="001E76D1" w:rsidP="46F9D6A4">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15EAFD81" w14:textId="48BD34B0" w:rsidR="001E76D1" w:rsidRPr="00DD6A04" w:rsidRDefault="001E76D1" w:rsidP="46F9D6A4">
            <w:pPr>
              <w:spacing w:before="0" w:after="0" w:line="240" w:lineRule="auto"/>
              <w:rPr>
                <w:rFonts w:eastAsia="Times New Roman"/>
                <w:noProof/>
                <w:color w:val="006100"/>
                <w:sz w:val="22"/>
              </w:rPr>
            </w:pPr>
            <w:r>
              <w:rPr>
                <w:noProof/>
                <w:color w:val="006100"/>
                <w:sz w:val="22"/>
              </w:rPr>
              <w:t>2024</w:t>
            </w:r>
          </w:p>
        </w:tc>
        <w:tc>
          <w:tcPr>
            <w:tcW w:w="3361" w:type="dxa"/>
            <w:shd w:val="clear" w:color="auto" w:fill="C6EFCE"/>
            <w:noWrap/>
          </w:tcPr>
          <w:p w14:paraId="730C0438" w14:textId="50AC0C25" w:rsidR="001E76D1" w:rsidRPr="00DD6A04" w:rsidRDefault="2AACFD67" w:rsidP="001E76D1">
            <w:pPr>
              <w:spacing w:before="0" w:after="0" w:line="240" w:lineRule="auto"/>
              <w:rPr>
                <w:rFonts w:eastAsia="Times New Roman"/>
                <w:noProof/>
                <w:color w:val="006100"/>
                <w:sz w:val="22"/>
              </w:rPr>
            </w:pPr>
            <w:r>
              <w:rPr>
                <w:noProof/>
                <w:color w:val="006100"/>
                <w:sz w:val="22"/>
              </w:rPr>
              <w:t>204 osnovnošolskih in srednješolskih izobraževalnih zavodov ter organizacij za izobraževanje odraslih bo povezanih z optičnimi povezavami s hitrostjo nad 1 Gb/s. To naj bi zajemalo približno 18 % obstoječih izobraževalnih zavodov v državi in približno 35 000 učečih. Investicija bo zajemala vse srednje šole, zavode za otroke in mlade s posebnimi potrebami ter dijaške domove.</w:t>
            </w:r>
          </w:p>
        </w:tc>
      </w:tr>
      <w:tr w:rsidR="001E76D1" w:rsidRPr="00DD6A04" w14:paraId="50FEC290" w14:textId="77777777" w:rsidTr="00A70F67">
        <w:trPr>
          <w:trHeight w:val="309"/>
          <w:jc w:val="center"/>
        </w:trPr>
        <w:tc>
          <w:tcPr>
            <w:tcW w:w="1381" w:type="dxa"/>
            <w:shd w:val="clear" w:color="auto" w:fill="C6EFCE"/>
            <w:noWrap/>
          </w:tcPr>
          <w:p w14:paraId="5942A47F" w14:textId="62B20988" w:rsidR="001E76D1" w:rsidRPr="00DD6A04" w:rsidRDefault="001E76D1" w:rsidP="001E76D1">
            <w:pPr>
              <w:spacing w:before="0" w:after="0" w:line="240" w:lineRule="auto"/>
              <w:rPr>
                <w:rFonts w:eastAsia="Times New Roman"/>
                <w:noProof/>
                <w:color w:val="006100"/>
                <w:sz w:val="22"/>
              </w:rPr>
            </w:pPr>
            <w:r>
              <w:rPr>
                <w:noProof/>
                <w:color w:val="006100"/>
                <w:sz w:val="22"/>
              </w:rPr>
              <w:t>107</w:t>
            </w:r>
          </w:p>
        </w:tc>
        <w:tc>
          <w:tcPr>
            <w:tcW w:w="1523" w:type="dxa"/>
            <w:shd w:val="clear" w:color="auto" w:fill="C6EFCE"/>
            <w:noWrap/>
          </w:tcPr>
          <w:p w14:paraId="6CAD7AEB" w14:textId="22E19F30"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J: Digitalizacija izobraževanja in znanosti </w:t>
            </w:r>
          </w:p>
        </w:tc>
        <w:tc>
          <w:tcPr>
            <w:tcW w:w="1016" w:type="dxa"/>
            <w:shd w:val="clear" w:color="auto" w:fill="C6EFCE"/>
            <w:noWrap/>
          </w:tcPr>
          <w:p w14:paraId="565180F5" w14:textId="0CA6080D"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0FCD0CF3" w14:textId="588F8CEC" w:rsidR="001E76D1" w:rsidRPr="00DD6A04" w:rsidRDefault="001E76D1" w:rsidP="001E76D1">
            <w:pPr>
              <w:spacing w:before="0" w:after="0" w:line="240" w:lineRule="auto"/>
              <w:rPr>
                <w:rFonts w:eastAsia="Times New Roman"/>
                <w:noProof/>
                <w:color w:val="006100"/>
                <w:sz w:val="22"/>
              </w:rPr>
            </w:pPr>
            <w:r>
              <w:rPr>
                <w:noProof/>
                <w:color w:val="006100"/>
                <w:sz w:val="22"/>
              </w:rPr>
              <w:t>Dodatne hrbtenične optične povezave s hitrostjo 100 Gb/s</w:t>
            </w:r>
          </w:p>
        </w:tc>
        <w:tc>
          <w:tcPr>
            <w:tcW w:w="1947" w:type="dxa"/>
            <w:shd w:val="clear" w:color="auto" w:fill="C6EFCE"/>
            <w:noWrap/>
          </w:tcPr>
          <w:p w14:paraId="487686DE" w14:textId="161E2E67"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103" w:type="dxa"/>
            <w:shd w:val="clear" w:color="auto" w:fill="C6EFCE"/>
            <w:noWrap/>
          </w:tcPr>
          <w:p w14:paraId="0620BC28" w14:textId="1EE6D1C7"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30DF0547" w14:textId="180A8727"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76DA37DA" w14:textId="66EF9E0F" w:rsidR="001E76D1" w:rsidRPr="00DD6A04" w:rsidRDefault="001E76D1" w:rsidP="001E76D1">
            <w:pPr>
              <w:spacing w:before="0" w:after="0" w:line="240" w:lineRule="auto"/>
              <w:rPr>
                <w:rFonts w:eastAsia="Times New Roman"/>
                <w:noProof/>
                <w:color w:val="006100"/>
                <w:sz w:val="22"/>
              </w:rPr>
            </w:pPr>
            <w:r>
              <w:rPr>
                <w:noProof/>
                <w:color w:val="006100"/>
                <w:sz w:val="22"/>
              </w:rPr>
              <w:t>40</w:t>
            </w:r>
          </w:p>
        </w:tc>
        <w:tc>
          <w:tcPr>
            <w:tcW w:w="813" w:type="dxa"/>
            <w:shd w:val="clear" w:color="auto" w:fill="C6EFCE"/>
            <w:noWrap/>
          </w:tcPr>
          <w:p w14:paraId="2C9D95D7" w14:textId="118F9CD0"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348A2575" w14:textId="4D7F989A" w:rsidR="001E76D1" w:rsidRPr="00DD6A04" w:rsidRDefault="001E76D1" w:rsidP="001E76D1">
            <w:pPr>
              <w:spacing w:before="0" w:after="0" w:line="240" w:lineRule="auto"/>
              <w:rPr>
                <w:rFonts w:eastAsia="Times New Roman"/>
                <w:noProof/>
                <w:color w:val="006100"/>
                <w:sz w:val="22"/>
              </w:rPr>
            </w:pPr>
            <w:r>
              <w:rPr>
                <w:noProof/>
                <w:color w:val="006100"/>
                <w:sz w:val="22"/>
              </w:rPr>
              <w:t>2023</w:t>
            </w:r>
          </w:p>
        </w:tc>
        <w:tc>
          <w:tcPr>
            <w:tcW w:w="3361" w:type="dxa"/>
            <w:shd w:val="clear" w:color="auto" w:fill="C6EFCE"/>
            <w:noWrap/>
          </w:tcPr>
          <w:p w14:paraId="330E18E6" w14:textId="77777777" w:rsidR="001E76D1" w:rsidRPr="00DD6A04" w:rsidRDefault="001E76D1" w:rsidP="001E76D1">
            <w:pPr>
              <w:spacing w:before="0" w:after="0" w:line="256" w:lineRule="auto"/>
              <w:rPr>
                <w:rFonts w:eastAsia="Times New Roman"/>
                <w:noProof/>
                <w:color w:val="006100"/>
                <w:sz w:val="22"/>
              </w:rPr>
            </w:pPr>
            <w:r>
              <w:rPr>
                <w:noProof/>
                <w:color w:val="006100"/>
                <w:sz w:val="22"/>
              </w:rPr>
              <w:t xml:space="preserve">Hrbtenične optične povezave bodo povezovale podatkovna vozlišča javnih zavodov Akademske in raziskovalne mreže Slovenije. </w:t>
            </w:r>
          </w:p>
          <w:p w14:paraId="3EDDF7F0" w14:textId="77777777" w:rsidR="001E76D1" w:rsidRPr="00DD6A04" w:rsidRDefault="001E76D1" w:rsidP="001E76D1">
            <w:pPr>
              <w:spacing w:before="0" w:after="0" w:line="256" w:lineRule="auto"/>
              <w:rPr>
                <w:rFonts w:eastAsia="Times New Roman"/>
                <w:noProof/>
                <w:color w:val="006100"/>
                <w:sz w:val="22"/>
                <w:lang w:val="en-GB" w:eastAsia="en-GB"/>
              </w:rPr>
            </w:pPr>
          </w:p>
          <w:p w14:paraId="32CBD6DE" w14:textId="647D777F" w:rsidR="001E76D1" w:rsidRPr="00DD6A04" w:rsidRDefault="001E76D1" w:rsidP="001E76D1">
            <w:pPr>
              <w:spacing w:before="0" w:after="0" w:line="240" w:lineRule="auto"/>
              <w:rPr>
                <w:rFonts w:eastAsia="Times New Roman"/>
                <w:noProof/>
                <w:color w:val="006100"/>
                <w:sz w:val="22"/>
              </w:rPr>
            </w:pPr>
            <w:r>
              <w:rPr>
                <w:noProof/>
                <w:color w:val="006100"/>
                <w:sz w:val="22"/>
              </w:rPr>
              <w:t>Vzpostavljenih bo vsaj 40 medkrajevnih optičnih povezav s hitrostjo 100 Gb/s, ki naj bi zajemale vsaj 75 % vseh povezav med javnimi zavodi.</w:t>
            </w:r>
          </w:p>
        </w:tc>
      </w:tr>
      <w:tr w:rsidR="001E76D1" w:rsidRPr="00DD6A04" w14:paraId="753CF072" w14:textId="77777777" w:rsidTr="00A70F67">
        <w:trPr>
          <w:trHeight w:val="309"/>
          <w:jc w:val="center"/>
        </w:trPr>
        <w:tc>
          <w:tcPr>
            <w:tcW w:w="1381" w:type="dxa"/>
            <w:shd w:val="clear" w:color="auto" w:fill="C6EFCE"/>
            <w:noWrap/>
          </w:tcPr>
          <w:p w14:paraId="244658F4" w14:textId="3C5E1DA7" w:rsidR="001E76D1" w:rsidRPr="00DD6A04" w:rsidRDefault="001E76D1" w:rsidP="001E76D1">
            <w:pPr>
              <w:spacing w:before="0" w:after="0" w:line="240" w:lineRule="auto"/>
              <w:rPr>
                <w:rFonts w:eastAsia="Times New Roman"/>
                <w:noProof/>
                <w:color w:val="006100"/>
                <w:sz w:val="22"/>
              </w:rPr>
            </w:pPr>
            <w:r>
              <w:rPr>
                <w:noProof/>
                <w:color w:val="006100"/>
                <w:sz w:val="22"/>
              </w:rPr>
              <w:t>108</w:t>
            </w:r>
          </w:p>
        </w:tc>
        <w:tc>
          <w:tcPr>
            <w:tcW w:w="1523" w:type="dxa"/>
            <w:shd w:val="clear" w:color="auto" w:fill="C6EFCE"/>
            <w:noWrap/>
          </w:tcPr>
          <w:p w14:paraId="39CF48B4" w14:textId="70C8B5CD" w:rsidR="001E76D1" w:rsidRPr="00DD6A04" w:rsidRDefault="001E76D1" w:rsidP="001E76D1">
            <w:pPr>
              <w:spacing w:before="0" w:after="0" w:line="240" w:lineRule="auto"/>
              <w:rPr>
                <w:rFonts w:eastAsia="Times New Roman"/>
                <w:noProof/>
                <w:color w:val="006100"/>
                <w:sz w:val="22"/>
              </w:rPr>
            </w:pPr>
            <w:r>
              <w:rPr>
                <w:noProof/>
                <w:color w:val="006100"/>
                <w:sz w:val="22"/>
              </w:rPr>
              <w:t xml:space="preserve">J: Digitalizacija izobraževanja in znanosti </w:t>
            </w:r>
          </w:p>
        </w:tc>
        <w:tc>
          <w:tcPr>
            <w:tcW w:w="1016" w:type="dxa"/>
            <w:shd w:val="clear" w:color="auto" w:fill="C6EFCE"/>
            <w:noWrap/>
          </w:tcPr>
          <w:p w14:paraId="602506D8" w14:textId="4263EE4F"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07846410" w14:textId="5EF35D0D" w:rsidR="001E76D1" w:rsidRPr="00DD6A04" w:rsidRDefault="001E76D1" w:rsidP="001E76D1">
            <w:pPr>
              <w:spacing w:before="0" w:after="0" w:line="240" w:lineRule="auto"/>
              <w:rPr>
                <w:rFonts w:eastAsia="Times New Roman"/>
                <w:noProof/>
                <w:color w:val="006100"/>
                <w:sz w:val="22"/>
              </w:rPr>
            </w:pPr>
            <w:r>
              <w:rPr>
                <w:noProof/>
                <w:color w:val="006100"/>
                <w:sz w:val="22"/>
              </w:rPr>
              <w:t>Nove rešitve IT, ki se uporabljajo pri poučevanju, učenju in spremljanju diplomantov poklicnega izobraževanja</w:t>
            </w:r>
          </w:p>
        </w:tc>
        <w:tc>
          <w:tcPr>
            <w:tcW w:w="1947" w:type="dxa"/>
            <w:shd w:val="clear" w:color="auto" w:fill="C6EFCE"/>
            <w:noWrap/>
          </w:tcPr>
          <w:p w14:paraId="7CFF7A3F" w14:textId="77777777" w:rsidR="001E76D1" w:rsidRPr="00DD6A04" w:rsidRDefault="001E76D1" w:rsidP="001E76D1">
            <w:pPr>
              <w:spacing w:before="0" w:after="0" w:line="240" w:lineRule="auto"/>
              <w:rPr>
                <w:rFonts w:eastAsia="Times New Roman"/>
                <w:noProof/>
                <w:color w:val="006100"/>
                <w:sz w:val="22"/>
                <w:lang w:val="en-GB" w:eastAsia="en-GB"/>
              </w:rPr>
            </w:pPr>
          </w:p>
        </w:tc>
        <w:tc>
          <w:tcPr>
            <w:tcW w:w="1103" w:type="dxa"/>
            <w:shd w:val="clear" w:color="auto" w:fill="C6EFCE"/>
            <w:noWrap/>
          </w:tcPr>
          <w:p w14:paraId="7001CB2E" w14:textId="1701F6B9"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0FDC8D23" w14:textId="4162CC55"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1B1F4112" w14:textId="3945A4FF" w:rsidR="001E76D1" w:rsidRPr="00DD6A04" w:rsidRDefault="001E76D1" w:rsidP="001E76D1">
            <w:pPr>
              <w:spacing w:before="0" w:after="0" w:line="240" w:lineRule="auto"/>
              <w:rPr>
                <w:rFonts w:eastAsia="Times New Roman"/>
                <w:noProof/>
                <w:color w:val="006100"/>
                <w:sz w:val="22"/>
              </w:rPr>
            </w:pPr>
            <w:r>
              <w:rPr>
                <w:noProof/>
                <w:color w:val="006100"/>
                <w:sz w:val="22"/>
              </w:rPr>
              <w:t>11</w:t>
            </w:r>
          </w:p>
        </w:tc>
        <w:tc>
          <w:tcPr>
            <w:tcW w:w="813" w:type="dxa"/>
            <w:shd w:val="clear" w:color="auto" w:fill="C6EFCE"/>
            <w:noWrap/>
          </w:tcPr>
          <w:p w14:paraId="191022B6" w14:textId="5D65DCF5" w:rsidR="001E76D1" w:rsidRPr="00DD6A04" w:rsidRDefault="001E76D1" w:rsidP="001E76D1">
            <w:pPr>
              <w:spacing w:before="0" w:after="0" w:line="240" w:lineRule="auto"/>
              <w:rPr>
                <w:rFonts w:eastAsia="Times New Roman"/>
                <w:noProof/>
                <w:color w:val="006100"/>
                <w:sz w:val="22"/>
              </w:rPr>
            </w:pPr>
            <w:r>
              <w:rPr>
                <w:noProof/>
                <w:color w:val="006100"/>
                <w:sz w:val="22"/>
              </w:rPr>
              <w:t>Q4</w:t>
            </w:r>
          </w:p>
        </w:tc>
        <w:tc>
          <w:tcPr>
            <w:tcW w:w="707" w:type="dxa"/>
            <w:shd w:val="clear" w:color="auto" w:fill="C6EFCE"/>
            <w:noWrap/>
          </w:tcPr>
          <w:p w14:paraId="1B106B6C" w14:textId="27DA86BC" w:rsidR="001E76D1" w:rsidRPr="00DD6A04" w:rsidRDefault="001E76D1" w:rsidP="001E76D1">
            <w:pPr>
              <w:spacing w:before="0" w:after="0" w:line="240" w:lineRule="auto"/>
              <w:rPr>
                <w:rFonts w:eastAsia="Times New Roman"/>
                <w:noProof/>
                <w:color w:val="006100"/>
                <w:sz w:val="22"/>
              </w:rPr>
            </w:pPr>
            <w:r>
              <w:rPr>
                <w:noProof/>
                <w:color w:val="006100"/>
                <w:sz w:val="22"/>
              </w:rPr>
              <w:t>2025</w:t>
            </w:r>
          </w:p>
        </w:tc>
        <w:tc>
          <w:tcPr>
            <w:tcW w:w="3361" w:type="dxa"/>
            <w:shd w:val="clear" w:color="auto" w:fill="C6EFCE"/>
            <w:noWrap/>
          </w:tcPr>
          <w:p w14:paraId="056FAB13" w14:textId="1F769E4D" w:rsidR="001E76D1" w:rsidRPr="00DD6A04" w:rsidRDefault="001E76D1" w:rsidP="001E76D1">
            <w:pPr>
              <w:spacing w:before="0" w:after="0" w:line="256" w:lineRule="auto"/>
              <w:rPr>
                <w:rFonts w:eastAsia="Times New Roman"/>
                <w:noProof/>
                <w:color w:val="006100"/>
                <w:sz w:val="22"/>
              </w:rPr>
            </w:pPr>
            <w:r>
              <w:rPr>
                <w:noProof/>
                <w:color w:val="006100"/>
                <w:sz w:val="22"/>
              </w:rPr>
              <w:t>Razvitih bo skupno 11 novih rešitev IT (aplikacij in digitalnih storitev), ki se bodo uporabljale v izobraževalnih zavodih in kot testni material pri poučevanju, učenju ter spremljanju diplomantov poklicnega in strokovnega izobraževanja.</w:t>
            </w:r>
            <w:r w:rsidR="00037751">
              <w:rPr>
                <w:noProof/>
                <w:color w:val="006100"/>
                <w:sz w:val="22"/>
              </w:rPr>
              <w:t xml:space="preserve"> </w:t>
            </w:r>
          </w:p>
          <w:p w14:paraId="5FF5D6C3" w14:textId="2802A409" w:rsidR="001E76D1" w:rsidRPr="00DD6A04" w:rsidRDefault="001E76D1" w:rsidP="001E76D1">
            <w:pPr>
              <w:spacing w:before="0" w:after="0" w:line="240" w:lineRule="auto"/>
              <w:rPr>
                <w:rFonts w:eastAsia="Times New Roman"/>
                <w:noProof/>
                <w:color w:val="006100"/>
                <w:sz w:val="22"/>
              </w:rPr>
            </w:pPr>
            <w:r>
              <w:rPr>
                <w:noProof/>
                <w:color w:val="006100"/>
                <w:sz w:val="22"/>
              </w:rPr>
              <w:t>Te rešitve bodo med drugim vključevale aplikacije za digitalizacijo učnih načrtov, podporo branju elektronskih knjig, podporo projektnemu učenju in spremljanje zaposljivosti diplomantov poklicnega izobraževanja.</w:t>
            </w:r>
          </w:p>
        </w:tc>
      </w:tr>
      <w:tr w:rsidR="001E76D1" w:rsidRPr="00DD6A04" w14:paraId="32DDC11F" w14:textId="77777777" w:rsidTr="00A70F67">
        <w:trPr>
          <w:trHeight w:val="309"/>
          <w:jc w:val="center"/>
        </w:trPr>
        <w:tc>
          <w:tcPr>
            <w:tcW w:w="1381" w:type="dxa"/>
            <w:shd w:val="clear" w:color="auto" w:fill="C6EFCE"/>
            <w:noWrap/>
          </w:tcPr>
          <w:p w14:paraId="10374868" w14:textId="085BC696" w:rsidR="001E76D1" w:rsidRPr="00DD6A04" w:rsidRDefault="001E76D1" w:rsidP="001E76D1">
            <w:pPr>
              <w:spacing w:before="0" w:after="0" w:line="240" w:lineRule="auto"/>
              <w:rPr>
                <w:rFonts w:eastAsia="Times New Roman"/>
                <w:noProof/>
                <w:color w:val="006100"/>
                <w:sz w:val="22"/>
              </w:rPr>
            </w:pPr>
            <w:r>
              <w:rPr>
                <w:noProof/>
                <w:color w:val="006100"/>
                <w:sz w:val="22"/>
              </w:rPr>
              <w:t>109</w:t>
            </w:r>
          </w:p>
        </w:tc>
        <w:tc>
          <w:tcPr>
            <w:tcW w:w="1523" w:type="dxa"/>
            <w:shd w:val="clear" w:color="auto" w:fill="C6EFCE"/>
            <w:noWrap/>
          </w:tcPr>
          <w:p w14:paraId="33E18257" w14:textId="7CD31C45" w:rsidR="001E76D1" w:rsidRPr="00DD6A04" w:rsidRDefault="001E76D1" w:rsidP="001E76D1">
            <w:pPr>
              <w:spacing w:before="0" w:after="0" w:line="240" w:lineRule="auto"/>
              <w:rPr>
                <w:rFonts w:eastAsia="Times New Roman"/>
                <w:noProof/>
                <w:color w:val="006100"/>
                <w:sz w:val="22"/>
              </w:rPr>
            </w:pPr>
            <w:r>
              <w:rPr>
                <w:noProof/>
                <w:color w:val="006100"/>
                <w:sz w:val="22"/>
              </w:rPr>
              <w:t>M: Digitalizacija na področju kulture</w:t>
            </w:r>
          </w:p>
        </w:tc>
        <w:tc>
          <w:tcPr>
            <w:tcW w:w="1016" w:type="dxa"/>
            <w:shd w:val="clear" w:color="auto" w:fill="C6EFCE"/>
            <w:noWrap/>
          </w:tcPr>
          <w:p w14:paraId="6D522529" w14:textId="3DDAA8A0" w:rsidR="001E76D1" w:rsidRPr="00DD6A04" w:rsidRDefault="001E76D1" w:rsidP="001E76D1">
            <w:pPr>
              <w:spacing w:before="0" w:after="0" w:line="240" w:lineRule="auto"/>
              <w:rPr>
                <w:rFonts w:eastAsia="Times New Roman"/>
                <w:noProof/>
                <w:color w:val="006100"/>
                <w:sz w:val="22"/>
              </w:rPr>
            </w:pPr>
            <w:r>
              <w:rPr>
                <w:noProof/>
                <w:color w:val="006100"/>
                <w:sz w:val="22"/>
              </w:rPr>
              <w:t>Cilj</w:t>
            </w:r>
          </w:p>
        </w:tc>
        <w:tc>
          <w:tcPr>
            <w:tcW w:w="1559" w:type="dxa"/>
            <w:shd w:val="clear" w:color="auto" w:fill="C6EFCE"/>
            <w:noWrap/>
          </w:tcPr>
          <w:p w14:paraId="036882C5" w14:textId="0883CDBB" w:rsidR="001E76D1" w:rsidRPr="00DD6A04" w:rsidRDefault="001E76D1" w:rsidP="001E76D1">
            <w:pPr>
              <w:spacing w:before="0" w:after="0" w:line="240" w:lineRule="auto"/>
              <w:rPr>
                <w:rFonts w:eastAsia="Times New Roman"/>
                <w:noProof/>
                <w:color w:val="006100"/>
                <w:sz w:val="22"/>
              </w:rPr>
            </w:pPr>
            <w:r>
              <w:rPr>
                <w:noProof/>
                <w:color w:val="006100"/>
                <w:sz w:val="22"/>
              </w:rPr>
              <w:t>Kulturne ustanove z operativnimi dinamičnimi e-storitvami</w:t>
            </w:r>
          </w:p>
        </w:tc>
        <w:tc>
          <w:tcPr>
            <w:tcW w:w="1947" w:type="dxa"/>
            <w:shd w:val="clear" w:color="auto" w:fill="C6EFCE"/>
            <w:noWrap/>
          </w:tcPr>
          <w:p w14:paraId="5B6D7032" w14:textId="43783CF9" w:rsidR="001E76D1" w:rsidRPr="00DD6A04" w:rsidRDefault="001E76D1" w:rsidP="001E76D1">
            <w:pPr>
              <w:spacing w:before="0" w:after="0" w:line="240" w:lineRule="auto"/>
              <w:rPr>
                <w:rFonts w:eastAsia="Times New Roman"/>
                <w:noProof/>
                <w:color w:val="006100"/>
                <w:sz w:val="22"/>
              </w:rPr>
            </w:pPr>
            <w:r>
              <w:rPr>
                <w:noProof/>
                <w:color w:val="006100"/>
                <w:sz w:val="22"/>
              </w:rPr>
              <w:t> </w:t>
            </w:r>
          </w:p>
        </w:tc>
        <w:tc>
          <w:tcPr>
            <w:tcW w:w="1103" w:type="dxa"/>
            <w:shd w:val="clear" w:color="auto" w:fill="C6EFCE"/>
            <w:noWrap/>
          </w:tcPr>
          <w:p w14:paraId="10760396" w14:textId="76C80594" w:rsidR="001E76D1" w:rsidRPr="00DD6A04" w:rsidRDefault="001E76D1" w:rsidP="001E76D1">
            <w:pPr>
              <w:spacing w:before="0" w:after="0" w:line="240" w:lineRule="auto"/>
              <w:rPr>
                <w:rFonts w:eastAsia="Times New Roman"/>
                <w:noProof/>
                <w:color w:val="006100"/>
                <w:sz w:val="22"/>
              </w:rPr>
            </w:pPr>
            <w:r>
              <w:rPr>
                <w:noProof/>
                <w:color w:val="006100"/>
                <w:sz w:val="22"/>
              </w:rPr>
              <w:t>Število</w:t>
            </w:r>
          </w:p>
        </w:tc>
        <w:tc>
          <w:tcPr>
            <w:tcW w:w="1000" w:type="dxa"/>
            <w:shd w:val="clear" w:color="auto" w:fill="C6EFCE"/>
            <w:noWrap/>
          </w:tcPr>
          <w:p w14:paraId="1A7447AB" w14:textId="728AF8E5" w:rsidR="001E76D1" w:rsidRPr="00DD6A04" w:rsidRDefault="001E76D1" w:rsidP="001E76D1">
            <w:pPr>
              <w:spacing w:before="0" w:after="0" w:line="240" w:lineRule="auto"/>
              <w:rPr>
                <w:rFonts w:eastAsia="Times New Roman"/>
                <w:noProof/>
                <w:color w:val="006100"/>
                <w:sz w:val="22"/>
              </w:rPr>
            </w:pPr>
            <w:r>
              <w:rPr>
                <w:noProof/>
                <w:color w:val="006100"/>
                <w:sz w:val="22"/>
              </w:rPr>
              <w:t>0</w:t>
            </w:r>
          </w:p>
        </w:tc>
        <w:tc>
          <w:tcPr>
            <w:tcW w:w="912" w:type="dxa"/>
            <w:shd w:val="clear" w:color="auto" w:fill="C6EFCE"/>
            <w:noWrap/>
          </w:tcPr>
          <w:p w14:paraId="79EE2B1B" w14:textId="587B6C64" w:rsidR="001E76D1" w:rsidRPr="00DD6A04" w:rsidRDefault="001E76D1" w:rsidP="001E76D1">
            <w:pPr>
              <w:spacing w:before="0" w:after="0" w:line="240" w:lineRule="auto"/>
              <w:rPr>
                <w:rFonts w:eastAsia="Times New Roman"/>
                <w:noProof/>
                <w:color w:val="006100"/>
                <w:sz w:val="22"/>
              </w:rPr>
            </w:pPr>
            <w:r>
              <w:rPr>
                <w:noProof/>
                <w:color w:val="006100"/>
                <w:sz w:val="22"/>
              </w:rPr>
              <w:t>20</w:t>
            </w:r>
          </w:p>
        </w:tc>
        <w:tc>
          <w:tcPr>
            <w:tcW w:w="813" w:type="dxa"/>
            <w:shd w:val="clear" w:color="auto" w:fill="C6EFCE"/>
            <w:noWrap/>
          </w:tcPr>
          <w:p w14:paraId="40F8AFA8" w14:textId="76C7021E" w:rsidR="001E76D1" w:rsidRPr="00DD6A04" w:rsidRDefault="001E76D1" w:rsidP="001E76D1">
            <w:pPr>
              <w:spacing w:before="0" w:after="0" w:line="240" w:lineRule="auto"/>
              <w:rPr>
                <w:rFonts w:eastAsia="Times New Roman"/>
                <w:noProof/>
                <w:color w:val="006100"/>
                <w:sz w:val="22"/>
              </w:rPr>
            </w:pPr>
            <w:r>
              <w:rPr>
                <w:noProof/>
                <w:color w:val="006100"/>
                <w:sz w:val="22"/>
              </w:rPr>
              <w:t>Q2</w:t>
            </w:r>
          </w:p>
        </w:tc>
        <w:tc>
          <w:tcPr>
            <w:tcW w:w="707" w:type="dxa"/>
            <w:shd w:val="clear" w:color="auto" w:fill="C6EFCE"/>
            <w:noWrap/>
          </w:tcPr>
          <w:p w14:paraId="1F779BD2" w14:textId="4BA922FF" w:rsidR="001E76D1" w:rsidRPr="00DD6A04" w:rsidRDefault="001E76D1" w:rsidP="001E76D1">
            <w:pPr>
              <w:spacing w:before="0" w:after="0" w:line="240" w:lineRule="auto"/>
              <w:rPr>
                <w:rFonts w:eastAsia="Times New Roman"/>
                <w:noProof/>
                <w:color w:val="006100"/>
                <w:sz w:val="22"/>
              </w:rPr>
            </w:pPr>
            <w:r>
              <w:rPr>
                <w:noProof/>
                <w:color w:val="006100"/>
                <w:sz w:val="22"/>
              </w:rPr>
              <w:t>2026</w:t>
            </w:r>
          </w:p>
        </w:tc>
        <w:tc>
          <w:tcPr>
            <w:tcW w:w="3361" w:type="dxa"/>
            <w:shd w:val="clear" w:color="auto" w:fill="C6EFCE"/>
            <w:noWrap/>
          </w:tcPr>
          <w:p w14:paraId="4AA18E52" w14:textId="569FAC31" w:rsidR="001E76D1" w:rsidRPr="00DD6A04" w:rsidRDefault="001E76D1" w:rsidP="001E76D1">
            <w:pPr>
              <w:spacing w:before="0" w:after="0" w:line="240" w:lineRule="auto"/>
              <w:rPr>
                <w:rFonts w:eastAsia="Times New Roman"/>
                <w:noProof/>
                <w:color w:val="006100"/>
                <w:sz w:val="22"/>
              </w:rPr>
            </w:pPr>
            <w:r>
              <w:rPr>
                <w:noProof/>
                <w:color w:val="006100"/>
                <w:sz w:val="22"/>
              </w:rPr>
              <w:t>E-storitve za digitalizacijo kulturnih vsebin in postopkov, vključevanje digitalnih kulturnih vsebin v izobraževanje na daljavo in podporo vsem stopnjam dela s kulturno dediščino bodo operativne in jih bodo uporabljale kulturne ustanove.</w:t>
            </w:r>
          </w:p>
        </w:tc>
      </w:tr>
    </w:tbl>
    <w:p w14:paraId="3138A7A8" w14:textId="77777777" w:rsidR="001E76D1" w:rsidRPr="00DD6A04" w:rsidRDefault="001E76D1" w:rsidP="003C6015">
      <w:pPr>
        <w:spacing w:before="0" w:line="240" w:lineRule="auto"/>
        <w:ind w:left="850"/>
        <w:jc w:val="both"/>
        <w:rPr>
          <w:b/>
          <w:noProof/>
          <w:u w:val="single"/>
          <w:lang w:val="en-GB"/>
        </w:rPr>
      </w:pPr>
    </w:p>
    <w:p w14:paraId="5FCD1874" w14:textId="77777777" w:rsidR="001E76D1" w:rsidRPr="00DD6A04" w:rsidRDefault="001E76D1" w:rsidP="003C6015">
      <w:pPr>
        <w:spacing w:before="0" w:line="240" w:lineRule="auto"/>
        <w:ind w:left="850"/>
        <w:jc w:val="both"/>
        <w:rPr>
          <w:b/>
          <w:noProof/>
          <w:u w:val="single"/>
          <w:lang w:val="en-GB"/>
        </w:rPr>
      </w:pPr>
    </w:p>
    <w:p w14:paraId="5FB8BD4E" w14:textId="77777777" w:rsidR="001E76D1" w:rsidRPr="00DD6A04" w:rsidRDefault="001E76D1" w:rsidP="003C6015">
      <w:pPr>
        <w:spacing w:before="0" w:line="240" w:lineRule="auto"/>
        <w:ind w:left="850"/>
        <w:jc w:val="both"/>
        <w:rPr>
          <w:b/>
          <w:noProof/>
          <w:u w:val="single"/>
          <w:lang w:val="en-GB"/>
        </w:rPr>
      </w:pPr>
    </w:p>
    <w:p w14:paraId="28BE181D" w14:textId="77777777" w:rsidR="001E76D1" w:rsidRPr="00DD6A04" w:rsidRDefault="001E76D1" w:rsidP="003C6015">
      <w:pPr>
        <w:spacing w:before="0" w:line="240" w:lineRule="auto"/>
        <w:ind w:left="850"/>
        <w:jc w:val="both"/>
        <w:rPr>
          <w:b/>
          <w:noProof/>
          <w:u w:val="single"/>
          <w:lang w:val="en-GB"/>
        </w:rPr>
      </w:pPr>
    </w:p>
    <w:p w14:paraId="5308E2C1" w14:textId="77777777" w:rsidR="003C6015" w:rsidRPr="00DD6A04" w:rsidRDefault="003C6015" w:rsidP="003C6015">
      <w:pPr>
        <w:spacing w:before="0" w:after="0" w:line="240" w:lineRule="auto"/>
        <w:rPr>
          <w:noProof/>
          <w:lang w:val="en-GB"/>
        </w:rPr>
        <w:sectPr w:rsidR="003C6015" w:rsidRPr="00DD6A04" w:rsidSect="00073927">
          <w:headerReference w:type="even" r:id="rId144"/>
          <w:headerReference w:type="default" r:id="rId145"/>
          <w:footerReference w:type="even" r:id="rId146"/>
          <w:footerReference w:type="default" r:id="rId147"/>
          <w:headerReference w:type="first" r:id="rId148"/>
          <w:footerReference w:type="first" r:id="rId149"/>
          <w:pgSz w:w="16839" w:h="11907" w:orient="landscape"/>
          <w:pgMar w:top="1134" w:right="1134" w:bottom="1134" w:left="1134" w:header="567" w:footer="567" w:gutter="0"/>
          <w:cols w:space="720"/>
          <w:docGrid w:linePitch="326"/>
        </w:sectPr>
      </w:pPr>
    </w:p>
    <w:p w14:paraId="16EFDB4F" w14:textId="77777777" w:rsidR="003C6015" w:rsidRPr="00DD6A04" w:rsidRDefault="003C6015" w:rsidP="003C6015">
      <w:pPr>
        <w:keepNext/>
        <w:tabs>
          <w:tab w:val="left" w:pos="850"/>
        </w:tabs>
        <w:spacing w:line="240" w:lineRule="auto"/>
        <w:jc w:val="both"/>
        <w:outlineLvl w:val="0"/>
        <w:rPr>
          <w:b/>
          <w:smallCaps/>
          <w:noProof/>
        </w:rPr>
      </w:pPr>
      <w:r>
        <w:rPr>
          <w:b/>
          <w:smallCaps/>
          <w:noProof/>
        </w:rPr>
        <w:t xml:space="preserve">H. KOMPONENTA 8: RRI – RAZISKAVE, RAZVOJ IN INOVACIJE </w:t>
      </w:r>
    </w:p>
    <w:p w14:paraId="0ABD2D56" w14:textId="77777777" w:rsidR="003C6015" w:rsidRPr="00DD6A04" w:rsidRDefault="003C6015" w:rsidP="003C6015">
      <w:pPr>
        <w:spacing w:line="240" w:lineRule="auto"/>
        <w:jc w:val="both"/>
        <w:rPr>
          <w:noProof/>
        </w:rPr>
      </w:pPr>
      <w:r>
        <w:rPr>
          <w:noProof/>
        </w:rPr>
        <w:t xml:space="preserve">Uspešnost Slovenije na področju raziskav in inovacij ostaja neoptimalna. Raven odhodkov za raziskave in inovacije ter njihova učinkovitost ostajata skromni, kar omejuje znanstveno in tehnološko uspešnost države. Posledično je prispevek raziskav in inovacij k rasti produktivnosti, konkurenčnosti ter digitalnemu in zelenemu prehodu omejen. </w:t>
      </w:r>
    </w:p>
    <w:p w14:paraId="1680E23C" w14:textId="77777777" w:rsidR="003C6015" w:rsidRPr="00DD6A04" w:rsidRDefault="003C6015" w:rsidP="003C6015">
      <w:pPr>
        <w:spacing w:line="240" w:lineRule="auto"/>
        <w:jc w:val="both"/>
        <w:rPr>
          <w:noProof/>
        </w:rPr>
      </w:pPr>
      <w:r>
        <w:rPr>
          <w:noProof/>
        </w:rPr>
        <w:t>Cilji te komponente slovenskega načrta za okrevanje in odpornost so izboljšati upravljanje in usklajevanje politike na področju raziskav in inovacij, povišati raven javnih in zasebnih naložb v raziskave in razvoj ter povečati njihovo učinkovitost in uspešnost. S tem bi se zagotovilo, da so raziskave, razvoj in inovacije ključno gonilo produktivnosti in gospodarske rasti. Predlagani ukrepi bi zagotovili tudi, da so raziskave in inovacije ključni dejavnik za digitalni in zeleni prehod.</w:t>
      </w:r>
    </w:p>
    <w:p w14:paraId="6973CECB" w14:textId="77777777" w:rsidR="003C6015" w:rsidRPr="00DD6A04" w:rsidRDefault="003C6015" w:rsidP="003C6015">
      <w:pPr>
        <w:spacing w:line="240" w:lineRule="auto"/>
        <w:jc w:val="both"/>
        <w:rPr>
          <w:noProof/>
        </w:rPr>
      </w:pPr>
      <w:r>
        <w:rPr>
          <w:noProof/>
        </w:rPr>
        <w:t>Te investicije in reforme obravnavajo specifična priporočila za Slovenijo v letih 2019 in 2020, in sicer naj „ekonomsko politiko v zvezi z naložbami osredotoči na raziskave in inovacije“ (specifično priporočilo št. 3 iz leta 2019) ter „[u]smeri naložbe na [...] raziskave in inovacije“ (specifično priporočilo št. 3 iz leta 2020).</w:t>
      </w:r>
    </w:p>
    <w:p w14:paraId="1AD12807" w14:textId="77777777" w:rsidR="003C6015" w:rsidRPr="00DD6A04" w:rsidRDefault="003C6015" w:rsidP="003C6015">
      <w:pPr>
        <w:spacing w:line="240" w:lineRule="auto"/>
        <w:jc w:val="both"/>
        <w:rPr>
          <w:noProof/>
        </w:rPr>
      </w:pPr>
      <w:r>
        <w:rPr>
          <w:noProof/>
        </w:rPr>
        <w:t>V priporočilu Sveta iz leta 2020 je bilo navedeno, da gospodarska recesija ogroža raziskave, razvoj in inovacije podjetij ter da so zato potrebne investicije za pomoč inovativnim malim in srednjim podjetjem, da okrepijo proizvodnjo. Poleg tega so močnejše povezave med univerzami in podjetji bistvene za uspešno pretvorbo znanja v inovacije, izboljšanje uspešnosti raziskav, razvoja in inovacij v državi, spodbujanje gospodarske rasti ter podpiranje uvajanja inovacij, ki so ključne za zeleni in digitalni prehod.</w:t>
      </w:r>
    </w:p>
    <w:p w14:paraId="64F945B2" w14:textId="66917050"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49F39D7F" w14:textId="77777777" w:rsidR="003C6015" w:rsidRPr="00DD6A04" w:rsidRDefault="003C6015" w:rsidP="003C6015">
      <w:pPr>
        <w:spacing w:line="240" w:lineRule="auto"/>
        <w:jc w:val="both"/>
        <w:rPr>
          <w:b/>
          <w:i/>
          <w:noProof/>
          <w:color w:val="4F81BD"/>
        </w:rPr>
      </w:pPr>
      <w:r>
        <w:rPr>
          <w:b/>
          <w:noProof/>
          <w:u w:val="single"/>
        </w:rPr>
        <w:t xml:space="preserve">H.1 </w:t>
      </w:r>
      <w:r>
        <w:rPr>
          <w:b/>
          <w:noProof/>
          <w:u w:val="single"/>
        </w:rPr>
        <w:tab/>
        <w:t>Opis reform in naložb za nepovratno finančno podporo</w:t>
      </w:r>
    </w:p>
    <w:p w14:paraId="21EDF731" w14:textId="77777777" w:rsidR="003C6015" w:rsidRPr="00DD6A04" w:rsidRDefault="003C6015" w:rsidP="003C6015">
      <w:pPr>
        <w:spacing w:line="240" w:lineRule="auto"/>
        <w:jc w:val="both"/>
        <w:rPr>
          <w:noProof/>
          <w:u w:val="single"/>
        </w:rPr>
      </w:pPr>
      <w:r>
        <w:rPr>
          <w:noProof/>
          <w:u w:val="single"/>
        </w:rPr>
        <w:t>Reforma A. Delovanje in upravljanje RRI sistema</w:t>
      </w:r>
    </w:p>
    <w:p w14:paraId="4130D56A" w14:textId="77777777" w:rsidR="003C6015" w:rsidRPr="00DD6A04" w:rsidRDefault="003C6015" w:rsidP="003C6015">
      <w:pPr>
        <w:spacing w:line="240" w:lineRule="auto"/>
        <w:jc w:val="both"/>
        <w:rPr>
          <w:noProof/>
        </w:rPr>
      </w:pPr>
      <w:r>
        <w:rPr>
          <w:noProof/>
        </w:rPr>
        <w:t>Cilji reforme so povečati uspešnost javnih naložb v raziskave, razvoj in inovacije (RRI), ustvariti učinkovito in v rezultate usmerjeno raziskovalno in inovacijsko okolje ter prizadevanja na področju raziskav, razvoja in inovacij usmeriti v zeleni in digitalni prehod.</w:t>
      </w:r>
    </w:p>
    <w:p w14:paraId="09780958" w14:textId="77777777" w:rsidR="003C6015" w:rsidRPr="00DD6A04" w:rsidRDefault="003C6015" w:rsidP="003C6015">
      <w:pPr>
        <w:spacing w:line="240" w:lineRule="auto"/>
        <w:jc w:val="both"/>
        <w:rPr>
          <w:noProof/>
        </w:rPr>
      </w:pPr>
      <w:r>
        <w:rPr>
          <w:noProof/>
        </w:rPr>
        <w:t>Reformo sestavljajo začetek veljavnosti novega Zakona o znanstvenoraziskovalni in inovacijski dejavnosti, uvedba novega modela upravljanja in povezovanja raziskovalnega in inovacijskega ekosistema (vključno z ustanovitvijo skupnega Programskega odbora), vzpostavitev skupnega sistema spremljanja in evalvacij politik na področju raziskav, razvoja in inovacij, okrepitev in opolnomočenje dveh izvajalskih agencij na področju raziskav ter okrepitev podpornega okolja že vzpostavljenih subjektov in mrež na nacionalni ravni in v mednarodnem prostoru za spodbujanje pretoka znanja ter sodelovanja med akademsko sfero in podjetji.</w:t>
      </w:r>
    </w:p>
    <w:p w14:paraId="5D0B3388" w14:textId="67B7AA1C" w:rsidR="0036078D" w:rsidRPr="00DD6A04" w:rsidRDefault="003C6015" w:rsidP="003C6015">
      <w:pPr>
        <w:spacing w:line="240" w:lineRule="auto"/>
        <w:jc w:val="both"/>
        <w:rPr>
          <w:noProof/>
        </w:rPr>
      </w:pPr>
      <w:r>
        <w:rPr>
          <w:noProof/>
        </w:rPr>
        <w:t>Mejniki v zvezi z izvedbo reforme bodo doseženi do 30. junija 2022.</w:t>
      </w:r>
    </w:p>
    <w:p w14:paraId="00791107" w14:textId="77777777" w:rsidR="00D73B9D" w:rsidRPr="00DD6A04" w:rsidRDefault="00D73B9D" w:rsidP="003C6015">
      <w:pPr>
        <w:spacing w:line="240" w:lineRule="auto"/>
        <w:jc w:val="both"/>
        <w:rPr>
          <w:noProof/>
          <w:lang w:val="en-GB"/>
        </w:rPr>
      </w:pPr>
    </w:p>
    <w:p w14:paraId="11C4DBF3" w14:textId="77777777" w:rsidR="003C6015" w:rsidRPr="00DD6A04" w:rsidRDefault="003C6015" w:rsidP="003C6015">
      <w:pPr>
        <w:spacing w:line="240" w:lineRule="auto"/>
        <w:jc w:val="both"/>
        <w:rPr>
          <w:noProof/>
          <w:u w:val="single"/>
        </w:rPr>
      </w:pPr>
      <w:r>
        <w:rPr>
          <w:noProof/>
          <w:u w:val="single"/>
        </w:rPr>
        <w:t>Investicija B. Sofinanciranje raziskovalno inovacijskih projektov v podporo zelenemu prehodu in digitalizaciji</w:t>
      </w:r>
    </w:p>
    <w:p w14:paraId="4836B033" w14:textId="77777777" w:rsidR="003C6015" w:rsidRPr="00DD6A04" w:rsidRDefault="003C6015" w:rsidP="003C6015">
      <w:pPr>
        <w:spacing w:line="240" w:lineRule="auto"/>
        <w:jc w:val="both"/>
        <w:rPr>
          <w:noProof/>
        </w:rPr>
      </w:pPr>
      <w:r>
        <w:rPr>
          <w:noProof/>
        </w:rPr>
        <w:t>Cilj investicije je spodbujati dolgoročnejše konzorcijsko sodelovanje raziskovalnih organizacij, velikih podjetij in MSP na področjih zelenega in digitalnega prehoda ter zagotoviti stabilnost in večjo predvidljivost instrumentov za podporo RRI.</w:t>
      </w:r>
    </w:p>
    <w:p w14:paraId="751273D5" w14:textId="785D3511" w:rsidR="003C6015" w:rsidRPr="00DD6A04" w:rsidRDefault="003C6015" w:rsidP="003C6015">
      <w:pPr>
        <w:spacing w:line="240" w:lineRule="auto"/>
        <w:jc w:val="both"/>
        <w:rPr>
          <w:noProof/>
        </w:rPr>
      </w:pPr>
      <w:r>
        <w:rPr>
          <w:noProof/>
        </w:rPr>
        <w:t xml:space="preserve">Investicija vključuje sofinanciranje projektov sodelovanja med raziskovalnimi organizacijami in gospodarstvom na vseh ravneh tehnološkega razvoja. Izvedena bo z dvema javnima razpisoma, v okviru katerih se bodo izbrali konzorciji raziskovalnih organizacij in gospodarstva. 15 000 000 EUR bo namenjenih dolgoročnejšim velikim sodelovalnim programom na področju industrijskih raziskav in eksperimentalnega razvoja, 36 641 145 EUR </w:t>
      </w:r>
      <w:bookmarkStart w:id="12" w:name="_Hlk142503148"/>
      <w:r>
        <w:rPr>
          <w:noProof/>
        </w:rPr>
        <w:t>pa bo namenjenih podjetniškim vlaganjem v RRI na višjih ravneh tehnološkega razvoja</w:t>
      </w:r>
      <w:bookmarkEnd w:id="12"/>
      <w:r>
        <w:rPr>
          <w:noProof/>
        </w:rPr>
        <w:t xml:space="preserve">. </w:t>
      </w:r>
    </w:p>
    <w:p w14:paraId="5FF2B461" w14:textId="77777777" w:rsidR="003C6015" w:rsidRPr="00DD6A04" w:rsidRDefault="003C6015" w:rsidP="003C6015">
      <w:pPr>
        <w:spacing w:line="240" w:lineRule="auto"/>
        <w:jc w:val="both"/>
        <w:rPr>
          <w:noProof/>
        </w:rPr>
      </w:pPr>
      <w:r>
        <w:rPr>
          <w:noProof/>
        </w:rPr>
        <w:t>Investicija bo dokončana do 30. junija 2026.</w:t>
      </w:r>
    </w:p>
    <w:p w14:paraId="7CFECCC5" w14:textId="77777777" w:rsidR="003C6015" w:rsidRPr="00DD6A04" w:rsidRDefault="003C6015" w:rsidP="003C6015">
      <w:pPr>
        <w:spacing w:line="240" w:lineRule="auto"/>
        <w:jc w:val="both"/>
        <w:rPr>
          <w:noProof/>
          <w:u w:val="single"/>
        </w:rPr>
      </w:pPr>
      <w:r>
        <w:rPr>
          <w:noProof/>
          <w:u w:val="single"/>
        </w:rPr>
        <w:t>Investicija C. Sofinanciranje projektov za krepitev mednarodne mobilnosti slovenskih raziskovalcev in raziskovalnih organizacij ter za spodbujanje mednarodne vpetosti slovenskih prijaviteljev</w:t>
      </w:r>
    </w:p>
    <w:p w14:paraId="5602921C" w14:textId="77777777" w:rsidR="003C6015" w:rsidRPr="00DD6A04" w:rsidRDefault="003C6015" w:rsidP="003C6015">
      <w:pPr>
        <w:spacing w:line="240" w:lineRule="auto"/>
        <w:jc w:val="both"/>
        <w:rPr>
          <w:noProof/>
        </w:rPr>
      </w:pPr>
      <w:r>
        <w:rPr>
          <w:noProof/>
        </w:rPr>
        <w:t>Cilj te investicije je okrepiti znanstveno odličnost, raziskovalne kapacitete ter prenos in kroženje znanja prek spodbujanja mednarodne in medsektorske mobilnosti in reintegracije raziskovalcev v slovenski raziskovalno-razvojni in inovacijski prostor.</w:t>
      </w:r>
    </w:p>
    <w:p w14:paraId="3BAC0F6B" w14:textId="1B5759D6" w:rsidR="003C6015" w:rsidRPr="00DD6A04" w:rsidRDefault="003C6015" w:rsidP="003C6015">
      <w:pPr>
        <w:spacing w:line="240" w:lineRule="auto"/>
        <w:jc w:val="both"/>
        <w:rPr>
          <w:noProof/>
        </w:rPr>
      </w:pPr>
      <w:r>
        <w:rPr>
          <w:noProof/>
        </w:rPr>
        <w:t xml:space="preserve">Investicijo sestavlja javni poziv z več odpiranji in financiranje projektov, ki spodbujajo mobilnost in/ali reintegracijo, ter za financiranje stroškov izvajanja dejavnosti na področju raziskav, razvoja in inovacij ter krepitve zmogljivosti za pridobivanje in prenos znanja v slovenski raziskovalni sektor v skladu z ukrepi Marie Sklodowske-Curie v okviru programa Obzorje Evropa. </w:t>
      </w:r>
    </w:p>
    <w:p w14:paraId="52D84E24" w14:textId="77777777" w:rsidR="003C6015" w:rsidRPr="00DD6A04" w:rsidRDefault="003C6015" w:rsidP="003C6015">
      <w:pPr>
        <w:spacing w:line="240" w:lineRule="auto"/>
        <w:jc w:val="both"/>
        <w:rPr>
          <w:noProof/>
        </w:rPr>
      </w:pPr>
      <w:r>
        <w:rPr>
          <w:noProof/>
        </w:rPr>
        <w:t xml:space="preserve">Investicija bo dokončana do 30. junija 2026. </w:t>
      </w:r>
    </w:p>
    <w:p w14:paraId="4F3AA5DA" w14:textId="77777777" w:rsidR="003C6015" w:rsidRPr="00DD6A04" w:rsidRDefault="003C6015" w:rsidP="003C6015">
      <w:pPr>
        <w:spacing w:line="240" w:lineRule="auto"/>
        <w:jc w:val="both"/>
        <w:rPr>
          <w:noProof/>
          <w:u w:val="single"/>
        </w:rPr>
      </w:pPr>
      <w:r>
        <w:rPr>
          <w:noProof/>
          <w:u w:val="single"/>
        </w:rPr>
        <w:t>Investicija D. Sofinanciranje investicij v RRI demonstracijske in pilotne projekte</w:t>
      </w:r>
    </w:p>
    <w:p w14:paraId="17F96FD1" w14:textId="77777777" w:rsidR="003C6015" w:rsidRPr="00DD6A04" w:rsidRDefault="003C6015" w:rsidP="003C6015">
      <w:pPr>
        <w:spacing w:line="240" w:lineRule="auto"/>
        <w:jc w:val="both"/>
        <w:rPr>
          <w:noProof/>
        </w:rPr>
      </w:pPr>
      <w:r>
        <w:rPr>
          <w:noProof/>
        </w:rPr>
        <w:t>Cilji investicije so izboljšati inovacijsko uspešnost Slovenije s povečanjem javnih in zasebnih investicij v RRI, krepiti sodelovanje javnega in zasebnega sektorja ter povezovanje širšega inovacijskega ekosistema in spodbujati podjetniška vlaganja za zeleni prehod, zlasti v zvezi s krožnim gospodarstvom.</w:t>
      </w:r>
    </w:p>
    <w:p w14:paraId="574373AD" w14:textId="77777777" w:rsidR="003C6015" w:rsidRPr="00DD6A04" w:rsidRDefault="003C6015" w:rsidP="003C6015">
      <w:pPr>
        <w:spacing w:line="240" w:lineRule="auto"/>
        <w:jc w:val="both"/>
        <w:rPr>
          <w:noProof/>
        </w:rPr>
      </w:pPr>
      <w:r>
        <w:rPr>
          <w:noProof/>
        </w:rPr>
        <w:t>Investicija bo izvedena z javnim razpisom, v okviru katerega bodo izbrani projekti konzorcijev podjetij in raziskovalnih organizacij. Gre za sofinanciranje stroškov raziskovalno-razvojnih dejavnosti na področju industrijskih raziskav in eksperimentalnega razvoja ter testiranja in uvedbe rešitve v realnem okolju.</w:t>
      </w:r>
    </w:p>
    <w:p w14:paraId="51B98A04" w14:textId="77777777" w:rsidR="003C6015" w:rsidRPr="00DD6A04" w:rsidRDefault="003C6015" w:rsidP="003C6015">
      <w:pPr>
        <w:spacing w:line="240" w:lineRule="auto"/>
        <w:jc w:val="both"/>
        <w:rPr>
          <w:noProof/>
        </w:rPr>
      </w:pPr>
      <w:r>
        <w:rPr>
          <w:noProof/>
        </w:rPr>
        <w:t>Investicija bo dokončana do 30. junija 2026.</w:t>
      </w:r>
    </w:p>
    <w:p w14:paraId="6C3E9286" w14:textId="77777777" w:rsidR="003C6015" w:rsidRPr="00DD6A04" w:rsidRDefault="003C6015" w:rsidP="003C6015">
      <w:pPr>
        <w:spacing w:line="240" w:lineRule="auto"/>
        <w:ind w:left="850"/>
        <w:jc w:val="both"/>
        <w:rPr>
          <w:noProof/>
          <w:u w:val="single"/>
          <w:lang w:val="en-GB"/>
        </w:rPr>
        <w:sectPr w:rsidR="003C6015" w:rsidRPr="00DD6A04" w:rsidSect="00073927">
          <w:headerReference w:type="even" r:id="rId150"/>
          <w:headerReference w:type="default" r:id="rId151"/>
          <w:footerReference w:type="even" r:id="rId152"/>
          <w:footerReference w:type="default" r:id="rId153"/>
          <w:headerReference w:type="first" r:id="rId154"/>
          <w:footerReference w:type="first" r:id="rId155"/>
          <w:pgSz w:w="11907" w:h="16839"/>
          <w:pgMar w:top="1134" w:right="1134" w:bottom="1134" w:left="1134" w:header="567" w:footer="567" w:gutter="0"/>
          <w:cols w:space="720"/>
          <w:docGrid w:linePitch="326"/>
        </w:sectPr>
      </w:pPr>
    </w:p>
    <w:p w14:paraId="378816DE" w14:textId="77777777" w:rsidR="003C6015" w:rsidRPr="00DD6A04" w:rsidRDefault="003C6015" w:rsidP="003C6015">
      <w:pPr>
        <w:spacing w:line="240" w:lineRule="auto"/>
        <w:ind w:left="850"/>
        <w:jc w:val="both"/>
        <w:rPr>
          <w:b/>
          <w:noProof/>
          <w:u w:val="single"/>
        </w:rPr>
      </w:pPr>
      <w:r>
        <w:rPr>
          <w:b/>
          <w:noProof/>
          <w:u w:val="single"/>
        </w:rPr>
        <w:t xml:space="preserve">H.2 </w:t>
      </w:r>
      <w:r>
        <w:rPr>
          <w:b/>
          <w:noProof/>
          <w:u w:val="single"/>
        </w:rPr>
        <w:tab/>
        <w:t>Mejniki, cilji, kazalniki in časovni razpored za spremljanje in izvajanje nepovratne finančne podpore</w:t>
      </w:r>
    </w:p>
    <w:tbl>
      <w:tblPr>
        <w:tblW w:w="15632" w:type="dxa"/>
        <w:jc w:val="center"/>
        <w:tblLayout w:type="fixed"/>
        <w:tblCellMar>
          <w:left w:w="57" w:type="dxa"/>
          <w:right w:w="57" w:type="dxa"/>
        </w:tblCellMar>
        <w:tblLook w:val="04A0" w:firstRow="1" w:lastRow="0" w:firstColumn="1" w:lastColumn="0" w:noHBand="0" w:noVBand="1"/>
      </w:tblPr>
      <w:tblGrid>
        <w:gridCol w:w="1244"/>
        <w:gridCol w:w="1697"/>
        <w:gridCol w:w="851"/>
        <w:gridCol w:w="1842"/>
        <w:gridCol w:w="2168"/>
        <w:gridCol w:w="990"/>
        <w:gridCol w:w="990"/>
        <w:gridCol w:w="720"/>
        <w:gridCol w:w="990"/>
        <w:gridCol w:w="630"/>
        <w:gridCol w:w="3510"/>
      </w:tblGrid>
      <w:tr w:rsidR="003C6015" w:rsidRPr="00DD6A04" w14:paraId="76FAA168" w14:textId="77777777" w:rsidTr="00A70F67">
        <w:trPr>
          <w:trHeight w:val="927"/>
          <w:tblHeader/>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E2039C" w14:textId="77777777" w:rsidR="003C6015" w:rsidRPr="00DD6A04" w:rsidRDefault="003C6015" w:rsidP="003C6015">
            <w:pPr>
              <w:spacing w:before="0" w:after="0" w:line="256" w:lineRule="auto"/>
              <w:jc w:val="center"/>
              <w:rPr>
                <w:rFonts w:eastAsia="Times New Roman"/>
                <w:noProof/>
                <w:color w:val="006100"/>
                <w:sz w:val="22"/>
              </w:rPr>
            </w:pPr>
            <w:r>
              <w:rPr>
                <w:b/>
                <w:noProof/>
                <w:sz w:val="22"/>
              </w:rPr>
              <w:t>Zaporedna številka</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B16405" w14:textId="77777777" w:rsidR="003C6015" w:rsidRPr="00DD6A04" w:rsidRDefault="003C6015" w:rsidP="003C6015">
            <w:pPr>
              <w:spacing w:before="0" w:after="0" w:line="256" w:lineRule="auto"/>
              <w:jc w:val="center"/>
              <w:rPr>
                <w:rFonts w:eastAsia="Times New Roman"/>
                <w:b/>
                <w:noProof/>
                <w:sz w:val="22"/>
              </w:rPr>
            </w:pPr>
            <w:r>
              <w:rPr>
                <w:b/>
                <w:noProof/>
                <w:sz w:val="22"/>
              </w:rPr>
              <w:t>Povezani ukrep (reforma ali naložba)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56E077" w14:textId="77777777" w:rsidR="003C6015" w:rsidRPr="00DD6A04" w:rsidRDefault="003C6015" w:rsidP="003C6015">
            <w:pPr>
              <w:spacing w:before="0" w:after="0" w:line="256" w:lineRule="auto"/>
              <w:jc w:val="center"/>
              <w:rPr>
                <w:rFonts w:eastAsia="Times New Roman"/>
                <w:b/>
                <w:noProof/>
                <w:sz w:val="22"/>
              </w:rPr>
            </w:pPr>
            <w:r>
              <w:rPr>
                <w:b/>
                <w:noProof/>
                <w:sz w:val="22"/>
              </w:rPr>
              <w:t>Mejnik/cilj</w:t>
            </w:r>
          </w:p>
        </w:tc>
        <w:tc>
          <w:tcPr>
            <w:tcW w:w="1842" w:type="dxa"/>
            <w:vMerge w:val="restart"/>
            <w:tcBorders>
              <w:top w:val="single" w:sz="4" w:space="0" w:color="auto"/>
              <w:left w:val="nil"/>
              <w:bottom w:val="single" w:sz="4" w:space="0" w:color="auto"/>
              <w:right w:val="single" w:sz="4" w:space="0" w:color="auto"/>
            </w:tcBorders>
            <w:shd w:val="clear" w:color="auto" w:fill="BDD7EE"/>
            <w:vAlign w:val="center"/>
            <w:hideMark/>
          </w:tcPr>
          <w:p w14:paraId="72EE2E76" w14:textId="77777777" w:rsidR="003C6015" w:rsidRPr="00DD6A04" w:rsidRDefault="003C6015" w:rsidP="003C6015">
            <w:pPr>
              <w:spacing w:before="0" w:after="0" w:line="256" w:lineRule="auto"/>
              <w:jc w:val="center"/>
              <w:rPr>
                <w:rFonts w:eastAsia="Times New Roman"/>
                <w:b/>
                <w:noProof/>
                <w:sz w:val="22"/>
              </w:rPr>
            </w:pPr>
            <w:r>
              <w:rPr>
                <w:b/>
                <w:noProof/>
                <w:sz w:val="22"/>
              </w:rPr>
              <w:t>Ime</w:t>
            </w:r>
          </w:p>
        </w:tc>
        <w:tc>
          <w:tcPr>
            <w:tcW w:w="21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79612D" w14:textId="77777777" w:rsidR="003C6015" w:rsidRPr="00DD6A04" w:rsidRDefault="003C6015" w:rsidP="003C6015">
            <w:pPr>
              <w:spacing w:before="0" w:after="0" w:line="256" w:lineRule="auto"/>
              <w:jc w:val="center"/>
              <w:rPr>
                <w:rFonts w:eastAsia="Times New Roman"/>
                <w:b/>
                <w:noProof/>
                <w:sz w:val="22"/>
              </w:rPr>
            </w:pPr>
            <w:r>
              <w:rPr>
                <w:b/>
                <w:noProof/>
                <w:sz w:val="22"/>
              </w:rPr>
              <w:t>Kvalitativni kazalniki</w:t>
            </w:r>
            <w:r>
              <w:rPr>
                <w:noProof/>
              </w:rPr>
              <w:t xml:space="preserve"> </w:t>
            </w:r>
            <w:r>
              <w:rPr>
                <w:b/>
                <w:noProof/>
                <w:sz w:val="22"/>
              </w:rPr>
              <w:t>(za mejnike)</w:t>
            </w:r>
          </w:p>
        </w:tc>
        <w:tc>
          <w:tcPr>
            <w:tcW w:w="2700" w:type="dxa"/>
            <w:gridSpan w:val="3"/>
            <w:tcBorders>
              <w:top w:val="single" w:sz="4" w:space="0" w:color="auto"/>
              <w:left w:val="nil"/>
              <w:bottom w:val="single" w:sz="4" w:space="0" w:color="auto"/>
              <w:right w:val="single" w:sz="4" w:space="0" w:color="auto"/>
            </w:tcBorders>
            <w:shd w:val="clear" w:color="auto" w:fill="BDD7EE"/>
            <w:vAlign w:val="center"/>
            <w:hideMark/>
          </w:tcPr>
          <w:p w14:paraId="6991BC02" w14:textId="77777777" w:rsidR="003C6015" w:rsidRPr="00DD6A04" w:rsidRDefault="003C6015" w:rsidP="003C6015">
            <w:pPr>
              <w:spacing w:before="0" w:after="0" w:line="256" w:lineRule="auto"/>
              <w:jc w:val="center"/>
              <w:rPr>
                <w:rFonts w:eastAsia="Times New Roman"/>
                <w:b/>
                <w:noProof/>
                <w:sz w:val="22"/>
              </w:rPr>
            </w:pPr>
            <w:r>
              <w:rPr>
                <w:b/>
                <w:noProof/>
                <w:sz w:val="22"/>
              </w:rPr>
              <w:t>Kvantitativni kazalniki</w:t>
            </w:r>
            <w:r>
              <w:rPr>
                <w:noProof/>
              </w:rPr>
              <w:t xml:space="preserve"> </w:t>
            </w:r>
            <w:r>
              <w:rPr>
                <w:b/>
                <w:noProof/>
                <w:sz w:val="22"/>
              </w:rPr>
              <w:t>(za cilje)</w:t>
            </w:r>
          </w:p>
        </w:tc>
        <w:tc>
          <w:tcPr>
            <w:tcW w:w="1620" w:type="dxa"/>
            <w:gridSpan w:val="2"/>
            <w:tcBorders>
              <w:top w:val="single" w:sz="4" w:space="0" w:color="auto"/>
              <w:left w:val="nil"/>
              <w:bottom w:val="single" w:sz="4" w:space="0" w:color="auto"/>
              <w:right w:val="single" w:sz="4" w:space="0" w:color="auto"/>
            </w:tcBorders>
            <w:shd w:val="clear" w:color="auto" w:fill="BDD7EE"/>
            <w:vAlign w:val="center"/>
            <w:hideMark/>
          </w:tcPr>
          <w:p w14:paraId="16E68F91"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Okvirni časovni razpored za dokončanje </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1E644D" w14:textId="77777777" w:rsidR="003C6015" w:rsidRPr="00DD6A04" w:rsidRDefault="003C6015" w:rsidP="003C6015">
            <w:pPr>
              <w:spacing w:before="0" w:after="0" w:line="256" w:lineRule="auto"/>
              <w:jc w:val="center"/>
              <w:rPr>
                <w:rFonts w:eastAsia="Times New Roman"/>
                <w:b/>
                <w:noProof/>
                <w:sz w:val="22"/>
              </w:rPr>
            </w:pPr>
            <w:r>
              <w:rPr>
                <w:b/>
                <w:noProof/>
                <w:sz w:val="22"/>
              </w:rPr>
              <w:t>Opis vsakega mejnika in cilja</w:t>
            </w:r>
          </w:p>
        </w:tc>
      </w:tr>
      <w:tr w:rsidR="003C6015" w:rsidRPr="00DD6A04" w14:paraId="1AAED491" w14:textId="77777777" w:rsidTr="00A70F67">
        <w:trPr>
          <w:trHeight w:val="331"/>
          <w:tblHeader/>
          <w:jc w:val="center"/>
        </w:trPr>
        <w:tc>
          <w:tcPr>
            <w:tcW w:w="1244" w:type="dxa"/>
            <w:vMerge/>
            <w:tcBorders>
              <w:top w:val="single" w:sz="4" w:space="0" w:color="auto"/>
              <w:left w:val="single" w:sz="4" w:space="0" w:color="auto"/>
              <w:bottom w:val="single" w:sz="4" w:space="0" w:color="auto"/>
              <w:right w:val="single" w:sz="4" w:space="0" w:color="auto"/>
            </w:tcBorders>
            <w:vAlign w:val="center"/>
            <w:hideMark/>
          </w:tcPr>
          <w:p w14:paraId="080EFEE8"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4255C1F4" w14:textId="77777777" w:rsidR="003C6015" w:rsidRPr="00DD6A04" w:rsidRDefault="003C6015" w:rsidP="003C6015">
            <w:pPr>
              <w:spacing w:before="0" w:after="0" w:line="256" w:lineRule="auto"/>
              <w:rPr>
                <w:rFonts w:eastAsia="Times New Roman"/>
                <w:b/>
                <w:noProof/>
                <w:sz w:val="22"/>
                <w:lang w:val="en-GB" w:eastAsia="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FE85E7" w14:textId="77777777" w:rsidR="003C6015" w:rsidRPr="00DD6A04" w:rsidRDefault="003C6015" w:rsidP="003C6015">
            <w:pPr>
              <w:spacing w:before="0" w:after="0" w:line="256" w:lineRule="auto"/>
              <w:rPr>
                <w:rFonts w:eastAsia="Times New Roman"/>
                <w:b/>
                <w:noProof/>
                <w:sz w:val="22"/>
                <w:lang w:val="en-GB" w:eastAsia="en-G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563EE12" w14:textId="77777777" w:rsidR="003C6015" w:rsidRPr="00DD6A04" w:rsidRDefault="003C6015" w:rsidP="003C6015">
            <w:pPr>
              <w:spacing w:before="0" w:after="0" w:line="256" w:lineRule="auto"/>
              <w:rPr>
                <w:rFonts w:eastAsia="Times New Roman"/>
                <w:b/>
                <w:noProof/>
                <w:sz w:val="22"/>
                <w:lang w:val="en-GB" w:eastAsia="en-GB"/>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14:paraId="55B10BD1" w14:textId="77777777" w:rsidR="003C6015" w:rsidRPr="00DD6A04" w:rsidRDefault="003C6015" w:rsidP="003C6015">
            <w:pPr>
              <w:spacing w:before="0" w:after="0" w:line="256" w:lineRule="auto"/>
              <w:rPr>
                <w:rFonts w:eastAsia="Times New Roman"/>
                <w:b/>
                <w:noProof/>
                <w:sz w:val="22"/>
                <w:lang w:val="en-GB"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41F449E" w14:textId="77777777" w:rsidR="003C6015" w:rsidRPr="00DD6A04" w:rsidRDefault="003C6015" w:rsidP="003C6015">
            <w:pPr>
              <w:spacing w:before="0" w:after="0" w:line="256" w:lineRule="auto"/>
              <w:jc w:val="center"/>
              <w:rPr>
                <w:rFonts w:eastAsia="Times New Roman"/>
                <w:b/>
                <w:noProof/>
                <w:sz w:val="22"/>
              </w:rPr>
            </w:pPr>
            <w:r>
              <w:rPr>
                <w:b/>
                <w:noProof/>
                <w:sz w:val="22"/>
              </w:rPr>
              <w:t>Enota merjenja</w:t>
            </w:r>
          </w:p>
        </w:tc>
        <w:tc>
          <w:tcPr>
            <w:tcW w:w="99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982642"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Izhodiščna raven </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00890A"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Ciljna raven </w:t>
            </w:r>
          </w:p>
        </w:tc>
        <w:tc>
          <w:tcPr>
            <w:tcW w:w="99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5964762" w14:textId="77777777" w:rsidR="003C6015" w:rsidRPr="00DD6A04" w:rsidRDefault="003C6015" w:rsidP="003C6015">
            <w:pPr>
              <w:spacing w:before="0" w:after="0" w:line="256" w:lineRule="auto"/>
              <w:jc w:val="center"/>
              <w:rPr>
                <w:rFonts w:eastAsia="Times New Roman"/>
                <w:b/>
                <w:noProof/>
                <w:sz w:val="22"/>
              </w:rPr>
            </w:pPr>
            <w:r>
              <w:rPr>
                <w:b/>
                <w:noProof/>
                <w:sz w:val="22"/>
              </w:rPr>
              <w:t>Četrtletje</w:t>
            </w:r>
          </w:p>
        </w:tc>
        <w:tc>
          <w:tcPr>
            <w:tcW w:w="63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13D5318" w14:textId="77777777" w:rsidR="003C6015" w:rsidRPr="00DD6A04" w:rsidRDefault="003C6015" w:rsidP="003C6015">
            <w:pPr>
              <w:spacing w:before="0" w:after="0" w:line="256" w:lineRule="auto"/>
              <w:jc w:val="center"/>
              <w:rPr>
                <w:rFonts w:eastAsia="Times New Roman"/>
                <w:b/>
                <w:noProof/>
                <w:sz w:val="22"/>
              </w:rPr>
            </w:pPr>
            <w:r>
              <w:rPr>
                <w:b/>
                <w:noProof/>
                <w:sz w:val="22"/>
              </w:rPr>
              <w:t>Leto</w:t>
            </w: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78A9870C" w14:textId="77777777" w:rsidR="003C6015" w:rsidRPr="00DD6A04" w:rsidRDefault="003C6015" w:rsidP="003C6015">
            <w:pPr>
              <w:spacing w:before="0" w:after="0" w:line="256" w:lineRule="auto"/>
              <w:rPr>
                <w:rFonts w:eastAsia="Times New Roman"/>
                <w:b/>
                <w:noProof/>
                <w:sz w:val="22"/>
                <w:lang w:val="en-GB" w:eastAsia="en-GB"/>
              </w:rPr>
            </w:pPr>
          </w:p>
        </w:tc>
      </w:tr>
      <w:tr w:rsidR="003C6015" w:rsidRPr="00DD6A04" w14:paraId="1EF6B1E4"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401D863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110</w:t>
            </w:r>
          </w:p>
        </w:tc>
        <w:tc>
          <w:tcPr>
            <w:tcW w:w="1697" w:type="dxa"/>
            <w:tcBorders>
              <w:top w:val="single" w:sz="4" w:space="0" w:color="auto"/>
              <w:left w:val="nil"/>
              <w:bottom w:val="single" w:sz="4" w:space="0" w:color="auto"/>
              <w:right w:val="single" w:sz="4" w:space="0" w:color="auto"/>
            </w:tcBorders>
            <w:shd w:val="clear" w:color="auto" w:fill="C6EFCE"/>
            <w:noWrap/>
          </w:tcPr>
          <w:p w14:paraId="47B3712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A: Delovanje in upravljanje RRI sistema</w:t>
            </w:r>
          </w:p>
        </w:tc>
        <w:tc>
          <w:tcPr>
            <w:tcW w:w="851" w:type="dxa"/>
            <w:tcBorders>
              <w:top w:val="single" w:sz="4" w:space="0" w:color="auto"/>
              <w:left w:val="nil"/>
              <w:bottom w:val="single" w:sz="4" w:space="0" w:color="auto"/>
              <w:right w:val="single" w:sz="4" w:space="0" w:color="auto"/>
            </w:tcBorders>
            <w:shd w:val="clear" w:color="auto" w:fill="C6EFCE"/>
            <w:noWrap/>
          </w:tcPr>
          <w:p w14:paraId="4A09D33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single" w:sz="4" w:space="0" w:color="auto"/>
              <w:left w:val="nil"/>
              <w:bottom w:val="single" w:sz="4" w:space="0" w:color="auto"/>
              <w:right w:val="single" w:sz="4" w:space="0" w:color="auto"/>
            </w:tcBorders>
            <w:shd w:val="clear" w:color="auto" w:fill="C6EFCE"/>
            <w:noWrap/>
          </w:tcPr>
          <w:p w14:paraId="75F7E4B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Začetek veljavnosti Zakona o znanstvenoraziskovalni in inovacijski dejavnosti </w:t>
            </w:r>
          </w:p>
        </w:tc>
        <w:tc>
          <w:tcPr>
            <w:tcW w:w="2168" w:type="dxa"/>
            <w:tcBorders>
              <w:top w:val="single" w:sz="4" w:space="0" w:color="auto"/>
              <w:left w:val="nil"/>
              <w:bottom w:val="single" w:sz="4" w:space="0" w:color="auto"/>
              <w:right w:val="single" w:sz="4" w:space="0" w:color="auto"/>
            </w:tcBorders>
            <w:shd w:val="clear" w:color="auto" w:fill="C6EFCE"/>
            <w:noWrap/>
          </w:tcPr>
          <w:p w14:paraId="420DA86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Zakonodajna določba o začetku veljavnosti Zakona po sprejetju v Državnem zboru po sprejetju v Državnem zboru</w:t>
            </w:r>
          </w:p>
          <w:p w14:paraId="2103521D" w14:textId="77777777" w:rsidR="003C6015" w:rsidRPr="00DD6A04" w:rsidRDefault="003C6015" w:rsidP="003C6015">
            <w:pPr>
              <w:spacing w:before="0" w:after="0" w:line="256" w:lineRule="auto"/>
              <w:rPr>
                <w:rFonts w:eastAsia="Times New Roman"/>
                <w:noProof/>
                <w:color w:val="006100"/>
                <w:sz w:val="22"/>
                <w:lang w:val="en-GB" w:eastAsia="en-GB"/>
              </w:rPr>
            </w:pPr>
          </w:p>
          <w:p w14:paraId="1771E752"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07C404E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05FC58FA"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720" w:type="dxa"/>
            <w:tcBorders>
              <w:top w:val="single" w:sz="4" w:space="0" w:color="auto"/>
              <w:left w:val="nil"/>
              <w:bottom w:val="single" w:sz="4" w:space="0" w:color="auto"/>
              <w:right w:val="single" w:sz="4" w:space="0" w:color="auto"/>
            </w:tcBorders>
            <w:shd w:val="clear" w:color="auto" w:fill="C6EFCE"/>
            <w:noWrap/>
          </w:tcPr>
          <w:p w14:paraId="3CEE2080"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1661926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630" w:type="dxa"/>
            <w:tcBorders>
              <w:top w:val="single" w:sz="4" w:space="0" w:color="auto"/>
              <w:left w:val="nil"/>
              <w:bottom w:val="single" w:sz="4" w:space="0" w:color="auto"/>
              <w:right w:val="single" w:sz="4" w:space="0" w:color="auto"/>
            </w:tcBorders>
            <w:shd w:val="clear" w:color="auto" w:fill="C6EFCE"/>
            <w:noWrap/>
          </w:tcPr>
          <w:p w14:paraId="3839A92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3510" w:type="dxa"/>
            <w:tcBorders>
              <w:top w:val="single" w:sz="4" w:space="0" w:color="auto"/>
              <w:left w:val="nil"/>
              <w:bottom w:val="single" w:sz="4" w:space="0" w:color="auto"/>
              <w:right w:val="single" w:sz="4" w:space="0" w:color="auto"/>
            </w:tcBorders>
            <w:shd w:val="clear" w:color="auto" w:fill="C6EFCE"/>
            <w:noWrap/>
          </w:tcPr>
          <w:p w14:paraId="171BC23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 Zakona bo povečati učinkovitost in usklajevanje upravljanja na področju RRI. Zakon bo med drugim povečal in stabiliziral financiranje raziskovalno-razvojnih in inovacijskih dejavnosti, povečal avtonomijo javnih raziskovalnih organizacij, uveljavil elemente na rezultatih temelječega financiranja, spodbudil sodelovanje raziskovalcev v raziskovalnih projektih EU in s podjetji v EU ter spodbujal večjo internacionalizacijo ter medsektorsko mobilnost in prenos znanja.</w:t>
            </w:r>
          </w:p>
        </w:tc>
      </w:tr>
      <w:tr w:rsidR="003C6015" w:rsidRPr="00DD6A04" w14:paraId="01BC69F3"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79133F9B"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111</w:t>
            </w:r>
          </w:p>
        </w:tc>
        <w:tc>
          <w:tcPr>
            <w:tcW w:w="1697" w:type="dxa"/>
            <w:tcBorders>
              <w:top w:val="single" w:sz="4" w:space="0" w:color="auto"/>
              <w:left w:val="nil"/>
              <w:bottom w:val="single" w:sz="4" w:space="0" w:color="auto"/>
              <w:right w:val="single" w:sz="4" w:space="0" w:color="auto"/>
            </w:tcBorders>
            <w:shd w:val="clear" w:color="auto" w:fill="C6EFCE"/>
            <w:noWrap/>
          </w:tcPr>
          <w:p w14:paraId="727C1DF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A: Delovanje in upravljanje RRI sistema</w:t>
            </w:r>
          </w:p>
        </w:tc>
        <w:tc>
          <w:tcPr>
            <w:tcW w:w="851" w:type="dxa"/>
            <w:tcBorders>
              <w:top w:val="single" w:sz="4" w:space="0" w:color="auto"/>
              <w:left w:val="nil"/>
              <w:bottom w:val="single" w:sz="4" w:space="0" w:color="auto"/>
              <w:right w:val="single" w:sz="4" w:space="0" w:color="auto"/>
            </w:tcBorders>
            <w:shd w:val="clear" w:color="auto" w:fill="C6EFCE"/>
            <w:noWrap/>
          </w:tcPr>
          <w:p w14:paraId="1E963B9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single" w:sz="4" w:space="0" w:color="auto"/>
              <w:left w:val="nil"/>
              <w:bottom w:val="single" w:sz="4" w:space="0" w:color="auto"/>
              <w:right w:val="single" w:sz="4" w:space="0" w:color="auto"/>
            </w:tcBorders>
            <w:shd w:val="clear" w:color="auto" w:fill="C6EFCE"/>
            <w:noWrap/>
          </w:tcPr>
          <w:p w14:paraId="0477CB0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Ustanovljen in operativen skupni Programski odbor</w:t>
            </w:r>
          </w:p>
        </w:tc>
        <w:tc>
          <w:tcPr>
            <w:tcW w:w="2168" w:type="dxa"/>
            <w:tcBorders>
              <w:top w:val="single" w:sz="4" w:space="0" w:color="auto"/>
              <w:left w:val="nil"/>
              <w:bottom w:val="single" w:sz="4" w:space="0" w:color="auto"/>
              <w:right w:val="single" w:sz="4" w:space="0" w:color="auto"/>
            </w:tcBorders>
            <w:shd w:val="clear" w:color="auto" w:fill="C6EFCE"/>
            <w:noWrap/>
          </w:tcPr>
          <w:p w14:paraId="02B4522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 sklepom o imenovanju in nalogah vzpostavljen skupni Programski odbor na Vladi Republike Slovenije</w:t>
            </w:r>
          </w:p>
        </w:tc>
        <w:tc>
          <w:tcPr>
            <w:tcW w:w="990" w:type="dxa"/>
            <w:tcBorders>
              <w:top w:val="single" w:sz="4" w:space="0" w:color="auto"/>
              <w:left w:val="nil"/>
              <w:bottom w:val="single" w:sz="4" w:space="0" w:color="auto"/>
              <w:right w:val="single" w:sz="4" w:space="0" w:color="auto"/>
            </w:tcBorders>
            <w:shd w:val="clear" w:color="auto" w:fill="C6EFCE"/>
            <w:noWrap/>
          </w:tcPr>
          <w:p w14:paraId="5ABFE1F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0E4C344C"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720" w:type="dxa"/>
            <w:tcBorders>
              <w:top w:val="single" w:sz="4" w:space="0" w:color="auto"/>
              <w:left w:val="nil"/>
              <w:bottom w:val="single" w:sz="4" w:space="0" w:color="auto"/>
              <w:right w:val="single" w:sz="4" w:space="0" w:color="auto"/>
            </w:tcBorders>
            <w:shd w:val="clear" w:color="auto" w:fill="C6EFCE"/>
            <w:noWrap/>
          </w:tcPr>
          <w:p w14:paraId="1C7F0C3F"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51058F0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630" w:type="dxa"/>
            <w:tcBorders>
              <w:top w:val="single" w:sz="4" w:space="0" w:color="auto"/>
              <w:left w:val="nil"/>
              <w:bottom w:val="single" w:sz="4" w:space="0" w:color="auto"/>
              <w:right w:val="single" w:sz="4" w:space="0" w:color="auto"/>
            </w:tcBorders>
            <w:shd w:val="clear" w:color="auto" w:fill="C6EFCE"/>
            <w:noWrap/>
          </w:tcPr>
          <w:p w14:paraId="5D4DA81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3510" w:type="dxa"/>
            <w:tcBorders>
              <w:top w:val="single" w:sz="4" w:space="0" w:color="auto"/>
              <w:left w:val="nil"/>
              <w:bottom w:val="single" w:sz="4" w:space="0" w:color="auto"/>
              <w:right w:val="single" w:sz="4" w:space="0" w:color="auto"/>
            </w:tcBorders>
            <w:shd w:val="clear" w:color="auto" w:fill="C6EFCE"/>
            <w:noWrap/>
          </w:tcPr>
          <w:p w14:paraId="0737117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Skupni Programski odbor bo omogočil stabilno in kontinuirano usklajevanje na strateški in operativni ravni, in sicer tudi usklajevanje instrumentov za izvajanje politike RRI ne glede na vir financiranja.</w:t>
            </w:r>
          </w:p>
          <w:p w14:paraId="66A5CD28"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7511E7B7"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343950C4"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112</w:t>
            </w:r>
          </w:p>
        </w:tc>
        <w:tc>
          <w:tcPr>
            <w:tcW w:w="1697" w:type="dxa"/>
            <w:tcBorders>
              <w:top w:val="single" w:sz="4" w:space="0" w:color="auto"/>
              <w:left w:val="nil"/>
              <w:bottom w:val="single" w:sz="4" w:space="0" w:color="auto"/>
              <w:right w:val="single" w:sz="4" w:space="0" w:color="auto"/>
            </w:tcBorders>
            <w:shd w:val="clear" w:color="auto" w:fill="C6EFCE"/>
            <w:noWrap/>
          </w:tcPr>
          <w:p w14:paraId="15DC3F9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851" w:type="dxa"/>
            <w:tcBorders>
              <w:top w:val="single" w:sz="4" w:space="0" w:color="auto"/>
              <w:left w:val="nil"/>
              <w:bottom w:val="single" w:sz="4" w:space="0" w:color="auto"/>
              <w:right w:val="single" w:sz="4" w:space="0" w:color="auto"/>
            </w:tcBorders>
            <w:shd w:val="clear" w:color="auto" w:fill="C6EFCE"/>
            <w:noWrap/>
          </w:tcPr>
          <w:p w14:paraId="3D80E3F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single" w:sz="4" w:space="0" w:color="auto"/>
              <w:left w:val="nil"/>
              <w:bottom w:val="single" w:sz="4" w:space="0" w:color="auto"/>
              <w:right w:val="single" w:sz="4" w:space="0" w:color="auto"/>
            </w:tcBorders>
            <w:shd w:val="clear" w:color="auto" w:fill="C6EFCE"/>
            <w:noWrap/>
          </w:tcPr>
          <w:p w14:paraId="14B65F9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Sklep o izbiri programov za razvoj nizkoogljične družbe, gospodarstva, odpornosti in prilagajanja podnebnim spremembam</w:t>
            </w:r>
          </w:p>
        </w:tc>
        <w:tc>
          <w:tcPr>
            <w:tcW w:w="2168" w:type="dxa"/>
            <w:tcBorders>
              <w:top w:val="single" w:sz="4" w:space="0" w:color="auto"/>
              <w:left w:val="nil"/>
              <w:bottom w:val="single" w:sz="4" w:space="0" w:color="auto"/>
              <w:right w:val="single" w:sz="4" w:space="0" w:color="auto"/>
            </w:tcBorders>
            <w:shd w:val="clear" w:color="auto" w:fill="C6EFCE"/>
            <w:noWrap/>
          </w:tcPr>
          <w:p w14:paraId="337DC3B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Obvestilo o sklepu o izbiri</w:t>
            </w:r>
          </w:p>
        </w:tc>
        <w:tc>
          <w:tcPr>
            <w:tcW w:w="990" w:type="dxa"/>
            <w:tcBorders>
              <w:top w:val="single" w:sz="4" w:space="0" w:color="auto"/>
              <w:left w:val="nil"/>
              <w:bottom w:val="single" w:sz="4" w:space="0" w:color="auto"/>
              <w:right w:val="single" w:sz="4" w:space="0" w:color="auto"/>
            </w:tcBorders>
            <w:shd w:val="clear" w:color="auto" w:fill="C6EFCE"/>
            <w:noWrap/>
          </w:tcPr>
          <w:p w14:paraId="7AC98B6E"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20F70043"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720" w:type="dxa"/>
            <w:tcBorders>
              <w:top w:val="single" w:sz="4" w:space="0" w:color="auto"/>
              <w:left w:val="nil"/>
              <w:bottom w:val="single" w:sz="4" w:space="0" w:color="auto"/>
              <w:right w:val="single" w:sz="4" w:space="0" w:color="auto"/>
            </w:tcBorders>
            <w:shd w:val="clear" w:color="auto" w:fill="C6EFCE"/>
            <w:noWrap/>
          </w:tcPr>
          <w:p w14:paraId="3ED1C336"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103AC34A"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630" w:type="dxa"/>
            <w:tcBorders>
              <w:top w:val="single" w:sz="4" w:space="0" w:color="auto"/>
              <w:left w:val="nil"/>
              <w:bottom w:val="single" w:sz="4" w:space="0" w:color="auto"/>
              <w:right w:val="single" w:sz="4" w:space="0" w:color="auto"/>
            </w:tcBorders>
            <w:shd w:val="clear" w:color="auto" w:fill="C6EFCE"/>
            <w:noWrap/>
          </w:tcPr>
          <w:p w14:paraId="3962AB1A"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3510" w:type="dxa"/>
            <w:tcBorders>
              <w:top w:val="single" w:sz="4" w:space="0" w:color="auto"/>
              <w:left w:val="nil"/>
              <w:bottom w:val="single" w:sz="4" w:space="0" w:color="auto"/>
              <w:right w:val="single" w:sz="4" w:space="0" w:color="auto"/>
            </w:tcBorders>
            <w:shd w:val="clear" w:color="auto" w:fill="C6EFCE"/>
            <w:noWrap/>
          </w:tcPr>
          <w:p w14:paraId="7194AF04" w14:textId="43464846" w:rsidR="00C2187D" w:rsidRPr="00DD6A04" w:rsidRDefault="003C6015" w:rsidP="003C6015">
            <w:pPr>
              <w:spacing w:before="0" w:after="0" w:line="256" w:lineRule="auto"/>
              <w:rPr>
                <w:rFonts w:eastAsia="Times New Roman"/>
                <w:noProof/>
                <w:color w:val="006100"/>
                <w:sz w:val="22"/>
              </w:rPr>
            </w:pPr>
            <w:r>
              <w:rPr>
                <w:noProof/>
                <w:color w:val="006100"/>
                <w:sz w:val="22"/>
              </w:rPr>
              <w:t xml:space="preserve">Poudarek izbranih programov bo na nizkoogljičnem gospodarstvu, odpornosti in prilagajanju podnebnim spremembam. Podpirali bodo industrijske raziskave in eksperimentalni razvoj. Financiranje bo znašalo do 3 750 000 EUR na program. Skupni znesek financiranja bo najmanj 7 500 000 EUR. </w:t>
            </w:r>
          </w:p>
          <w:p w14:paraId="194AC749" w14:textId="53C46EEA" w:rsidR="003C6015" w:rsidRPr="00DD6A04" w:rsidRDefault="003C6015" w:rsidP="003C6015">
            <w:pPr>
              <w:spacing w:before="0" w:after="0" w:line="256" w:lineRule="auto"/>
              <w:rPr>
                <w:rFonts w:eastAsia="Times New Roman"/>
                <w:noProof/>
                <w:color w:val="006100"/>
                <w:sz w:val="22"/>
              </w:rPr>
            </w:pPr>
          </w:p>
          <w:p w14:paraId="64CBEFE4" w14:textId="77777777" w:rsidR="003C6015" w:rsidRPr="00DD6A04" w:rsidRDefault="003C6015" w:rsidP="003C6015">
            <w:pPr>
              <w:spacing w:before="0" w:after="0" w:line="256" w:lineRule="auto"/>
              <w:rPr>
                <w:rFonts w:eastAsia="Times New Roman"/>
                <w:noProof/>
                <w:color w:val="006100"/>
                <w:sz w:val="22"/>
                <w:lang w:val="en-GB" w:eastAsia="en-GB"/>
              </w:rPr>
            </w:pPr>
          </w:p>
          <w:p w14:paraId="7EBEFCC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Programi bodo podpirali konzorcije podjetij in javnih raziskovalnih organizacij, ki bodo izvajali projekte na področju RRI. Podprti programi bodo spodbujali konzorcijske partnerje k vključevanju v globalne verige vrednosti in znanja za internacionalizacijo slovenskega gospodarstva ter h krepitvi podpornega okolja za inovacijsko-razvojne procese. </w:t>
            </w:r>
          </w:p>
          <w:p w14:paraId="7FF36CC6" w14:textId="77777777" w:rsidR="003C6015" w:rsidRPr="00DD6A04" w:rsidRDefault="003C6015" w:rsidP="003C6015">
            <w:pPr>
              <w:spacing w:before="0" w:after="0" w:line="256" w:lineRule="auto"/>
              <w:rPr>
                <w:rFonts w:eastAsia="Times New Roman"/>
                <w:noProof/>
                <w:color w:val="006100"/>
                <w:sz w:val="22"/>
                <w:lang w:val="en-GB" w:eastAsia="en-GB"/>
              </w:rPr>
            </w:pPr>
          </w:p>
          <w:p w14:paraId="38A0E11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Programi bodo tehnološko nevtralni v smislu vpliva na okolje na ravni njihove uporabe. Izključene bodo raziskovalno-inovacijske dejavnosti, ki se nanašajo na rjave elemente raziskav in inovacij, kot so premog, nafta, zemeljski plin, ki ga ne pokriva Priloga III k tehničnim smernicam za uporabo načela, da se ne škoduje bistveno, modri in sivi vodik, sežigalnice in odlagališča.</w:t>
            </w:r>
          </w:p>
          <w:p w14:paraId="0EE7FE42"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61F174EE"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4AF34B18"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113</w:t>
            </w:r>
          </w:p>
        </w:tc>
        <w:tc>
          <w:tcPr>
            <w:tcW w:w="1697" w:type="dxa"/>
            <w:tcBorders>
              <w:top w:val="single" w:sz="4" w:space="0" w:color="auto"/>
              <w:left w:val="nil"/>
              <w:bottom w:val="single" w:sz="4" w:space="0" w:color="auto"/>
              <w:right w:val="single" w:sz="4" w:space="0" w:color="auto"/>
            </w:tcBorders>
            <w:shd w:val="clear" w:color="auto" w:fill="C6EFCE"/>
            <w:noWrap/>
          </w:tcPr>
          <w:p w14:paraId="7294BC0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851" w:type="dxa"/>
            <w:tcBorders>
              <w:top w:val="single" w:sz="4" w:space="0" w:color="auto"/>
              <w:left w:val="nil"/>
              <w:bottom w:val="single" w:sz="4" w:space="0" w:color="auto"/>
              <w:right w:val="single" w:sz="4" w:space="0" w:color="auto"/>
            </w:tcBorders>
            <w:shd w:val="clear" w:color="auto" w:fill="C6EFCE"/>
            <w:noWrap/>
          </w:tcPr>
          <w:p w14:paraId="4EFEFA8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single" w:sz="4" w:space="0" w:color="auto"/>
              <w:left w:val="nil"/>
              <w:bottom w:val="single" w:sz="4" w:space="0" w:color="auto"/>
              <w:right w:val="single" w:sz="4" w:space="0" w:color="auto"/>
            </w:tcBorders>
            <w:shd w:val="clear" w:color="auto" w:fill="C6EFCE"/>
            <w:noWrap/>
          </w:tcPr>
          <w:p w14:paraId="26DD71F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Sklep o izbiri programov na področju digitalizacije in digitalne preobrazbe</w:t>
            </w:r>
          </w:p>
        </w:tc>
        <w:tc>
          <w:tcPr>
            <w:tcW w:w="2168" w:type="dxa"/>
            <w:tcBorders>
              <w:top w:val="single" w:sz="4" w:space="0" w:color="auto"/>
              <w:left w:val="nil"/>
              <w:bottom w:val="single" w:sz="4" w:space="0" w:color="auto"/>
              <w:right w:val="single" w:sz="4" w:space="0" w:color="auto"/>
            </w:tcBorders>
            <w:shd w:val="clear" w:color="auto" w:fill="C6EFCE"/>
            <w:noWrap/>
          </w:tcPr>
          <w:p w14:paraId="186B078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Obvestilo o sklepu o izbiri</w:t>
            </w:r>
          </w:p>
        </w:tc>
        <w:tc>
          <w:tcPr>
            <w:tcW w:w="990" w:type="dxa"/>
            <w:tcBorders>
              <w:top w:val="single" w:sz="4" w:space="0" w:color="auto"/>
              <w:left w:val="nil"/>
              <w:bottom w:val="single" w:sz="4" w:space="0" w:color="auto"/>
              <w:right w:val="single" w:sz="4" w:space="0" w:color="auto"/>
            </w:tcBorders>
            <w:shd w:val="clear" w:color="auto" w:fill="C6EFCE"/>
            <w:noWrap/>
          </w:tcPr>
          <w:p w14:paraId="5D0C68E2"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402091B3"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720" w:type="dxa"/>
            <w:tcBorders>
              <w:top w:val="single" w:sz="4" w:space="0" w:color="auto"/>
              <w:left w:val="nil"/>
              <w:bottom w:val="single" w:sz="4" w:space="0" w:color="auto"/>
              <w:right w:val="single" w:sz="4" w:space="0" w:color="auto"/>
            </w:tcBorders>
            <w:shd w:val="clear" w:color="auto" w:fill="C6EFCE"/>
            <w:noWrap/>
          </w:tcPr>
          <w:p w14:paraId="3C825393"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6ECCF62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630" w:type="dxa"/>
            <w:tcBorders>
              <w:top w:val="single" w:sz="4" w:space="0" w:color="auto"/>
              <w:left w:val="nil"/>
              <w:bottom w:val="single" w:sz="4" w:space="0" w:color="auto"/>
              <w:right w:val="single" w:sz="4" w:space="0" w:color="auto"/>
            </w:tcBorders>
            <w:shd w:val="clear" w:color="auto" w:fill="C6EFCE"/>
            <w:noWrap/>
          </w:tcPr>
          <w:p w14:paraId="480D435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3510" w:type="dxa"/>
            <w:tcBorders>
              <w:top w:val="single" w:sz="4" w:space="0" w:color="auto"/>
              <w:left w:val="nil"/>
              <w:bottom w:val="single" w:sz="4" w:space="0" w:color="auto"/>
              <w:right w:val="single" w:sz="4" w:space="0" w:color="auto"/>
            </w:tcBorders>
            <w:shd w:val="clear" w:color="auto" w:fill="C6EFCE"/>
            <w:noWrap/>
          </w:tcPr>
          <w:p w14:paraId="3FDE1BFB" w14:textId="1A42FDD1" w:rsidR="003C6015" w:rsidRPr="00DD6A04" w:rsidRDefault="003C6015" w:rsidP="003C6015">
            <w:pPr>
              <w:spacing w:before="0" w:after="0" w:line="256" w:lineRule="auto"/>
              <w:rPr>
                <w:rFonts w:eastAsia="Times New Roman"/>
                <w:noProof/>
                <w:color w:val="006100"/>
                <w:sz w:val="22"/>
              </w:rPr>
            </w:pPr>
            <w:r>
              <w:rPr>
                <w:noProof/>
                <w:color w:val="006100"/>
                <w:sz w:val="22"/>
              </w:rPr>
              <w:t>Izbrani programi bodo osredotočeni na digitalizacijo in digitalno preobrazbo. Podpirali bodo industrijske raziskave in eksperimentalni razvoj. Financiranje bo znašalo do 3 750 000 EUR na program. Skupni znesek financiranja bo najmanj 7 500 000 EUR.</w:t>
            </w:r>
          </w:p>
          <w:p w14:paraId="46E433D1" w14:textId="77777777" w:rsidR="003C6015" w:rsidRPr="00DD6A04" w:rsidRDefault="003C6015" w:rsidP="003C6015">
            <w:pPr>
              <w:spacing w:before="0" w:after="0" w:line="256" w:lineRule="auto"/>
              <w:rPr>
                <w:rFonts w:eastAsia="Times New Roman"/>
                <w:noProof/>
                <w:color w:val="006100"/>
                <w:sz w:val="22"/>
                <w:lang w:val="en-GB" w:eastAsia="en-GB"/>
              </w:rPr>
            </w:pPr>
          </w:p>
          <w:p w14:paraId="3BA4A54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Izbor programov bo podprl konzorcije podjetij in javnih raziskovalnih organizacij, ki bodo izvajali projekte na področju RRI. Podprti programi bodo spodbujali konzorcijske partnerje k vključevanju v globalne verige vrednosti in znanja za internacionalizacijo slovenskega gospodarstva in raziskovalne sfere ter h krepitvi podpornega okolja za inovacijsko razvojne procese. </w:t>
            </w:r>
          </w:p>
          <w:p w14:paraId="36657228" w14:textId="77777777" w:rsidR="003C6015" w:rsidRPr="00DD6A04" w:rsidRDefault="003C6015" w:rsidP="003C6015">
            <w:pPr>
              <w:spacing w:before="0" w:after="0" w:line="256" w:lineRule="auto"/>
              <w:rPr>
                <w:rFonts w:eastAsia="Times New Roman"/>
                <w:noProof/>
                <w:color w:val="006100"/>
                <w:sz w:val="22"/>
                <w:lang w:val="en-GB" w:eastAsia="en-GB"/>
              </w:rPr>
            </w:pPr>
          </w:p>
          <w:p w14:paraId="6CD9287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bodo tehnološko nevtralni v smislu vpliva na okolje na ravni njihove uporabe. Izključene bodo raziskovalno-inovacijske dejavnosti, ki se nanašajo na rjave elemente raziskav in inovacij, kot so premog, nafta, zemeljski plin, ki ga ne pokriva Priloga III k tehničnim smernicam za uporabo načela, da se ne škoduje bistveno, modri in sivi vodik, sežigalnice in odlagališča.</w:t>
            </w:r>
          </w:p>
        </w:tc>
      </w:tr>
      <w:tr w:rsidR="003C6015" w:rsidRPr="00DD6A04" w14:paraId="7186010F"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071FAE4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114</w:t>
            </w:r>
          </w:p>
        </w:tc>
        <w:tc>
          <w:tcPr>
            <w:tcW w:w="1697" w:type="dxa"/>
            <w:tcBorders>
              <w:top w:val="single" w:sz="4" w:space="0" w:color="auto"/>
              <w:left w:val="nil"/>
              <w:bottom w:val="single" w:sz="4" w:space="0" w:color="auto"/>
              <w:right w:val="single" w:sz="4" w:space="0" w:color="auto"/>
            </w:tcBorders>
            <w:shd w:val="clear" w:color="auto" w:fill="C6EFCE"/>
            <w:noWrap/>
          </w:tcPr>
          <w:p w14:paraId="656E594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851" w:type="dxa"/>
            <w:tcBorders>
              <w:top w:val="single" w:sz="4" w:space="0" w:color="auto"/>
              <w:left w:val="nil"/>
              <w:bottom w:val="single" w:sz="4" w:space="0" w:color="auto"/>
              <w:right w:val="single" w:sz="4" w:space="0" w:color="auto"/>
            </w:tcBorders>
            <w:shd w:val="clear" w:color="auto" w:fill="C6EFCE"/>
            <w:noWrap/>
          </w:tcPr>
          <w:p w14:paraId="5564A19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single" w:sz="4" w:space="0" w:color="auto"/>
              <w:left w:val="nil"/>
              <w:bottom w:val="single" w:sz="4" w:space="0" w:color="auto"/>
              <w:right w:val="single" w:sz="4" w:space="0" w:color="auto"/>
            </w:tcBorders>
            <w:shd w:val="clear" w:color="auto" w:fill="C6EFCE"/>
            <w:noWrap/>
          </w:tcPr>
          <w:p w14:paraId="1097BD5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Sklep o izbiri raziskovalnih in inovacijskih projektov na področju krožnega gospodarstva</w:t>
            </w:r>
          </w:p>
        </w:tc>
        <w:tc>
          <w:tcPr>
            <w:tcW w:w="2168" w:type="dxa"/>
            <w:tcBorders>
              <w:top w:val="single" w:sz="4" w:space="0" w:color="auto"/>
              <w:left w:val="nil"/>
              <w:bottom w:val="single" w:sz="4" w:space="0" w:color="auto"/>
              <w:right w:val="single" w:sz="4" w:space="0" w:color="auto"/>
            </w:tcBorders>
            <w:shd w:val="clear" w:color="auto" w:fill="C6EFCE"/>
            <w:noWrap/>
          </w:tcPr>
          <w:p w14:paraId="2846FE1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Obvestilo o sklepu o izbiri</w:t>
            </w:r>
          </w:p>
        </w:tc>
        <w:tc>
          <w:tcPr>
            <w:tcW w:w="990" w:type="dxa"/>
            <w:tcBorders>
              <w:top w:val="single" w:sz="4" w:space="0" w:color="auto"/>
              <w:left w:val="nil"/>
              <w:bottom w:val="single" w:sz="4" w:space="0" w:color="auto"/>
              <w:right w:val="single" w:sz="4" w:space="0" w:color="auto"/>
            </w:tcBorders>
            <w:shd w:val="clear" w:color="auto" w:fill="C6EFCE"/>
            <w:noWrap/>
          </w:tcPr>
          <w:p w14:paraId="468E38CE"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5926141F"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720" w:type="dxa"/>
            <w:tcBorders>
              <w:top w:val="single" w:sz="4" w:space="0" w:color="auto"/>
              <w:left w:val="nil"/>
              <w:bottom w:val="single" w:sz="4" w:space="0" w:color="auto"/>
              <w:right w:val="single" w:sz="4" w:space="0" w:color="auto"/>
            </w:tcBorders>
            <w:shd w:val="clear" w:color="auto" w:fill="C6EFCE"/>
            <w:noWrap/>
          </w:tcPr>
          <w:p w14:paraId="24DEC893"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11C164A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630" w:type="dxa"/>
            <w:tcBorders>
              <w:top w:val="single" w:sz="4" w:space="0" w:color="auto"/>
              <w:left w:val="nil"/>
              <w:bottom w:val="single" w:sz="4" w:space="0" w:color="auto"/>
              <w:right w:val="single" w:sz="4" w:space="0" w:color="auto"/>
            </w:tcBorders>
            <w:shd w:val="clear" w:color="auto" w:fill="C6EFCE"/>
            <w:noWrap/>
          </w:tcPr>
          <w:p w14:paraId="4340204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3510" w:type="dxa"/>
            <w:tcBorders>
              <w:top w:val="single" w:sz="4" w:space="0" w:color="auto"/>
              <w:left w:val="nil"/>
              <w:bottom w:val="single" w:sz="4" w:space="0" w:color="auto"/>
              <w:right w:val="single" w:sz="4" w:space="0" w:color="auto"/>
            </w:tcBorders>
            <w:shd w:val="clear" w:color="auto" w:fill="C6EFCE"/>
            <w:noWrap/>
          </w:tcPr>
          <w:p w14:paraId="0E2439EA" w14:textId="170FEA95" w:rsidR="003C6015" w:rsidRPr="00DD6A04" w:rsidRDefault="003C6015" w:rsidP="003C6015">
            <w:pPr>
              <w:spacing w:before="0" w:after="0" w:line="256" w:lineRule="auto"/>
              <w:rPr>
                <w:rFonts w:eastAsia="Times New Roman"/>
                <w:noProof/>
                <w:color w:val="006100"/>
                <w:sz w:val="22"/>
              </w:rPr>
            </w:pPr>
            <w:r>
              <w:rPr>
                <w:noProof/>
                <w:color w:val="006100"/>
                <w:sz w:val="22"/>
              </w:rPr>
              <w:t>Izbrani projekti bodo podpirali raziskave, prenos tehnologije in sodelovanje med podjetji s poudarkom na krožnem gospodarstvu. Podpora bo znašala do 300 000 EUR na projekt.</w:t>
            </w:r>
          </w:p>
          <w:p w14:paraId="1ECE76DD" w14:textId="77777777" w:rsidR="003C6015" w:rsidRPr="00DD6A04" w:rsidRDefault="003C6015" w:rsidP="003C6015">
            <w:pPr>
              <w:spacing w:before="0" w:after="0" w:line="256" w:lineRule="auto"/>
              <w:rPr>
                <w:rFonts w:eastAsia="Times New Roman"/>
                <w:noProof/>
                <w:color w:val="006100"/>
                <w:sz w:val="22"/>
                <w:lang w:val="en-GB" w:eastAsia="en-GB"/>
              </w:rPr>
            </w:pPr>
          </w:p>
          <w:p w14:paraId="71B2C03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bodo tehnološko nevtralni v smislu vpliva na okolje na ravni njihove uporabe. Izključene bodo raziskovalno-inovacijske dejavnosti, ki se nanašajo na rjave elemente raziskav in inovacij, kot so premog, nafta, zemeljski plin, ki ga ne pokriva Priloga III k tehničnim smernicam za uporabo načela, da se ne škoduje bistveno, modri in sivi vodik, sežigalnice in odlagališča.</w:t>
            </w:r>
          </w:p>
        </w:tc>
      </w:tr>
      <w:tr w:rsidR="003C6015" w:rsidRPr="00DD6A04" w14:paraId="7C4E2806"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3CE3841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115</w:t>
            </w:r>
          </w:p>
        </w:tc>
        <w:tc>
          <w:tcPr>
            <w:tcW w:w="1697" w:type="dxa"/>
            <w:tcBorders>
              <w:top w:val="single" w:sz="4" w:space="0" w:color="auto"/>
              <w:left w:val="nil"/>
              <w:bottom w:val="single" w:sz="4" w:space="0" w:color="auto"/>
              <w:right w:val="single" w:sz="4" w:space="0" w:color="auto"/>
            </w:tcBorders>
            <w:shd w:val="clear" w:color="auto" w:fill="C6EFCE"/>
            <w:noWrap/>
          </w:tcPr>
          <w:p w14:paraId="7F4EAED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851" w:type="dxa"/>
            <w:tcBorders>
              <w:top w:val="single" w:sz="4" w:space="0" w:color="auto"/>
              <w:left w:val="nil"/>
              <w:bottom w:val="single" w:sz="4" w:space="0" w:color="auto"/>
              <w:right w:val="single" w:sz="4" w:space="0" w:color="auto"/>
            </w:tcBorders>
            <w:shd w:val="clear" w:color="auto" w:fill="C6EFCE"/>
            <w:noWrap/>
          </w:tcPr>
          <w:p w14:paraId="08960AB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7F266A6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Dokončani projekti za razvoj nizkoogljične družbe, gospodarstva, odpornosti in prilagajanja podnebnim spremembam.</w:t>
            </w:r>
          </w:p>
        </w:tc>
        <w:tc>
          <w:tcPr>
            <w:tcW w:w="2168" w:type="dxa"/>
            <w:tcBorders>
              <w:top w:val="single" w:sz="4" w:space="0" w:color="auto"/>
              <w:left w:val="nil"/>
              <w:bottom w:val="single" w:sz="4" w:space="0" w:color="auto"/>
              <w:right w:val="single" w:sz="4" w:space="0" w:color="auto"/>
            </w:tcBorders>
            <w:shd w:val="clear" w:color="auto" w:fill="C6EFCE"/>
            <w:noWrap/>
          </w:tcPr>
          <w:p w14:paraId="7FCC82F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63C8919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0" w:type="dxa"/>
            <w:tcBorders>
              <w:top w:val="single" w:sz="4" w:space="0" w:color="auto"/>
              <w:left w:val="nil"/>
              <w:bottom w:val="single" w:sz="4" w:space="0" w:color="auto"/>
              <w:right w:val="single" w:sz="4" w:space="0" w:color="auto"/>
            </w:tcBorders>
            <w:shd w:val="clear" w:color="auto" w:fill="C6EFCE"/>
            <w:noWrap/>
          </w:tcPr>
          <w:p w14:paraId="20867506"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720" w:type="dxa"/>
            <w:tcBorders>
              <w:top w:val="single" w:sz="4" w:space="0" w:color="auto"/>
              <w:left w:val="nil"/>
              <w:bottom w:val="single" w:sz="4" w:space="0" w:color="auto"/>
              <w:right w:val="single" w:sz="4" w:space="0" w:color="auto"/>
            </w:tcBorders>
            <w:shd w:val="clear" w:color="auto" w:fill="C6EFCE"/>
            <w:noWrap/>
          </w:tcPr>
          <w:p w14:paraId="614423DF"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2</w:t>
            </w:r>
          </w:p>
        </w:tc>
        <w:tc>
          <w:tcPr>
            <w:tcW w:w="990" w:type="dxa"/>
            <w:tcBorders>
              <w:top w:val="single" w:sz="4" w:space="0" w:color="auto"/>
              <w:left w:val="nil"/>
              <w:bottom w:val="single" w:sz="4" w:space="0" w:color="auto"/>
              <w:right w:val="single" w:sz="4" w:space="0" w:color="auto"/>
            </w:tcBorders>
            <w:shd w:val="clear" w:color="auto" w:fill="C6EFCE"/>
            <w:noWrap/>
          </w:tcPr>
          <w:p w14:paraId="0E2100C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630" w:type="dxa"/>
            <w:tcBorders>
              <w:top w:val="single" w:sz="4" w:space="0" w:color="auto"/>
              <w:left w:val="nil"/>
              <w:bottom w:val="single" w:sz="4" w:space="0" w:color="auto"/>
              <w:right w:val="single" w:sz="4" w:space="0" w:color="auto"/>
            </w:tcBorders>
            <w:shd w:val="clear" w:color="auto" w:fill="C6EFCE"/>
            <w:noWrap/>
          </w:tcPr>
          <w:p w14:paraId="23286355"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510" w:type="dxa"/>
            <w:tcBorders>
              <w:top w:val="single" w:sz="4" w:space="0" w:color="auto"/>
              <w:left w:val="nil"/>
              <w:bottom w:val="single" w:sz="4" w:space="0" w:color="auto"/>
              <w:right w:val="single" w:sz="4" w:space="0" w:color="auto"/>
            </w:tcBorders>
            <w:shd w:val="clear" w:color="auto" w:fill="C6EFCE"/>
            <w:noWrap/>
          </w:tcPr>
          <w:p w14:paraId="5F7789D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Uspešno dokončani projekti za razvoj nizkoogljične družbe, gospodarstva, odpornosti in prilagajanja podnebnim spremembam v skladu z merili iz mejnika 112.</w:t>
            </w:r>
          </w:p>
          <w:p w14:paraId="07EF243F"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1E296681"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5D6275A6"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116</w:t>
            </w:r>
          </w:p>
        </w:tc>
        <w:tc>
          <w:tcPr>
            <w:tcW w:w="1697" w:type="dxa"/>
            <w:tcBorders>
              <w:top w:val="single" w:sz="4" w:space="0" w:color="auto"/>
              <w:left w:val="nil"/>
              <w:bottom w:val="single" w:sz="4" w:space="0" w:color="auto"/>
              <w:right w:val="single" w:sz="4" w:space="0" w:color="auto"/>
            </w:tcBorders>
            <w:shd w:val="clear" w:color="auto" w:fill="C6EFCE"/>
            <w:noWrap/>
          </w:tcPr>
          <w:p w14:paraId="25484AB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851" w:type="dxa"/>
            <w:tcBorders>
              <w:top w:val="single" w:sz="4" w:space="0" w:color="auto"/>
              <w:left w:val="nil"/>
              <w:bottom w:val="single" w:sz="4" w:space="0" w:color="auto"/>
              <w:right w:val="single" w:sz="4" w:space="0" w:color="auto"/>
            </w:tcBorders>
            <w:shd w:val="clear" w:color="auto" w:fill="C6EFCE"/>
            <w:noWrap/>
          </w:tcPr>
          <w:p w14:paraId="6167B13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6206572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Dokončani projekti na področju digitalizacije in digitalne preobrazbe</w:t>
            </w:r>
          </w:p>
        </w:tc>
        <w:tc>
          <w:tcPr>
            <w:tcW w:w="2168" w:type="dxa"/>
            <w:tcBorders>
              <w:top w:val="single" w:sz="4" w:space="0" w:color="auto"/>
              <w:left w:val="nil"/>
              <w:bottom w:val="single" w:sz="4" w:space="0" w:color="auto"/>
              <w:right w:val="single" w:sz="4" w:space="0" w:color="auto"/>
            </w:tcBorders>
            <w:shd w:val="clear" w:color="auto" w:fill="C6EFCE"/>
            <w:noWrap/>
          </w:tcPr>
          <w:p w14:paraId="284B758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71E777A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0" w:type="dxa"/>
            <w:tcBorders>
              <w:top w:val="single" w:sz="4" w:space="0" w:color="auto"/>
              <w:left w:val="nil"/>
              <w:bottom w:val="single" w:sz="4" w:space="0" w:color="auto"/>
              <w:right w:val="single" w:sz="4" w:space="0" w:color="auto"/>
            </w:tcBorders>
            <w:shd w:val="clear" w:color="auto" w:fill="C6EFCE"/>
            <w:noWrap/>
          </w:tcPr>
          <w:p w14:paraId="57E63ECC"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720" w:type="dxa"/>
            <w:tcBorders>
              <w:top w:val="single" w:sz="4" w:space="0" w:color="auto"/>
              <w:left w:val="nil"/>
              <w:bottom w:val="single" w:sz="4" w:space="0" w:color="auto"/>
              <w:right w:val="single" w:sz="4" w:space="0" w:color="auto"/>
            </w:tcBorders>
            <w:shd w:val="clear" w:color="auto" w:fill="C6EFCE"/>
            <w:noWrap/>
          </w:tcPr>
          <w:p w14:paraId="3703FF23"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2</w:t>
            </w:r>
          </w:p>
        </w:tc>
        <w:tc>
          <w:tcPr>
            <w:tcW w:w="990" w:type="dxa"/>
            <w:tcBorders>
              <w:top w:val="single" w:sz="4" w:space="0" w:color="auto"/>
              <w:left w:val="nil"/>
              <w:bottom w:val="single" w:sz="4" w:space="0" w:color="auto"/>
              <w:right w:val="single" w:sz="4" w:space="0" w:color="auto"/>
            </w:tcBorders>
            <w:shd w:val="clear" w:color="auto" w:fill="C6EFCE"/>
            <w:noWrap/>
          </w:tcPr>
          <w:p w14:paraId="2F5FB230"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630" w:type="dxa"/>
            <w:tcBorders>
              <w:top w:val="single" w:sz="4" w:space="0" w:color="auto"/>
              <w:left w:val="nil"/>
              <w:bottom w:val="single" w:sz="4" w:space="0" w:color="auto"/>
              <w:right w:val="single" w:sz="4" w:space="0" w:color="auto"/>
            </w:tcBorders>
            <w:shd w:val="clear" w:color="auto" w:fill="C6EFCE"/>
            <w:noWrap/>
          </w:tcPr>
          <w:p w14:paraId="0543B86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510" w:type="dxa"/>
            <w:tcBorders>
              <w:top w:val="single" w:sz="4" w:space="0" w:color="auto"/>
              <w:left w:val="nil"/>
              <w:bottom w:val="single" w:sz="4" w:space="0" w:color="auto"/>
              <w:right w:val="single" w:sz="4" w:space="0" w:color="auto"/>
            </w:tcBorders>
            <w:shd w:val="clear" w:color="auto" w:fill="C6EFCE"/>
            <w:noWrap/>
          </w:tcPr>
          <w:p w14:paraId="1206F10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Uspešno dokončani projekti na področju digitalizacije in digitalne preobrazbe v skladu z merili iz mejnika 113.</w:t>
            </w:r>
          </w:p>
          <w:p w14:paraId="2F59AC07"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7F52AA50"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354E342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117</w:t>
            </w:r>
          </w:p>
        </w:tc>
        <w:tc>
          <w:tcPr>
            <w:tcW w:w="1697" w:type="dxa"/>
            <w:tcBorders>
              <w:top w:val="single" w:sz="4" w:space="0" w:color="auto"/>
              <w:left w:val="nil"/>
              <w:bottom w:val="single" w:sz="4" w:space="0" w:color="auto"/>
              <w:right w:val="single" w:sz="4" w:space="0" w:color="auto"/>
            </w:tcBorders>
            <w:shd w:val="clear" w:color="auto" w:fill="C6EFCE"/>
            <w:noWrap/>
          </w:tcPr>
          <w:p w14:paraId="1433E5C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851" w:type="dxa"/>
            <w:tcBorders>
              <w:top w:val="single" w:sz="4" w:space="0" w:color="auto"/>
              <w:left w:val="nil"/>
              <w:bottom w:val="single" w:sz="4" w:space="0" w:color="auto"/>
              <w:right w:val="single" w:sz="4" w:space="0" w:color="auto"/>
            </w:tcBorders>
            <w:shd w:val="clear" w:color="auto" w:fill="C6EFCE"/>
            <w:noWrap/>
          </w:tcPr>
          <w:p w14:paraId="2603F2A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0081540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Dokončani raziskovalni in inovacijski projekti na področju krožnega gospodarstva</w:t>
            </w:r>
          </w:p>
        </w:tc>
        <w:tc>
          <w:tcPr>
            <w:tcW w:w="2168" w:type="dxa"/>
            <w:tcBorders>
              <w:top w:val="single" w:sz="4" w:space="0" w:color="auto"/>
              <w:left w:val="nil"/>
              <w:bottom w:val="single" w:sz="4" w:space="0" w:color="auto"/>
              <w:right w:val="single" w:sz="4" w:space="0" w:color="auto"/>
            </w:tcBorders>
            <w:shd w:val="clear" w:color="auto" w:fill="C6EFCE"/>
            <w:noWrap/>
          </w:tcPr>
          <w:p w14:paraId="7C80619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642C8C4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0" w:type="dxa"/>
            <w:tcBorders>
              <w:top w:val="single" w:sz="4" w:space="0" w:color="auto"/>
              <w:left w:val="nil"/>
              <w:bottom w:val="single" w:sz="4" w:space="0" w:color="auto"/>
              <w:right w:val="single" w:sz="4" w:space="0" w:color="auto"/>
            </w:tcBorders>
            <w:shd w:val="clear" w:color="auto" w:fill="C6EFCE"/>
            <w:noWrap/>
          </w:tcPr>
          <w:p w14:paraId="1C0FAFC2"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720" w:type="dxa"/>
            <w:tcBorders>
              <w:top w:val="single" w:sz="4" w:space="0" w:color="auto"/>
              <w:left w:val="nil"/>
              <w:bottom w:val="single" w:sz="4" w:space="0" w:color="auto"/>
              <w:right w:val="single" w:sz="4" w:space="0" w:color="auto"/>
            </w:tcBorders>
            <w:shd w:val="clear" w:color="auto" w:fill="C6EFCE"/>
            <w:noWrap/>
          </w:tcPr>
          <w:p w14:paraId="20D65F06"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50</w:t>
            </w:r>
          </w:p>
        </w:tc>
        <w:tc>
          <w:tcPr>
            <w:tcW w:w="990" w:type="dxa"/>
            <w:tcBorders>
              <w:top w:val="single" w:sz="4" w:space="0" w:color="auto"/>
              <w:left w:val="nil"/>
              <w:bottom w:val="single" w:sz="4" w:space="0" w:color="auto"/>
              <w:right w:val="single" w:sz="4" w:space="0" w:color="auto"/>
            </w:tcBorders>
            <w:shd w:val="clear" w:color="auto" w:fill="C6EFCE"/>
            <w:noWrap/>
          </w:tcPr>
          <w:p w14:paraId="5B082FD6"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630" w:type="dxa"/>
            <w:tcBorders>
              <w:top w:val="single" w:sz="4" w:space="0" w:color="auto"/>
              <w:left w:val="nil"/>
              <w:bottom w:val="single" w:sz="4" w:space="0" w:color="auto"/>
              <w:right w:val="single" w:sz="4" w:space="0" w:color="auto"/>
            </w:tcBorders>
            <w:shd w:val="clear" w:color="auto" w:fill="C6EFCE"/>
            <w:noWrap/>
          </w:tcPr>
          <w:p w14:paraId="64200998"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2025</w:t>
            </w:r>
          </w:p>
        </w:tc>
        <w:tc>
          <w:tcPr>
            <w:tcW w:w="3510" w:type="dxa"/>
            <w:tcBorders>
              <w:top w:val="single" w:sz="4" w:space="0" w:color="auto"/>
              <w:left w:val="nil"/>
              <w:bottom w:val="single" w:sz="4" w:space="0" w:color="auto"/>
              <w:right w:val="single" w:sz="4" w:space="0" w:color="auto"/>
            </w:tcBorders>
            <w:shd w:val="clear" w:color="auto" w:fill="C6EFCE"/>
            <w:noWrap/>
          </w:tcPr>
          <w:p w14:paraId="3C1CF8C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Uspešno dokončani raziskovalni in inovacijski projekti na področju krožnega gospodarstva v skladu z merili iz mejnika 114.</w:t>
            </w:r>
          </w:p>
          <w:p w14:paraId="3E813ECA"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04FBECDA"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215CC496"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118</w:t>
            </w:r>
          </w:p>
        </w:tc>
        <w:tc>
          <w:tcPr>
            <w:tcW w:w="1697" w:type="dxa"/>
            <w:tcBorders>
              <w:top w:val="single" w:sz="4" w:space="0" w:color="auto"/>
              <w:left w:val="nil"/>
              <w:bottom w:val="single" w:sz="4" w:space="0" w:color="auto"/>
              <w:right w:val="single" w:sz="4" w:space="0" w:color="auto"/>
            </w:tcBorders>
            <w:shd w:val="clear" w:color="auto" w:fill="C6EFCE"/>
            <w:noWrap/>
          </w:tcPr>
          <w:p w14:paraId="7EEE7C5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851" w:type="dxa"/>
            <w:tcBorders>
              <w:top w:val="single" w:sz="4" w:space="0" w:color="auto"/>
              <w:left w:val="nil"/>
              <w:bottom w:val="single" w:sz="4" w:space="0" w:color="auto"/>
              <w:right w:val="single" w:sz="4" w:space="0" w:color="auto"/>
            </w:tcBorders>
            <w:shd w:val="clear" w:color="auto" w:fill="C6EFCE"/>
            <w:noWrap/>
          </w:tcPr>
          <w:p w14:paraId="1E250B3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0E2D2A4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Dokončani raziskovalni in inovacijski projekti na področju krožnega gospodarstva</w:t>
            </w:r>
          </w:p>
        </w:tc>
        <w:tc>
          <w:tcPr>
            <w:tcW w:w="2168" w:type="dxa"/>
            <w:tcBorders>
              <w:top w:val="single" w:sz="4" w:space="0" w:color="auto"/>
              <w:left w:val="nil"/>
              <w:bottom w:val="single" w:sz="4" w:space="0" w:color="auto"/>
              <w:right w:val="single" w:sz="4" w:space="0" w:color="auto"/>
            </w:tcBorders>
            <w:shd w:val="clear" w:color="auto" w:fill="C6EFCE"/>
            <w:noWrap/>
          </w:tcPr>
          <w:p w14:paraId="75BAEC8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1F1207D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0" w:type="dxa"/>
            <w:tcBorders>
              <w:top w:val="single" w:sz="4" w:space="0" w:color="auto"/>
              <w:left w:val="nil"/>
              <w:bottom w:val="single" w:sz="4" w:space="0" w:color="auto"/>
              <w:right w:val="single" w:sz="4" w:space="0" w:color="auto"/>
            </w:tcBorders>
            <w:shd w:val="clear" w:color="auto" w:fill="C6EFCE"/>
            <w:noWrap/>
          </w:tcPr>
          <w:p w14:paraId="11C36726"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50</w:t>
            </w:r>
          </w:p>
        </w:tc>
        <w:tc>
          <w:tcPr>
            <w:tcW w:w="720" w:type="dxa"/>
            <w:tcBorders>
              <w:top w:val="single" w:sz="4" w:space="0" w:color="auto"/>
              <w:left w:val="nil"/>
              <w:bottom w:val="single" w:sz="4" w:space="0" w:color="auto"/>
              <w:right w:val="single" w:sz="4" w:space="0" w:color="auto"/>
            </w:tcBorders>
            <w:shd w:val="clear" w:color="auto" w:fill="C6EFCE"/>
            <w:noWrap/>
          </w:tcPr>
          <w:p w14:paraId="1058DE72" w14:textId="15643FBB" w:rsidR="003C6015" w:rsidRPr="00DD6A04" w:rsidRDefault="006831BE" w:rsidP="003C6015">
            <w:pPr>
              <w:spacing w:before="0" w:after="0" w:line="256" w:lineRule="auto"/>
              <w:jc w:val="right"/>
              <w:rPr>
                <w:rFonts w:eastAsia="Times New Roman"/>
                <w:noProof/>
                <w:color w:val="006100"/>
                <w:sz w:val="22"/>
              </w:rPr>
            </w:pPr>
            <w:r>
              <w:rPr>
                <w:noProof/>
                <w:color w:val="006100"/>
                <w:sz w:val="22"/>
              </w:rPr>
              <w:t>122</w:t>
            </w:r>
          </w:p>
        </w:tc>
        <w:tc>
          <w:tcPr>
            <w:tcW w:w="990" w:type="dxa"/>
            <w:tcBorders>
              <w:top w:val="single" w:sz="4" w:space="0" w:color="auto"/>
              <w:left w:val="nil"/>
              <w:bottom w:val="single" w:sz="4" w:space="0" w:color="auto"/>
              <w:right w:val="single" w:sz="4" w:space="0" w:color="auto"/>
            </w:tcBorders>
            <w:shd w:val="clear" w:color="auto" w:fill="C6EFCE"/>
            <w:noWrap/>
          </w:tcPr>
          <w:p w14:paraId="3C5A736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630" w:type="dxa"/>
            <w:tcBorders>
              <w:top w:val="single" w:sz="4" w:space="0" w:color="auto"/>
              <w:left w:val="nil"/>
              <w:bottom w:val="single" w:sz="4" w:space="0" w:color="auto"/>
              <w:right w:val="single" w:sz="4" w:space="0" w:color="auto"/>
            </w:tcBorders>
            <w:shd w:val="clear" w:color="auto" w:fill="C6EFCE"/>
            <w:noWrap/>
          </w:tcPr>
          <w:p w14:paraId="75096AB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510" w:type="dxa"/>
            <w:tcBorders>
              <w:top w:val="single" w:sz="4" w:space="0" w:color="auto"/>
              <w:left w:val="nil"/>
              <w:bottom w:val="single" w:sz="4" w:space="0" w:color="auto"/>
              <w:right w:val="single" w:sz="4" w:space="0" w:color="auto"/>
            </w:tcBorders>
            <w:shd w:val="clear" w:color="auto" w:fill="C6EFCE"/>
            <w:noWrap/>
          </w:tcPr>
          <w:p w14:paraId="0550C35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uspešno dokončani v skladu z merili iz mejnika 114.</w:t>
            </w:r>
          </w:p>
          <w:p w14:paraId="0662524C" w14:textId="666E6145" w:rsidR="003C6015" w:rsidRPr="00DD6A04" w:rsidRDefault="003C6015" w:rsidP="003C6015">
            <w:pPr>
              <w:spacing w:before="0" w:after="0" w:line="256" w:lineRule="auto"/>
              <w:rPr>
                <w:rFonts w:eastAsia="Times New Roman"/>
                <w:noProof/>
                <w:color w:val="006100"/>
                <w:sz w:val="22"/>
              </w:rPr>
            </w:pPr>
            <w:r>
              <w:rPr>
                <w:noProof/>
                <w:color w:val="006100"/>
                <w:sz w:val="22"/>
              </w:rPr>
              <w:t>Skupni znesek financiranja bo najmanj 36 641 145 EUR.</w:t>
            </w:r>
          </w:p>
        </w:tc>
      </w:tr>
      <w:tr w:rsidR="003C6015" w:rsidRPr="00DD6A04" w14:paraId="12F6CABF"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4FBA265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119</w:t>
            </w:r>
          </w:p>
        </w:tc>
        <w:tc>
          <w:tcPr>
            <w:tcW w:w="1697" w:type="dxa"/>
            <w:tcBorders>
              <w:top w:val="single" w:sz="4" w:space="0" w:color="auto"/>
              <w:left w:val="nil"/>
              <w:bottom w:val="single" w:sz="4" w:space="0" w:color="auto"/>
              <w:right w:val="single" w:sz="4" w:space="0" w:color="auto"/>
            </w:tcBorders>
            <w:shd w:val="clear" w:color="auto" w:fill="C6EFCE"/>
            <w:noWrap/>
          </w:tcPr>
          <w:p w14:paraId="335E75F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C: Sofinanciranje projektov za krepitev mednarodne mobilnosti slovenskih raziskovalcev in raziskovalnih organizacij ter za spodbujanje mednarodne vpetosti slovenskih prijaviteljev </w:t>
            </w:r>
          </w:p>
        </w:tc>
        <w:tc>
          <w:tcPr>
            <w:tcW w:w="851" w:type="dxa"/>
            <w:tcBorders>
              <w:top w:val="single" w:sz="4" w:space="0" w:color="auto"/>
              <w:left w:val="nil"/>
              <w:bottom w:val="single" w:sz="4" w:space="0" w:color="auto"/>
              <w:right w:val="single" w:sz="4" w:space="0" w:color="auto"/>
            </w:tcBorders>
            <w:shd w:val="clear" w:color="auto" w:fill="C6EFCE"/>
            <w:noWrap/>
          </w:tcPr>
          <w:p w14:paraId="49E100D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57EB0097" w14:textId="673111C6"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 Število raziskovalk in raziskovalcev, vključenih v projekt mobilnosti in/ali reintegracije slovenskih raziskovalcev </w:t>
            </w:r>
          </w:p>
        </w:tc>
        <w:tc>
          <w:tcPr>
            <w:tcW w:w="2168" w:type="dxa"/>
            <w:tcBorders>
              <w:top w:val="single" w:sz="4" w:space="0" w:color="auto"/>
              <w:left w:val="nil"/>
              <w:bottom w:val="single" w:sz="4" w:space="0" w:color="auto"/>
              <w:right w:val="single" w:sz="4" w:space="0" w:color="auto"/>
            </w:tcBorders>
            <w:shd w:val="clear" w:color="auto" w:fill="C6EFCE"/>
            <w:noWrap/>
          </w:tcPr>
          <w:p w14:paraId="6D8286AE" w14:textId="5C37B305" w:rsidR="003C6015" w:rsidRPr="00DD6A04" w:rsidRDefault="003C6015" w:rsidP="00726BF1">
            <w:pPr>
              <w:pStyle w:val="pf0"/>
              <w:rPr>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4375BBA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0" w:type="dxa"/>
            <w:tcBorders>
              <w:top w:val="single" w:sz="4" w:space="0" w:color="auto"/>
              <w:left w:val="nil"/>
              <w:bottom w:val="single" w:sz="4" w:space="0" w:color="auto"/>
              <w:right w:val="single" w:sz="4" w:space="0" w:color="auto"/>
            </w:tcBorders>
            <w:shd w:val="clear" w:color="auto" w:fill="C6EFCE"/>
            <w:noWrap/>
          </w:tcPr>
          <w:p w14:paraId="16AC7B4A"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720" w:type="dxa"/>
            <w:tcBorders>
              <w:top w:val="single" w:sz="4" w:space="0" w:color="auto"/>
              <w:left w:val="nil"/>
              <w:bottom w:val="single" w:sz="4" w:space="0" w:color="auto"/>
              <w:right w:val="single" w:sz="4" w:space="0" w:color="auto"/>
            </w:tcBorders>
            <w:shd w:val="clear" w:color="auto" w:fill="C6EFCE"/>
            <w:noWrap/>
          </w:tcPr>
          <w:p w14:paraId="72029142" w14:textId="6083D383" w:rsidR="003C6015" w:rsidRPr="00DD6A04" w:rsidRDefault="008D5AD0" w:rsidP="003C6015">
            <w:pPr>
              <w:spacing w:before="0" w:after="0" w:line="256" w:lineRule="auto"/>
              <w:jc w:val="right"/>
              <w:rPr>
                <w:rFonts w:eastAsia="Times New Roman"/>
                <w:noProof/>
                <w:color w:val="006100"/>
                <w:sz w:val="22"/>
              </w:rPr>
            </w:pPr>
            <w:r>
              <w:rPr>
                <w:noProof/>
                <w:color w:val="006100"/>
                <w:sz w:val="22"/>
              </w:rPr>
              <w:t>58</w:t>
            </w:r>
          </w:p>
        </w:tc>
        <w:tc>
          <w:tcPr>
            <w:tcW w:w="990" w:type="dxa"/>
            <w:tcBorders>
              <w:top w:val="single" w:sz="4" w:space="0" w:color="auto"/>
              <w:left w:val="nil"/>
              <w:bottom w:val="single" w:sz="4" w:space="0" w:color="auto"/>
              <w:right w:val="single" w:sz="4" w:space="0" w:color="auto"/>
            </w:tcBorders>
            <w:shd w:val="clear" w:color="auto" w:fill="C6EFCE"/>
            <w:noWrap/>
          </w:tcPr>
          <w:p w14:paraId="678B86D6"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630" w:type="dxa"/>
            <w:tcBorders>
              <w:top w:val="single" w:sz="4" w:space="0" w:color="auto"/>
              <w:left w:val="nil"/>
              <w:bottom w:val="single" w:sz="4" w:space="0" w:color="auto"/>
              <w:right w:val="single" w:sz="4" w:space="0" w:color="auto"/>
            </w:tcBorders>
            <w:shd w:val="clear" w:color="auto" w:fill="C6EFCE"/>
            <w:noWrap/>
          </w:tcPr>
          <w:p w14:paraId="6EC0B54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510" w:type="dxa"/>
            <w:tcBorders>
              <w:top w:val="single" w:sz="4" w:space="0" w:color="auto"/>
              <w:left w:val="nil"/>
              <w:bottom w:val="single" w:sz="4" w:space="0" w:color="auto"/>
              <w:right w:val="single" w:sz="4" w:space="0" w:color="auto"/>
            </w:tcBorders>
            <w:shd w:val="clear" w:color="auto" w:fill="C6EFCE"/>
            <w:noWrap/>
          </w:tcPr>
          <w:p w14:paraId="71F84AF3" w14:textId="1B0AFB65" w:rsidR="003C6015" w:rsidRPr="00DD6A04" w:rsidRDefault="003C6015" w:rsidP="003C6015">
            <w:pPr>
              <w:spacing w:before="0" w:after="0" w:line="256" w:lineRule="auto"/>
              <w:rPr>
                <w:rFonts w:eastAsia="Times New Roman"/>
                <w:noProof/>
                <w:color w:val="006100"/>
                <w:sz w:val="22"/>
              </w:rPr>
            </w:pPr>
            <w:r>
              <w:rPr>
                <w:noProof/>
                <w:color w:val="006100"/>
                <w:sz w:val="22"/>
              </w:rPr>
              <w:t>Projekti bodo z nepovratnimi sredstvi največ tri leta podpirali stroške mobilnosti raziskovalcev, ki so pridobili pozitivno ali odlično oceno, vendar niso bili izbrani za financiranje v okviru razpisov programa Obzorje Evropa (okvirno 42 raziskovalcev).</w:t>
            </w:r>
            <w:r w:rsidR="00037751">
              <w:rPr>
                <w:noProof/>
                <w:color w:val="006100"/>
                <w:sz w:val="22"/>
              </w:rPr>
              <w:t xml:space="preserve"> </w:t>
            </w:r>
          </w:p>
          <w:p w14:paraId="5D602F68" w14:textId="50651CC5"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Dodatni projekti bodo podpirali reintegracijo slovenskih raziskovalcev, ki bodo uspešno zaključili projekte v okviru programa Obzorje Evropa, in sicer z zagotavljanjem podpore največ dve leti (okvirno 16 raziskovalcev). </w:t>
            </w:r>
          </w:p>
          <w:p w14:paraId="4E078E9C"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46789D64"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20CCAD3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120</w:t>
            </w:r>
          </w:p>
        </w:tc>
        <w:tc>
          <w:tcPr>
            <w:tcW w:w="1697" w:type="dxa"/>
            <w:tcBorders>
              <w:top w:val="single" w:sz="4" w:space="0" w:color="auto"/>
              <w:left w:val="nil"/>
              <w:bottom w:val="single" w:sz="4" w:space="0" w:color="auto"/>
              <w:right w:val="single" w:sz="4" w:space="0" w:color="auto"/>
            </w:tcBorders>
            <w:shd w:val="clear" w:color="auto" w:fill="C6EFCE"/>
            <w:noWrap/>
          </w:tcPr>
          <w:p w14:paraId="671E212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 Sofinanciranje investicij v RRI demonstracijske in pilotne projekte</w:t>
            </w:r>
          </w:p>
        </w:tc>
        <w:tc>
          <w:tcPr>
            <w:tcW w:w="851" w:type="dxa"/>
            <w:tcBorders>
              <w:top w:val="single" w:sz="4" w:space="0" w:color="auto"/>
              <w:left w:val="nil"/>
              <w:bottom w:val="single" w:sz="4" w:space="0" w:color="auto"/>
              <w:right w:val="single" w:sz="4" w:space="0" w:color="auto"/>
            </w:tcBorders>
            <w:shd w:val="clear" w:color="auto" w:fill="C6EFCE"/>
            <w:noWrap/>
          </w:tcPr>
          <w:p w14:paraId="09EA868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single" w:sz="4" w:space="0" w:color="auto"/>
              <w:left w:val="nil"/>
              <w:bottom w:val="single" w:sz="4" w:space="0" w:color="auto"/>
              <w:right w:val="single" w:sz="4" w:space="0" w:color="auto"/>
            </w:tcBorders>
            <w:shd w:val="clear" w:color="auto" w:fill="C6EFCE"/>
            <w:noWrap/>
          </w:tcPr>
          <w:p w14:paraId="0538773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Opravljen izbor pilotnih projektov RRI na področju krožnega gospodarstva </w:t>
            </w:r>
          </w:p>
        </w:tc>
        <w:tc>
          <w:tcPr>
            <w:tcW w:w="2168" w:type="dxa"/>
            <w:tcBorders>
              <w:top w:val="single" w:sz="4" w:space="0" w:color="auto"/>
              <w:left w:val="nil"/>
              <w:bottom w:val="single" w:sz="4" w:space="0" w:color="auto"/>
              <w:right w:val="single" w:sz="4" w:space="0" w:color="auto"/>
            </w:tcBorders>
            <w:shd w:val="clear" w:color="auto" w:fill="C6EFCE"/>
            <w:noWrap/>
          </w:tcPr>
          <w:p w14:paraId="6243127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Obvestilo o sklepih</w:t>
            </w:r>
          </w:p>
        </w:tc>
        <w:tc>
          <w:tcPr>
            <w:tcW w:w="990" w:type="dxa"/>
            <w:tcBorders>
              <w:top w:val="single" w:sz="4" w:space="0" w:color="auto"/>
              <w:left w:val="nil"/>
              <w:bottom w:val="single" w:sz="4" w:space="0" w:color="auto"/>
              <w:right w:val="single" w:sz="4" w:space="0" w:color="auto"/>
            </w:tcBorders>
            <w:shd w:val="clear" w:color="auto" w:fill="C6EFCE"/>
            <w:noWrap/>
          </w:tcPr>
          <w:p w14:paraId="42290925"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3B50B213"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720" w:type="dxa"/>
            <w:tcBorders>
              <w:top w:val="single" w:sz="4" w:space="0" w:color="auto"/>
              <w:left w:val="nil"/>
              <w:bottom w:val="single" w:sz="4" w:space="0" w:color="auto"/>
              <w:right w:val="single" w:sz="4" w:space="0" w:color="auto"/>
            </w:tcBorders>
            <w:shd w:val="clear" w:color="auto" w:fill="C6EFCE"/>
            <w:noWrap/>
          </w:tcPr>
          <w:p w14:paraId="21CC5061" w14:textId="77777777" w:rsidR="003C6015" w:rsidRPr="00DD6A04" w:rsidRDefault="003C6015" w:rsidP="003C6015">
            <w:pPr>
              <w:spacing w:before="0" w:after="0" w:line="256" w:lineRule="auto"/>
              <w:jc w:val="right"/>
              <w:rPr>
                <w:rFonts w:eastAsia="Times New Roman"/>
                <w:noProof/>
                <w:color w:val="006100"/>
                <w:sz w:val="22"/>
                <w:lang w:val="en-GB" w:eastAsia="en-GB"/>
              </w:rPr>
            </w:pPr>
          </w:p>
        </w:tc>
        <w:tc>
          <w:tcPr>
            <w:tcW w:w="990" w:type="dxa"/>
            <w:tcBorders>
              <w:top w:val="single" w:sz="4" w:space="0" w:color="auto"/>
              <w:left w:val="nil"/>
              <w:bottom w:val="single" w:sz="4" w:space="0" w:color="auto"/>
              <w:right w:val="single" w:sz="4" w:space="0" w:color="auto"/>
            </w:tcBorders>
            <w:shd w:val="clear" w:color="auto" w:fill="C6EFCE"/>
            <w:noWrap/>
          </w:tcPr>
          <w:p w14:paraId="36346C0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630" w:type="dxa"/>
            <w:tcBorders>
              <w:top w:val="single" w:sz="4" w:space="0" w:color="auto"/>
              <w:left w:val="nil"/>
              <w:bottom w:val="single" w:sz="4" w:space="0" w:color="auto"/>
              <w:right w:val="single" w:sz="4" w:space="0" w:color="auto"/>
            </w:tcBorders>
            <w:shd w:val="clear" w:color="auto" w:fill="C6EFCE"/>
            <w:noWrap/>
          </w:tcPr>
          <w:p w14:paraId="1421641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3510" w:type="dxa"/>
            <w:tcBorders>
              <w:top w:val="single" w:sz="4" w:space="0" w:color="auto"/>
              <w:left w:val="nil"/>
              <w:bottom w:val="single" w:sz="4" w:space="0" w:color="auto"/>
              <w:right w:val="single" w:sz="4" w:space="0" w:color="auto"/>
            </w:tcBorders>
            <w:shd w:val="clear" w:color="auto" w:fill="C6EFCE"/>
            <w:noWrap/>
          </w:tcPr>
          <w:p w14:paraId="6009C9D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Izbrani pilotni projekti RRI bodo osredotočeni na krožno gospodarstvo ter podpirali raziskovalne in inovacijske procese, prenos tehnologije in sodelovanje med podjetji. Podpora bo znašala do 1 000 000 EUR na projekt. </w:t>
            </w:r>
          </w:p>
          <w:p w14:paraId="7291A7EE" w14:textId="77777777" w:rsidR="003C6015" w:rsidRPr="00DD6A04" w:rsidRDefault="003C6015" w:rsidP="003C6015">
            <w:pPr>
              <w:spacing w:before="0" w:after="0" w:line="256" w:lineRule="auto"/>
              <w:rPr>
                <w:rFonts w:eastAsia="Times New Roman"/>
                <w:noProof/>
                <w:color w:val="006100"/>
                <w:sz w:val="22"/>
                <w:lang w:val="en-GB" w:eastAsia="en-GB"/>
              </w:rPr>
            </w:pPr>
          </w:p>
          <w:p w14:paraId="58E4395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bodo tehnološko nevtralni v smislu vpliva na okolje na ravni njihove uporabe. Izključene bodo raziskovalno-inovacijske dejavnosti, ki se nanašajo na rjave elemente raziskav in inovacij, kot so premog, nafta, zemeljski plin, ki ga ne pokriva Priloga III k tehničnim smernicam za uporabo načela, da se ne škoduje bistveno, modri in sivi vodik, sežigalnice in odlagališča.</w:t>
            </w:r>
          </w:p>
        </w:tc>
      </w:tr>
      <w:tr w:rsidR="003C6015" w:rsidRPr="00DD6A04" w14:paraId="3CD8965B"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1C3AD68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121</w:t>
            </w:r>
          </w:p>
        </w:tc>
        <w:tc>
          <w:tcPr>
            <w:tcW w:w="1697" w:type="dxa"/>
            <w:tcBorders>
              <w:top w:val="single" w:sz="4" w:space="0" w:color="auto"/>
              <w:left w:val="nil"/>
              <w:bottom w:val="single" w:sz="4" w:space="0" w:color="auto"/>
              <w:right w:val="single" w:sz="4" w:space="0" w:color="auto"/>
            </w:tcBorders>
            <w:shd w:val="clear" w:color="auto" w:fill="C6EFCE"/>
            <w:noWrap/>
          </w:tcPr>
          <w:p w14:paraId="1845B52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 Sofinanciranje investicij v RRI demonstracijske in pilotne projekte</w:t>
            </w:r>
          </w:p>
        </w:tc>
        <w:tc>
          <w:tcPr>
            <w:tcW w:w="851" w:type="dxa"/>
            <w:tcBorders>
              <w:top w:val="single" w:sz="4" w:space="0" w:color="auto"/>
              <w:left w:val="nil"/>
              <w:bottom w:val="single" w:sz="4" w:space="0" w:color="auto"/>
              <w:right w:val="single" w:sz="4" w:space="0" w:color="auto"/>
            </w:tcBorders>
            <w:shd w:val="clear" w:color="auto" w:fill="C6EFCE"/>
            <w:noWrap/>
          </w:tcPr>
          <w:p w14:paraId="4543F33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5AD6281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Dokončani pilotni projekti RRI na področju krožnega gospodarstva</w:t>
            </w:r>
          </w:p>
        </w:tc>
        <w:tc>
          <w:tcPr>
            <w:tcW w:w="2168" w:type="dxa"/>
            <w:tcBorders>
              <w:top w:val="single" w:sz="4" w:space="0" w:color="auto"/>
              <w:left w:val="nil"/>
              <w:bottom w:val="single" w:sz="4" w:space="0" w:color="auto"/>
              <w:right w:val="single" w:sz="4" w:space="0" w:color="auto"/>
            </w:tcBorders>
            <w:shd w:val="clear" w:color="auto" w:fill="C6EFCE"/>
            <w:noWrap/>
          </w:tcPr>
          <w:p w14:paraId="64CE0E5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500A159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0" w:type="dxa"/>
            <w:tcBorders>
              <w:top w:val="single" w:sz="4" w:space="0" w:color="auto"/>
              <w:left w:val="nil"/>
              <w:bottom w:val="single" w:sz="4" w:space="0" w:color="auto"/>
              <w:right w:val="single" w:sz="4" w:space="0" w:color="auto"/>
            </w:tcBorders>
            <w:shd w:val="clear" w:color="auto" w:fill="C6EFCE"/>
            <w:noWrap/>
          </w:tcPr>
          <w:p w14:paraId="2DEA71AF"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720" w:type="dxa"/>
            <w:tcBorders>
              <w:top w:val="single" w:sz="4" w:space="0" w:color="auto"/>
              <w:left w:val="nil"/>
              <w:bottom w:val="single" w:sz="4" w:space="0" w:color="auto"/>
              <w:right w:val="single" w:sz="4" w:space="0" w:color="auto"/>
            </w:tcBorders>
            <w:shd w:val="clear" w:color="auto" w:fill="C6EFCE"/>
            <w:noWrap/>
          </w:tcPr>
          <w:p w14:paraId="161812C7" w14:textId="520D8A0E" w:rsidR="003C6015" w:rsidRPr="00DD6A04" w:rsidRDefault="003C6015" w:rsidP="003C6015">
            <w:pPr>
              <w:spacing w:before="0" w:after="0" w:line="256" w:lineRule="auto"/>
              <w:jc w:val="right"/>
              <w:rPr>
                <w:rFonts w:eastAsia="Times New Roman"/>
                <w:noProof/>
                <w:color w:val="006100"/>
                <w:sz w:val="22"/>
              </w:rPr>
            </w:pPr>
            <w:r>
              <w:rPr>
                <w:noProof/>
                <w:color w:val="006100"/>
                <w:sz w:val="22"/>
              </w:rPr>
              <w:t>10</w:t>
            </w:r>
          </w:p>
        </w:tc>
        <w:tc>
          <w:tcPr>
            <w:tcW w:w="990" w:type="dxa"/>
            <w:tcBorders>
              <w:top w:val="single" w:sz="4" w:space="0" w:color="auto"/>
              <w:left w:val="nil"/>
              <w:bottom w:val="single" w:sz="4" w:space="0" w:color="auto"/>
              <w:right w:val="single" w:sz="4" w:space="0" w:color="auto"/>
            </w:tcBorders>
            <w:shd w:val="clear" w:color="auto" w:fill="C6EFCE"/>
            <w:noWrap/>
          </w:tcPr>
          <w:p w14:paraId="34952BB8"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630" w:type="dxa"/>
            <w:tcBorders>
              <w:top w:val="single" w:sz="4" w:space="0" w:color="auto"/>
              <w:left w:val="nil"/>
              <w:bottom w:val="single" w:sz="4" w:space="0" w:color="auto"/>
              <w:right w:val="single" w:sz="4" w:space="0" w:color="auto"/>
            </w:tcBorders>
            <w:shd w:val="clear" w:color="auto" w:fill="C6EFCE"/>
            <w:noWrap/>
          </w:tcPr>
          <w:p w14:paraId="59BAFA00"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2025</w:t>
            </w:r>
          </w:p>
        </w:tc>
        <w:tc>
          <w:tcPr>
            <w:tcW w:w="3510" w:type="dxa"/>
            <w:tcBorders>
              <w:top w:val="single" w:sz="4" w:space="0" w:color="auto"/>
              <w:left w:val="nil"/>
              <w:bottom w:val="single" w:sz="4" w:space="0" w:color="auto"/>
              <w:right w:val="single" w:sz="4" w:space="0" w:color="auto"/>
            </w:tcBorders>
            <w:shd w:val="clear" w:color="auto" w:fill="C6EFCE"/>
            <w:noWrap/>
          </w:tcPr>
          <w:p w14:paraId="7515A8C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uspešno dokončani v skladu z merili iz mejnika 120.</w:t>
            </w:r>
          </w:p>
          <w:p w14:paraId="5AF84E14" w14:textId="77777777" w:rsidR="003C6015" w:rsidRPr="00DD6A04" w:rsidRDefault="003C6015" w:rsidP="003C6015">
            <w:pPr>
              <w:spacing w:before="0" w:after="0" w:line="256" w:lineRule="auto"/>
              <w:rPr>
                <w:rFonts w:eastAsia="Times New Roman"/>
                <w:noProof/>
                <w:color w:val="006100"/>
                <w:sz w:val="22"/>
                <w:lang w:val="en-GB" w:eastAsia="en-GB"/>
              </w:rPr>
            </w:pPr>
          </w:p>
          <w:p w14:paraId="02D83E3F"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1C96424B" w14:textId="77777777" w:rsidTr="00A70F67">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5C0D05F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122</w:t>
            </w:r>
          </w:p>
        </w:tc>
        <w:tc>
          <w:tcPr>
            <w:tcW w:w="1697" w:type="dxa"/>
            <w:tcBorders>
              <w:top w:val="single" w:sz="4" w:space="0" w:color="auto"/>
              <w:left w:val="nil"/>
              <w:bottom w:val="single" w:sz="4" w:space="0" w:color="auto"/>
              <w:right w:val="single" w:sz="4" w:space="0" w:color="auto"/>
            </w:tcBorders>
            <w:shd w:val="clear" w:color="auto" w:fill="C6EFCE"/>
            <w:noWrap/>
          </w:tcPr>
          <w:p w14:paraId="7AAB9F1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 Sofinanciranje investicij v RRI demonstracijske in pilotne projekte</w:t>
            </w:r>
          </w:p>
        </w:tc>
        <w:tc>
          <w:tcPr>
            <w:tcW w:w="851" w:type="dxa"/>
            <w:tcBorders>
              <w:top w:val="single" w:sz="4" w:space="0" w:color="auto"/>
              <w:left w:val="nil"/>
              <w:bottom w:val="single" w:sz="4" w:space="0" w:color="auto"/>
              <w:right w:val="single" w:sz="4" w:space="0" w:color="auto"/>
            </w:tcBorders>
            <w:shd w:val="clear" w:color="auto" w:fill="C6EFCE"/>
            <w:noWrap/>
          </w:tcPr>
          <w:p w14:paraId="2503099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00932C8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Dokončani pilotni projekti RRI na področju krožnega gospodarstva</w:t>
            </w:r>
          </w:p>
        </w:tc>
        <w:tc>
          <w:tcPr>
            <w:tcW w:w="2168" w:type="dxa"/>
            <w:tcBorders>
              <w:top w:val="single" w:sz="4" w:space="0" w:color="auto"/>
              <w:left w:val="nil"/>
              <w:bottom w:val="single" w:sz="4" w:space="0" w:color="auto"/>
              <w:right w:val="single" w:sz="4" w:space="0" w:color="auto"/>
            </w:tcBorders>
            <w:shd w:val="clear" w:color="auto" w:fill="C6EFCE"/>
            <w:noWrap/>
          </w:tcPr>
          <w:p w14:paraId="29205F5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0" w:type="dxa"/>
            <w:tcBorders>
              <w:top w:val="single" w:sz="4" w:space="0" w:color="auto"/>
              <w:left w:val="nil"/>
              <w:bottom w:val="single" w:sz="4" w:space="0" w:color="auto"/>
              <w:right w:val="single" w:sz="4" w:space="0" w:color="auto"/>
            </w:tcBorders>
            <w:shd w:val="clear" w:color="auto" w:fill="C6EFCE"/>
            <w:noWrap/>
          </w:tcPr>
          <w:p w14:paraId="59F6185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0" w:type="dxa"/>
            <w:tcBorders>
              <w:top w:val="single" w:sz="4" w:space="0" w:color="auto"/>
              <w:left w:val="nil"/>
              <w:bottom w:val="single" w:sz="4" w:space="0" w:color="auto"/>
              <w:right w:val="single" w:sz="4" w:space="0" w:color="auto"/>
            </w:tcBorders>
            <w:shd w:val="clear" w:color="auto" w:fill="C6EFCE"/>
            <w:noWrap/>
          </w:tcPr>
          <w:p w14:paraId="5111C758" w14:textId="6C7628C7" w:rsidR="003C6015" w:rsidRPr="00DD6A04" w:rsidRDefault="003C6015" w:rsidP="003C6015">
            <w:pPr>
              <w:spacing w:before="0" w:after="0" w:line="256" w:lineRule="auto"/>
              <w:jc w:val="right"/>
              <w:rPr>
                <w:rFonts w:eastAsia="Times New Roman"/>
                <w:noProof/>
                <w:color w:val="006100"/>
                <w:sz w:val="22"/>
              </w:rPr>
            </w:pPr>
            <w:r>
              <w:rPr>
                <w:noProof/>
                <w:color w:val="006100"/>
                <w:sz w:val="22"/>
              </w:rPr>
              <w:t>10</w:t>
            </w:r>
          </w:p>
        </w:tc>
        <w:tc>
          <w:tcPr>
            <w:tcW w:w="720" w:type="dxa"/>
            <w:tcBorders>
              <w:top w:val="single" w:sz="4" w:space="0" w:color="auto"/>
              <w:left w:val="nil"/>
              <w:bottom w:val="single" w:sz="4" w:space="0" w:color="auto"/>
              <w:right w:val="single" w:sz="4" w:space="0" w:color="auto"/>
            </w:tcBorders>
            <w:shd w:val="clear" w:color="auto" w:fill="C6EFCE"/>
            <w:noWrap/>
          </w:tcPr>
          <w:p w14:paraId="3219606C" w14:textId="0C075780" w:rsidR="003C6015" w:rsidRPr="00DD6A04" w:rsidRDefault="00B47374" w:rsidP="003C6015">
            <w:pPr>
              <w:spacing w:before="0" w:after="0" w:line="256" w:lineRule="auto"/>
              <w:jc w:val="right"/>
              <w:rPr>
                <w:rFonts w:eastAsia="Times New Roman"/>
                <w:noProof/>
                <w:color w:val="006100"/>
                <w:sz w:val="22"/>
              </w:rPr>
            </w:pPr>
            <w:r>
              <w:rPr>
                <w:noProof/>
                <w:color w:val="006100"/>
                <w:sz w:val="22"/>
              </w:rPr>
              <w:t>21</w:t>
            </w:r>
          </w:p>
        </w:tc>
        <w:tc>
          <w:tcPr>
            <w:tcW w:w="990" w:type="dxa"/>
            <w:tcBorders>
              <w:top w:val="single" w:sz="4" w:space="0" w:color="auto"/>
              <w:left w:val="nil"/>
              <w:bottom w:val="single" w:sz="4" w:space="0" w:color="auto"/>
              <w:right w:val="single" w:sz="4" w:space="0" w:color="auto"/>
            </w:tcBorders>
            <w:shd w:val="clear" w:color="auto" w:fill="C6EFCE"/>
            <w:noWrap/>
          </w:tcPr>
          <w:p w14:paraId="1294E6D4"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630" w:type="dxa"/>
            <w:tcBorders>
              <w:top w:val="single" w:sz="4" w:space="0" w:color="auto"/>
              <w:left w:val="nil"/>
              <w:bottom w:val="single" w:sz="4" w:space="0" w:color="auto"/>
              <w:right w:val="single" w:sz="4" w:space="0" w:color="auto"/>
            </w:tcBorders>
            <w:shd w:val="clear" w:color="auto" w:fill="C6EFCE"/>
            <w:noWrap/>
          </w:tcPr>
          <w:p w14:paraId="7568137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510" w:type="dxa"/>
            <w:tcBorders>
              <w:top w:val="single" w:sz="4" w:space="0" w:color="auto"/>
              <w:left w:val="nil"/>
              <w:bottom w:val="single" w:sz="4" w:space="0" w:color="auto"/>
              <w:right w:val="single" w:sz="4" w:space="0" w:color="auto"/>
            </w:tcBorders>
            <w:shd w:val="clear" w:color="auto" w:fill="C6EFCE"/>
            <w:noWrap/>
          </w:tcPr>
          <w:p w14:paraId="34BF2B1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uspešno dokončani v skladu z merili iz mejnika 120.</w:t>
            </w:r>
          </w:p>
          <w:p w14:paraId="24E43AF7" w14:textId="77777777" w:rsidR="003C6015" w:rsidRPr="00DD6A04" w:rsidRDefault="003C6015" w:rsidP="003C6015">
            <w:pPr>
              <w:spacing w:before="0" w:after="0" w:line="256" w:lineRule="auto"/>
              <w:rPr>
                <w:rFonts w:eastAsia="Times New Roman"/>
                <w:noProof/>
                <w:color w:val="006100"/>
                <w:sz w:val="22"/>
                <w:lang w:val="en-GB" w:eastAsia="en-GB"/>
              </w:rPr>
            </w:pPr>
          </w:p>
          <w:p w14:paraId="62B6DF02" w14:textId="10B4910F" w:rsidR="003C6015" w:rsidRPr="00DD6A04" w:rsidRDefault="003C6015" w:rsidP="003C6015">
            <w:pPr>
              <w:spacing w:before="0" w:after="0" w:line="256" w:lineRule="auto"/>
              <w:rPr>
                <w:rFonts w:eastAsia="Times New Roman"/>
                <w:noProof/>
                <w:color w:val="006100"/>
                <w:sz w:val="22"/>
              </w:rPr>
            </w:pPr>
            <w:r>
              <w:rPr>
                <w:noProof/>
                <w:color w:val="006100"/>
                <w:sz w:val="22"/>
              </w:rPr>
              <w:t>Skupni znesek financiranja bo najmanj 21 000 000 EUR.</w:t>
            </w:r>
          </w:p>
        </w:tc>
      </w:tr>
    </w:tbl>
    <w:p w14:paraId="0A6EB878"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156"/>
          <w:headerReference w:type="default" r:id="rId157"/>
          <w:footerReference w:type="even" r:id="rId158"/>
          <w:footerReference w:type="default" r:id="rId159"/>
          <w:headerReference w:type="first" r:id="rId160"/>
          <w:footerReference w:type="first" r:id="rId161"/>
          <w:pgSz w:w="16839" w:h="11907" w:orient="landscape"/>
          <w:pgMar w:top="1134" w:right="1134" w:bottom="1134" w:left="1134" w:header="567" w:footer="567" w:gutter="0"/>
          <w:cols w:space="720"/>
          <w:docGrid w:linePitch="326"/>
        </w:sectPr>
      </w:pPr>
    </w:p>
    <w:p w14:paraId="54A777C8" w14:textId="77777777" w:rsidR="003C6015" w:rsidRPr="00DD6A04" w:rsidRDefault="003C6015" w:rsidP="003C6015">
      <w:pPr>
        <w:keepNext/>
        <w:tabs>
          <w:tab w:val="left" w:pos="426"/>
        </w:tabs>
        <w:spacing w:line="240" w:lineRule="auto"/>
        <w:ind w:left="426" w:hanging="426"/>
        <w:jc w:val="both"/>
        <w:outlineLvl w:val="0"/>
        <w:rPr>
          <w:b/>
          <w:smallCaps/>
          <w:noProof/>
        </w:rPr>
      </w:pPr>
      <w:r>
        <w:rPr>
          <w:b/>
          <w:smallCaps/>
          <w:noProof/>
        </w:rPr>
        <w:t>I. KOMPONENTA 9: DVIG PRODUKTIVNOSTI, PRIJAZNO POSLOVNO OKOLJE ZA INVESTITORJE</w:t>
      </w:r>
    </w:p>
    <w:p w14:paraId="37AB2998" w14:textId="77777777" w:rsidR="003C6015" w:rsidRPr="00DD6A04" w:rsidRDefault="003C6015" w:rsidP="003C6015">
      <w:pPr>
        <w:spacing w:line="240" w:lineRule="auto"/>
        <w:jc w:val="both"/>
        <w:rPr>
          <w:noProof/>
        </w:rPr>
      </w:pPr>
      <w:r>
        <w:rPr>
          <w:noProof/>
        </w:rPr>
        <w:t xml:space="preserve">Ta komponenta slovenskega načrta za okrevanje in odpornost obravnava nizko raven investicij zasebnega sektorja v Sloveniji z izboljšanjem ureditve kapitalskih trgov, reformo načel javne podpore za zasebne investicije in zagotavljanjem financiranja investicij podjetij. </w:t>
      </w:r>
    </w:p>
    <w:p w14:paraId="3C678250" w14:textId="77777777" w:rsidR="003C6015" w:rsidRPr="00DD6A04" w:rsidRDefault="003C6015" w:rsidP="003C6015">
      <w:pPr>
        <w:spacing w:line="240" w:lineRule="auto"/>
        <w:jc w:val="both"/>
        <w:rPr>
          <w:noProof/>
        </w:rPr>
      </w:pPr>
      <w:r>
        <w:rPr>
          <w:noProof/>
        </w:rPr>
        <w:t>Cilji komponente so okrepiti alternativne, nebančne vire financiranja, olajšati investicije podjetij v najnaprednejše visoko produktivne zelene in digitalne tehnologije ter okrepiti okvir podpore za podjetja.</w:t>
      </w:r>
    </w:p>
    <w:p w14:paraId="69FF0596" w14:textId="77777777" w:rsidR="003C6015" w:rsidRPr="00DD6A04" w:rsidRDefault="003C6015" w:rsidP="003C6015">
      <w:pPr>
        <w:spacing w:line="240" w:lineRule="auto"/>
        <w:jc w:val="both"/>
        <w:rPr>
          <w:noProof/>
        </w:rPr>
      </w:pPr>
      <w:r>
        <w:rPr>
          <w:noProof/>
        </w:rPr>
        <w:t>Te investicije in reforme obravnavajo specifična priporočila za Slovenijo v letih 2019 in 2020, in sicer naj „podpira razvoj trgov lastniških vrednostnih papirjev“ (specifično priporočilo št. 2 iz leta 2019) ter ukrepa „za zagotavljanje likvidnosti in financiranja podjetjem in gospodinjstvom ter […] spodbuja zasebne naložbe v podporo gospodarskemu okrevanju“ in [u]smeri naložbe na zeleni in digitalni prehod“(specifično priporočilo št. 3 iz leta 2020).</w:t>
      </w:r>
    </w:p>
    <w:p w14:paraId="7786331D" w14:textId="32D3896E"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7DBEB9A4" w14:textId="77777777" w:rsidR="003C6015" w:rsidRPr="00DD6A04" w:rsidRDefault="003C6015" w:rsidP="003C6015">
      <w:pPr>
        <w:spacing w:line="240" w:lineRule="auto"/>
        <w:jc w:val="both"/>
        <w:rPr>
          <w:b/>
          <w:i/>
          <w:noProof/>
          <w:color w:val="4472C4"/>
        </w:rPr>
      </w:pPr>
      <w:r>
        <w:rPr>
          <w:b/>
          <w:noProof/>
          <w:u w:val="single"/>
        </w:rPr>
        <w:t xml:space="preserve">I.1 </w:t>
      </w:r>
      <w:r>
        <w:rPr>
          <w:b/>
          <w:noProof/>
          <w:u w:val="single"/>
        </w:rPr>
        <w:tab/>
        <w:t>Opis reform in naložb za nepovratno finančno podporo</w:t>
      </w:r>
    </w:p>
    <w:p w14:paraId="18E4C363" w14:textId="77777777" w:rsidR="003C6015" w:rsidRPr="00DD6A04" w:rsidRDefault="003C6015" w:rsidP="003C6015">
      <w:pPr>
        <w:spacing w:line="240" w:lineRule="auto"/>
        <w:jc w:val="both"/>
        <w:rPr>
          <w:noProof/>
          <w:u w:val="single"/>
        </w:rPr>
      </w:pPr>
      <w:r>
        <w:rPr>
          <w:noProof/>
          <w:u w:val="single"/>
        </w:rPr>
        <w:t>Reforma A. Krepitev kapitalskih trgov</w:t>
      </w:r>
    </w:p>
    <w:p w14:paraId="1B287BB8" w14:textId="77777777" w:rsidR="003C6015" w:rsidRPr="00DD6A04" w:rsidRDefault="003C6015" w:rsidP="003C6015">
      <w:pPr>
        <w:spacing w:line="240" w:lineRule="auto"/>
        <w:jc w:val="both"/>
        <w:rPr>
          <w:noProof/>
        </w:rPr>
      </w:pPr>
      <w:r>
        <w:rPr>
          <w:noProof/>
        </w:rPr>
        <w:t>Cilj te reforme je okrepiti kapitalske trge v Sloveniji.</w:t>
      </w:r>
    </w:p>
    <w:p w14:paraId="7B1EF1A5" w14:textId="77777777" w:rsidR="003C6015" w:rsidRPr="00DD6A04" w:rsidRDefault="003C6015" w:rsidP="003C6015">
      <w:pPr>
        <w:spacing w:line="240" w:lineRule="auto"/>
        <w:jc w:val="both"/>
        <w:rPr>
          <w:noProof/>
        </w:rPr>
      </w:pPr>
      <w:r>
        <w:rPr>
          <w:noProof/>
        </w:rPr>
        <w:t>Reforma vključuje začetek veljavnosti novega Zakona o oblikah alternativnih investicijskih skladov, ki bo jasno opredelil oblike investicijskih skladov. Novi akt temelji na rezultatih projekta programa za podporo strukturnim reformam „krepitev segmenta alternativnih investicijskih skladov (AIS)“.</w:t>
      </w:r>
    </w:p>
    <w:p w14:paraId="6D2942CC" w14:textId="77777777" w:rsidR="003C6015" w:rsidRPr="00DD6A04" w:rsidRDefault="003C6015" w:rsidP="003C6015">
      <w:pPr>
        <w:spacing w:line="240" w:lineRule="auto"/>
        <w:jc w:val="both"/>
        <w:rPr>
          <w:noProof/>
        </w:rPr>
      </w:pPr>
      <w:r>
        <w:rPr>
          <w:noProof/>
        </w:rPr>
        <w:t xml:space="preserve">Poleg tega bo sprejeta strategija za slovenski trg kapitala, v kateri bodo določeni posebni ukrepi za nadaljnji razvoj, ki bodo temeljili na rezultatih projekta programa za podporo strukturnim reformam „krepitev in razvoj kapitalskega trga v Sloveniji“. </w:t>
      </w:r>
    </w:p>
    <w:p w14:paraId="62F46FB0" w14:textId="77777777" w:rsidR="003C6015" w:rsidRPr="00DD6A04" w:rsidRDefault="003C6015" w:rsidP="003C6015">
      <w:pPr>
        <w:spacing w:line="240" w:lineRule="auto"/>
        <w:jc w:val="both"/>
        <w:rPr>
          <w:noProof/>
        </w:rPr>
      </w:pPr>
      <w:r>
        <w:rPr>
          <w:noProof/>
        </w:rPr>
        <w:t>Mejniki v zvezi z izvedbo reforme bodo doseženi do 30. junija 2022.</w:t>
      </w:r>
    </w:p>
    <w:p w14:paraId="566D9C36" w14:textId="77777777" w:rsidR="003C6015" w:rsidRPr="00DD6A04" w:rsidRDefault="003C6015" w:rsidP="003C6015">
      <w:pPr>
        <w:spacing w:line="240" w:lineRule="auto"/>
        <w:jc w:val="both"/>
        <w:rPr>
          <w:noProof/>
          <w:u w:val="single"/>
        </w:rPr>
      </w:pPr>
      <w:r>
        <w:rPr>
          <w:noProof/>
          <w:u w:val="single"/>
        </w:rPr>
        <w:t>Reforma B. Produktivnejše gospodarstvo za digitalni in zeleni prehod</w:t>
      </w:r>
    </w:p>
    <w:p w14:paraId="460EA553" w14:textId="77777777" w:rsidR="003C6015" w:rsidRPr="00DD6A04" w:rsidRDefault="003C6015" w:rsidP="003C6015">
      <w:pPr>
        <w:spacing w:line="240" w:lineRule="auto"/>
        <w:jc w:val="both"/>
        <w:rPr>
          <w:noProof/>
        </w:rPr>
      </w:pPr>
      <w:r>
        <w:rPr>
          <w:noProof/>
        </w:rPr>
        <w:t>Cilj te reforme je povečati produktivnost slovenskega gospodarstva s preusmeritvijo meril za javno podporo investicijam z ustvarjanja delovnih mest v visoko produktivne, trajnostne in digitalno usmerjene poslovne modele in investicije.</w:t>
      </w:r>
    </w:p>
    <w:p w14:paraId="3AE93599" w14:textId="77777777" w:rsidR="003C6015" w:rsidRPr="00DD6A04" w:rsidRDefault="003C6015" w:rsidP="003C6015">
      <w:pPr>
        <w:spacing w:line="240" w:lineRule="auto"/>
        <w:jc w:val="both"/>
        <w:rPr>
          <w:noProof/>
        </w:rPr>
      </w:pPr>
      <w:r>
        <w:rPr>
          <w:noProof/>
        </w:rPr>
        <w:t xml:space="preserve">Reforma vključuje začetek veljavnosti sprememb Zakona o spodbujanju investicij, kar zadeva spodbujanje domačih in tujih investicij podjetij. Spremembe bodo državne investicijske spodbude preusmerile predvsem v pomoč izvedbi kapitalsko intenzivnih naložb z visoko dodano vrednostjo. Z reformo se bo javna podpora pogojevala s posebnim sklopom meril okoljske trajnosti. </w:t>
      </w:r>
    </w:p>
    <w:p w14:paraId="1FB9FD42" w14:textId="77777777" w:rsidR="003C6015" w:rsidRPr="00DD6A04" w:rsidRDefault="003C6015" w:rsidP="003C6015">
      <w:pPr>
        <w:spacing w:line="240" w:lineRule="auto"/>
        <w:jc w:val="both"/>
        <w:rPr>
          <w:noProof/>
        </w:rPr>
      </w:pPr>
      <w:r>
        <w:rPr>
          <w:noProof/>
        </w:rPr>
        <w:t>Mejniki v zvezi z izvedbo reforme bodo doseženi do 30. junija 2022.</w:t>
      </w:r>
    </w:p>
    <w:p w14:paraId="3D359C2D" w14:textId="77777777" w:rsidR="003C6015" w:rsidRPr="00DD6A04" w:rsidRDefault="003C6015" w:rsidP="003C6015">
      <w:pPr>
        <w:spacing w:line="240" w:lineRule="auto"/>
        <w:jc w:val="both"/>
        <w:rPr>
          <w:noProof/>
          <w:u w:val="single"/>
        </w:rPr>
      </w:pPr>
      <w:r>
        <w:rPr>
          <w:noProof/>
          <w:u w:val="single"/>
        </w:rPr>
        <w:t xml:space="preserve">Investicija C. Podpora za dekarbonizacijo, produktivnost in konkurenčnost podjetij </w:t>
      </w:r>
    </w:p>
    <w:p w14:paraId="4CB543F6" w14:textId="77777777" w:rsidR="003C6015" w:rsidRPr="00DD6A04" w:rsidRDefault="003C6015" w:rsidP="003C6015">
      <w:pPr>
        <w:spacing w:line="240" w:lineRule="auto"/>
        <w:jc w:val="both"/>
        <w:rPr>
          <w:noProof/>
        </w:rPr>
      </w:pPr>
      <w:r>
        <w:rPr>
          <w:noProof/>
        </w:rPr>
        <w:t>Cilj investicije je podpreti podjetja, ki povečujejo produktivnost.</w:t>
      </w:r>
    </w:p>
    <w:p w14:paraId="60FD177F" w14:textId="77777777" w:rsidR="003C6015" w:rsidRPr="00DD6A04" w:rsidRDefault="003C6015" w:rsidP="003C6015">
      <w:pPr>
        <w:spacing w:line="240" w:lineRule="auto"/>
        <w:jc w:val="both"/>
        <w:rPr>
          <w:noProof/>
        </w:rPr>
      </w:pPr>
      <w:r>
        <w:rPr>
          <w:noProof/>
        </w:rPr>
        <w:t xml:space="preserve">Izbrani projekti bodo izpolnjevali poseben sklop meril okoljske uspešnosti, zlasti energetsko in snovno učinkovitost, ter bodo skladni s tehničnimi smernicami za uporabo načela, da se ne škoduje bistveno (2021/C58/01). Poleg tega pogodba o sofinanciranju upravičence zavezuje k upoštevanju dodatnih merljivih trajnostnih ciljev, ki jih bo treba doseči ob dokončanju investicije. </w:t>
      </w:r>
    </w:p>
    <w:p w14:paraId="687B48E3" w14:textId="77777777" w:rsidR="003C6015" w:rsidRPr="00DD6A04" w:rsidRDefault="003C6015" w:rsidP="003C6015">
      <w:pPr>
        <w:spacing w:line="240" w:lineRule="auto"/>
        <w:jc w:val="both"/>
        <w:rPr>
          <w:noProof/>
          <w:highlight w:val="green"/>
        </w:rPr>
      </w:pPr>
      <w:r>
        <w:rPr>
          <w:noProof/>
        </w:rPr>
        <w:t>Da se zagotovi skladnost ukrepa s tehničnimi smernicami za uporabo načela, da se ne škoduje bistveno (2021/C58/01), bodo na podlagi meril za izbor projektov v pogojih za prihodnje razpise za projekte iz podpore izključene naslednje dejavnosti:</w:t>
      </w:r>
      <w:r>
        <w:rPr>
          <w:noProof/>
          <w:color w:val="FF0000"/>
        </w:rPr>
        <w:t xml:space="preserve"> </w:t>
      </w:r>
      <w:r>
        <w:rPr>
          <w:noProof/>
        </w:rPr>
        <w:t>(i) dejavnosti v zvezi s fosilnimi gorivi, vključno z nadaljnjo uporabo</w:t>
      </w:r>
      <w:r w:rsidRPr="00DD6A04">
        <w:rPr>
          <w:noProof/>
          <w:vertAlign w:val="superscript"/>
          <w:lang w:val="en-GB"/>
        </w:rPr>
        <w:footnoteReference w:id="5"/>
      </w:r>
      <w:r>
        <w:rPr>
          <w:noProof/>
        </w:rPr>
        <w:t>; (ii) dejavnosti ki so vključene v sistem EU za trgovanje z emisijami, če predvidene emisije niso nižje od ustrezne referenčne vrednosti</w:t>
      </w:r>
      <w:r w:rsidRPr="00DD6A04">
        <w:rPr>
          <w:noProof/>
          <w:vertAlign w:val="superscript"/>
          <w:lang w:val="en-GB"/>
        </w:rPr>
        <w:footnoteReference w:id="6"/>
      </w:r>
      <w:r>
        <w:rPr>
          <w:noProof/>
        </w:rPr>
        <w:t>; (iii) dejavnosti v zvezi z odlagališči odpadkov, sežigalnicami</w:t>
      </w:r>
      <w:r w:rsidRPr="00DD6A04">
        <w:rPr>
          <w:noProof/>
          <w:vertAlign w:val="superscript"/>
          <w:lang w:val="en-GB"/>
        </w:rPr>
        <w:footnoteReference w:id="7"/>
      </w:r>
      <w:r>
        <w:rPr>
          <w:noProof/>
        </w:rPr>
        <w:t xml:space="preserve"> in napravami za mehansko biološko obdelavo</w:t>
      </w:r>
      <w:r w:rsidRPr="00DD6A04">
        <w:rPr>
          <w:noProof/>
          <w:vertAlign w:val="superscript"/>
          <w:lang w:val="en-GB"/>
        </w:rPr>
        <w:footnoteReference w:id="8"/>
      </w:r>
      <w:r>
        <w:rPr>
          <w:noProof/>
        </w:rPr>
        <w:t>; ter (iv) dejavnosti, pri katerih lahko dolgotrajno odstranjevanje odpadkov škoduje okolju. V pogojih bo poleg tega navedeno, da se izberejo samo dejavnosti, ki so v skladu z ustrezno okoljsko zakonodajo EU in nacionalno okoljsko zakonodajo.</w:t>
      </w:r>
    </w:p>
    <w:p w14:paraId="5CA81FEE" w14:textId="77777777" w:rsidR="003C6015" w:rsidRPr="00DD6A04" w:rsidRDefault="003C6015" w:rsidP="003C6015">
      <w:pPr>
        <w:spacing w:line="240" w:lineRule="auto"/>
        <w:jc w:val="both"/>
        <w:rPr>
          <w:noProof/>
        </w:rPr>
      </w:pPr>
      <w:r>
        <w:rPr>
          <w:noProof/>
        </w:rPr>
        <w:t>Investicija bo dokončana do 30. junija 2026.</w:t>
      </w:r>
    </w:p>
    <w:p w14:paraId="38DDC3C7" w14:textId="77777777" w:rsidR="003C6015" w:rsidRPr="00DD6A04" w:rsidRDefault="003C6015" w:rsidP="003C6015">
      <w:pPr>
        <w:spacing w:line="240" w:lineRule="auto"/>
        <w:jc w:val="both"/>
        <w:rPr>
          <w:noProof/>
          <w:u w:val="single"/>
        </w:rPr>
      </w:pPr>
      <w:r>
        <w:rPr>
          <w:noProof/>
          <w:u w:val="single"/>
        </w:rPr>
        <w:t>Investicija D. Zagotavljanje inovativnih ekosistemov ekonomsko-poslovne infrastrukture</w:t>
      </w:r>
    </w:p>
    <w:p w14:paraId="2EAC8CB9" w14:textId="77777777" w:rsidR="003C6015" w:rsidRPr="00DD6A04" w:rsidRDefault="003C6015" w:rsidP="003C6015">
      <w:pPr>
        <w:spacing w:line="240" w:lineRule="auto"/>
        <w:jc w:val="both"/>
        <w:rPr>
          <w:noProof/>
        </w:rPr>
      </w:pPr>
      <w:r>
        <w:rPr>
          <w:noProof/>
        </w:rPr>
        <w:t>Cilj investicije je okrepiti konkurenčnost vrednostnih verig v različnih gospodarskih sektorjih s podporo inovativnim ekosistemom.</w:t>
      </w:r>
    </w:p>
    <w:p w14:paraId="2C9F7079" w14:textId="7A2DB1D4" w:rsidR="003C6015" w:rsidRPr="00DD6A04" w:rsidRDefault="003C6015" w:rsidP="003C6015">
      <w:pPr>
        <w:spacing w:line="240" w:lineRule="auto"/>
        <w:jc w:val="both"/>
        <w:rPr>
          <w:noProof/>
        </w:rPr>
      </w:pPr>
      <w:r>
        <w:rPr>
          <w:noProof/>
        </w:rPr>
        <w:t xml:space="preserve">Investicija bo podpirala razvoj ekonomsko-poslovne infrastrukture, ki prispeva k ciljem Strategije pametne specializacije (krepitev konkurenčnosti gospodarstva s krepitvijo njegove inovacijske zmogljivosti). Investicija bo nadalje razvila obstoječa poslovna območja in degradirana območja v poslovno infrastrukturo ter omejila potrebo po znatnih investicijah v novo mestno in prometno infrastrukturo. </w:t>
      </w:r>
    </w:p>
    <w:p w14:paraId="7BAA8E92" w14:textId="77777777" w:rsidR="003C6015" w:rsidRPr="00DD6A04" w:rsidRDefault="003C6015" w:rsidP="003C6015">
      <w:pPr>
        <w:spacing w:line="240" w:lineRule="auto"/>
        <w:rPr>
          <w:noProof/>
        </w:rPr>
      </w:pPr>
      <w:r>
        <w:rPr>
          <w:noProof/>
        </w:rPr>
        <w:t>Investicija bo dokončana do 30. junija 2026.</w:t>
      </w:r>
    </w:p>
    <w:p w14:paraId="592C7538" w14:textId="77777777" w:rsidR="003C6015" w:rsidRPr="00DD6A04" w:rsidRDefault="003C6015" w:rsidP="003C6015">
      <w:pPr>
        <w:spacing w:line="240" w:lineRule="auto"/>
        <w:ind w:left="850"/>
        <w:jc w:val="both"/>
        <w:rPr>
          <w:noProof/>
          <w:lang w:val="en-GB"/>
        </w:rPr>
        <w:sectPr w:rsidR="003C6015" w:rsidRPr="00DD6A04" w:rsidSect="00073927">
          <w:headerReference w:type="even" r:id="rId162"/>
          <w:headerReference w:type="default" r:id="rId163"/>
          <w:footerReference w:type="even" r:id="rId164"/>
          <w:footerReference w:type="default" r:id="rId165"/>
          <w:headerReference w:type="first" r:id="rId166"/>
          <w:footerReference w:type="first" r:id="rId167"/>
          <w:pgSz w:w="11907" w:h="16839"/>
          <w:pgMar w:top="1134" w:right="1134" w:bottom="1134" w:left="1134" w:header="567" w:footer="567" w:gutter="0"/>
          <w:cols w:space="720"/>
          <w:docGrid w:linePitch="360"/>
        </w:sectPr>
      </w:pPr>
    </w:p>
    <w:p w14:paraId="1999BAB1" w14:textId="77777777" w:rsidR="003C6015" w:rsidRPr="00DD6A04" w:rsidRDefault="003C6015" w:rsidP="003C6015">
      <w:pPr>
        <w:spacing w:line="240" w:lineRule="auto"/>
        <w:ind w:left="850"/>
        <w:jc w:val="both"/>
        <w:rPr>
          <w:b/>
          <w:noProof/>
          <w:u w:val="single"/>
        </w:rPr>
      </w:pPr>
      <w:r>
        <w:rPr>
          <w:b/>
          <w:noProof/>
          <w:u w:val="single"/>
        </w:rPr>
        <w:t xml:space="preserve">I.2 </w:t>
      </w:r>
      <w:r>
        <w:rPr>
          <w:b/>
          <w:noProof/>
          <w:u w:val="single"/>
        </w:rPr>
        <w:tab/>
        <w:t>Mejniki, cilji, kazalniki in časovni razpored za spremljanje in izvajanje nepovratne finančne podpore</w:t>
      </w:r>
    </w:p>
    <w:tbl>
      <w:tblPr>
        <w:tblW w:w="15683" w:type="dxa"/>
        <w:jc w:val="center"/>
        <w:tblLayout w:type="fixed"/>
        <w:tblLook w:val="04A0" w:firstRow="1" w:lastRow="0" w:firstColumn="1" w:lastColumn="0" w:noHBand="0" w:noVBand="1"/>
      </w:tblPr>
      <w:tblGrid>
        <w:gridCol w:w="1411"/>
        <w:gridCol w:w="1697"/>
        <w:gridCol w:w="992"/>
        <w:gridCol w:w="1701"/>
        <w:gridCol w:w="2126"/>
        <w:gridCol w:w="1134"/>
        <w:gridCol w:w="993"/>
        <w:gridCol w:w="859"/>
        <w:gridCol w:w="842"/>
        <w:gridCol w:w="850"/>
        <w:gridCol w:w="3078"/>
      </w:tblGrid>
      <w:tr w:rsidR="003C6015" w:rsidRPr="00DD6A04" w14:paraId="28168179" w14:textId="77777777" w:rsidTr="00A70F67">
        <w:trPr>
          <w:trHeight w:val="927"/>
          <w:tblHeader/>
          <w:jc w:val="center"/>
        </w:trPr>
        <w:tc>
          <w:tcPr>
            <w:tcW w:w="14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9BC782" w14:textId="77777777" w:rsidR="003C6015" w:rsidRPr="00DD6A04" w:rsidRDefault="003C6015" w:rsidP="003C6015">
            <w:pPr>
              <w:spacing w:before="0" w:after="0" w:line="240" w:lineRule="auto"/>
              <w:jc w:val="center"/>
              <w:rPr>
                <w:rFonts w:eastAsia="Times New Roman"/>
                <w:b/>
                <w:noProof/>
              </w:rPr>
            </w:pPr>
            <w:r>
              <w:rPr>
                <w:b/>
                <w:noProof/>
              </w:rPr>
              <w:t>Zaporedna številka</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418A57" w14:textId="77777777" w:rsidR="003C6015" w:rsidRPr="00DD6A04" w:rsidRDefault="003C6015" w:rsidP="003C6015">
            <w:pPr>
              <w:spacing w:before="0" w:after="0" w:line="240" w:lineRule="auto"/>
              <w:jc w:val="center"/>
              <w:rPr>
                <w:rFonts w:eastAsia="Times New Roman"/>
                <w:b/>
                <w:noProof/>
              </w:rPr>
            </w:pPr>
            <w:r>
              <w:rPr>
                <w:b/>
                <w:noProof/>
              </w:rPr>
              <w:t>Povezani ukrep (reforma ali naložba)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64E359" w14:textId="77777777" w:rsidR="003C6015" w:rsidRPr="00DD6A04" w:rsidRDefault="003C6015" w:rsidP="003C6015">
            <w:pPr>
              <w:spacing w:before="0" w:after="0" w:line="240" w:lineRule="auto"/>
              <w:jc w:val="center"/>
              <w:rPr>
                <w:rFonts w:eastAsia="Times New Roman"/>
                <w:b/>
                <w:noProof/>
              </w:rPr>
            </w:pPr>
            <w:r>
              <w:rPr>
                <w:b/>
                <w:noProof/>
              </w:rPr>
              <w:t>Mejnik/cilj</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3A72D2EE" w14:textId="77777777" w:rsidR="003C6015" w:rsidRPr="00DD6A04" w:rsidRDefault="003C6015" w:rsidP="003C6015">
            <w:pPr>
              <w:spacing w:before="0" w:after="0" w:line="240" w:lineRule="auto"/>
              <w:jc w:val="center"/>
              <w:rPr>
                <w:rFonts w:eastAsia="Times New Roman"/>
                <w:b/>
                <w:noProof/>
              </w:rPr>
            </w:pPr>
            <w:r>
              <w:rPr>
                <w:b/>
                <w:noProof/>
              </w:rPr>
              <w:t>Ime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12C934" w14:textId="77777777" w:rsidR="003C6015" w:rsidRPr="00DD6A04" w:rsidRDefault="003C6015" w:rsidP="003C6015">
            <w:pPr>
              <w:spacing w:before="0" w:after="0" w:line="240" w:lineRule="auto"/>
              <w:jc w:val="center"/>
              <w:rPr>
                <w:rFonts w:eastAsia="Times New Roman"/>
                <w:b/>
                <w:noProof/>
              </w:rPr>
            </w:pPr>
            <w:r>
              <w:rPr>
                <w:b/>
                <w:noProof/>
              </w:rPr>
              <w:t>Kvalitativni kazalniki (za mejnike)</w:t>
            </w:r>
          </w:p>
        </w:tc>
        <w:tc>
          <w:tcPr>
            <w:tcW w:w="2986" w:type="dxa"/>
            <w:gridSpan w:val="3"/>
            <w:tcBorders>
              <w:top w:val="single" w:sz="4" w:space="0" w:color="auto"/>
              <w:left w:val="nil"/>
              <w:bottom w:val="single" w:sz="4" w:space="0" w:color="auto"/>
              <w:right w:val="single" w:sz="4" w:space="0" w:color="auto"/>
            </w:tcBorders>
            <w:shd w:val="clear" w:color="auto" w:fill="BDD7EE"/>
            <w:vAlign w:val="center"/>
            <w:hideMark/>
          </w:tcPr>
          <w:p w14:paraId="05BDBA71" w14:textId="77777777" w:rsidR="003C6015" w:rsidRPr="00DD6A04" w:rsidRDefault="003C6015" w:rsidP="003C6015">
            <w:pPr>
              <w:spacing w:before="0" w:after="0" w:line="240" w:lineRule="auto"/>
              <w:jc w:val="center"/>
              <w:rPr>
                <w:rFonts w:eastAsia="Times New Roman"/>
                <w:b/>
                <w:noProof/>
              </w:rPr>
            </w:pPr>
            <w:r>
              <w:rPr>
                <w:b/>
                <w:noProof/>
              </w:rPr>
              <w:t>Kvantitativni kazalniki (za cilje)</w:t>
            </w:r>
          </w:p>
        </w:tc>
        <w:tc>
          <w:tcPr>
            <w:tcW w:w="1692" w:type="dxa"/>
            <w:gridSpan w:val="2"/>
            <w:tcBorders>
              <w:top w:val="single" w:sz="4" w:space="0" w:color="auto"/>
              <w:left w:val="nil"/>
              <w:bottom w:val="single" w:sz="4" w:space="0" w:color="auto"/>
              <w:right w:val="single" w:sz="4" w:space="0" w:color="auto"/>
            </w:tcBorders>
            <w:shd w:val="clear" w:color="auto" w:fill="BDD7EE"/>
            <w:vAlign w:val="center"/>
            <w:hideMark/>
          </w:tcPr>
          <w:p w14:paraId="5AA63FC4" w14:textId="77777777" w:rsidR="003C6015" w:rsidRPr="00DD6A04" w:rsidRDefault="003C6015" w:rsidP="003C6015">
            <w:pPr>
              <w:spacing w:before="0" w:after="0" w:line="240" w:lineRule="auto"/>
              <w:jc w:val="center"/>
              <w:rPr>
                <w:rFonts w:eastAsia="Times New Roman"/>
                <w:b/>
                <w:noProof/>
              </w:rPr>
            </w:pPr>
            <w:r>
              <w:rPr>
                <w:b/>
                <w:noProof/>
              </w:rPr>
              <w:t xml:space="preserve">Okvirni časovni razpored za dokončanje </w:t>
            </w:r>
          </w:p>
        </w:tc>
        <w:tc>
          <w:tcPr>
            <w:tcW w:w="30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E91D51" w14:textId="77777777" w:rsidR="003C6015" w:rsidRPr="00DD6A04" w:rsidRDefault="003C6015" w:rsidP="003C6015">
            <w:pPr>
              <w:spacing w:before="0" w:after="0" w:line="240" w:lineRule="auto"/>
              <w:jc w:val="center"/>
              <w:rPr>
                <w:rFonts w:eastAsia="Times New Roman"/>
                <w:b/>
                <w:noProof/>
              </w:rPr>
            </w:pPr>
            <w:r>
              <w:rPr>
                <w:b/>
                <w:noProof/>
              </w:rPr>
              <w:t>Opis vsakega mejnika in cilja</w:t>
            </w:r>
          </w:p>
        </w:tc>
      </w:tr>
      <w:tr w:rsidR="00E30674" w:rsidRPr="00DD6A04" w14:paraId="3BB3058D" w14:textId="77777777" w:rsidTr="00A70F67">
        <w:trPr>
          <w:trHeight w:val="331"/>
          <w:tblHeader/>
          <w:jc w:val="center"/>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271B8A8" w14:textId="77777777" w:rsidR="003C6015" w:rsidRPr="00DD6A04" w:rsidRDefault="003C6015" w:rsidP="003C6015">
            <w:pPr>
              <w:spacing w:before="0" w:after="0" w:line="240" w:lineRule="auto"/>
              <w:rPr>
                <w:rFonts w:eastAsia="Times New Roman"/>
                <w:b/>
                <w:noProof/>
                <w:szCs w:val="24"/>
                <w:lang w:val="en-GB" w:eastAsia="en-GB"/>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5FC5B343" w14:textId="77777777" w:rsidR="003C6015" w:rsidRPr="00DD6A04" w:rsidRDefault="003C6015" w:rsidP="003C6015">
            <w:pPr>
              <w:spacing w:before="0" w:after="0" w:line="240" w:lineRule="auto"/>
              <w:rPr>
                <w:rFonts w:eastAsia="Times New Roman"/>
                <w:b/>
                <w:noProof/>
                <w:szCs w:val="24"/>
                <w:lang w:val="en-GB"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7AEDF4" w14:textId="77777777" w:rsidR="003C6015" w:rsidRPr="00DD6A04" w:rsidRDefault="003C6015" w:rsidP="003C6015">
            <w:pPr>
              <w:spacing w:before="0" w:after="0" w:line="240" w:lineRule="auto"/>
              <w:rPr>
                <w:rFonts w:eastAsia="Times New Roman"/>
                <w:b/>
                <w:noProof/>
                <w:szCs w:val="24"/>
                <w:lang w:val="en-GB"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07879B" w14:textId="77777777" w:rsidR="003C6015" w:rsidRPr="00DD6A04" w:rsidRDefault="003C6015" w:rsidP="003C6015">
            <w:pPr>
              <w:spacing w:before="0" w:after="0" w:line="240" w:lineRule="auto"/>
              <w:rPr>
                <w:rFonts w:eastAsia="Times New Roman"/>
                <w:b/>
                <w:noProof/>
                <w:szCs w:val="24"/>
                <w:lang w:val="en-GB" w:eastAsia="en-GB"/>
              </w:rPr>
            </w:pPr>
          </w:p>
        </w:tc>
        <w:tc>
          <w:tcPr>
            <w:tcW w:w="2126" w:type="dxa"/>
            <w:vMerge/>
            <w:tcBorders>
              <w:top w:val="single" w:sz="4" w:space="0" w:color="auto"/>
              <w:left w:val="single" w:sz="4" w:space="0" w:color="auto"/>
              <w:bottom w:val="single" w:sz="4" w:space="0" w:color="auto"/>
            </w:tcBorders>
            <w:vAlign w:val="center"/>
            <w:hideMark/>
          </w:tcPr>
          <w:p w14:paraId="74E9F03D" w14:textId="77777777" w:rsidR="003C6015" w:rsidRPr="00DD6A04" w:rsidRDefault="003C6015" w:rsidP="003C6015">
            <w:pPr>
              <w:spacing w:before="0" w:after="0" w:line="240" w:lineRule="auto"/>
              <w:rPr>
                <w:rFonts w:eastAsia="Times New Roman"/>
                <w:b/>
                <w:noProof/>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DB2576F" w14:textId="77777777" w:rsidR="003C6015" w:rsidRPr="00DD6A04" w:rsidRDefault="003C6015" w:rsidP="003C6015">
            <w:pPr>
              <w:spacing w:before="0" w:after="0" w:line="240" w:lineRule="auto"/>
              <w:jc w:val="center"/>
              <w:rPr>
                <w:rFonts w:eastAsia="Times New Roman"/>
                <w:b/>
                <w:noProof/>
                <w:sz w:val="22"/>
              </w:rPr>
            </w:pPr>
            <w:r>
              <w:rPr>
                <w:b/>
                <w:noProof/>
                <w:sz w:val="22"/>
              </w:rPr>
              <w:t>Enota merjenja</w:t>
            </w:r>
          </w:p>
        </w:tc>
        <w:tc>
          <w:tcPr>
            <w:tcW w:w="99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DD12027" w14:textId="77777777" w:rsidR="003C6015" w:rsidRPr="00DD6A04" w:rsidRDefault="003C6015" w:rsidP="003C6015">
            <w:pPr>
              <w:spacing w:before="0" w:after="0" w:line="240" w:lineRule="auto"/>
              <w:jc w:val="center"/>
              <w:rPr>
                <w:rFonts w:eastAsia="Times New Roman"/>
                <w:b/>
                <w:noProof/>
                <w:sz w:val="22"/>
              </w:rPr>
            </w:pPr>
            <w:r>
              <w:rPr>
                <w:b/>
                <w:noProof/>
                <w:sz w:val="22"/>
              </w:rPr>
              <w:t xml:space="preserve">Izhodiščna raven </w:t>
            </w:r>
          </w:p>
        </w:tc>
        <w:tc>
          <w:tcPr>
            <w:tcW w:w="85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ACB6869" w14:textId="77777777" w:rsidR="003C6015" w:rsidRPr="00DD6A04" w:rsidRDefault="003C6015" w:rsidP="003C6015">
            <w:pPr>
              <w:spacing w:before="0" w:after="0" w:line="240" w:lineRule="auto"/>
              <w:jc w:val="center"/>
              <w:rPr>
                <w:rFonts w:eastAsia="Times New Roman"/>
                <w:b/>
                <w:noProof/>
                <w:sz w:val="22"/>
              </w:rPr>
            </w:pPr>
            <w:r>
              <w:rPr>
                <w:b/>
                <w:noProof/>
                <w:sz w:val="22"/>
              </w:rPr>
              <w:t xml:space="preserve">Ciljna raven </w:t>
            </w:r>
          </w:p>
        </w:tc>
        <w:tc>
          <w:tcPr>
            <w:tcW w:w="84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87161BC" w14:textId="77777777" w:rsidR="003C6015" w:rsidRPr="00DD6A04" w:rsidRDefault="003C6015" w:rsidP="003C6015">
            <w:pPr>
              <w:spacing w:before="0" w:after="0" w:line="240" w:lineRule="auto"/>
              <w:jc w:val="center"/>
              <w:rPr>
                <w:rFonts w:eastAsia="Times New Roman"/>
                <w:b/>
                <w:noProof/>
                <w:sz w:val="22"/>
              </w:rPr>
            </w:pPr>
            <w:r>
              <w:rPr>
                <w:b/>
                <w:noProof/>
                <w:sz w:val="22"/>
              </w:rPr>
              <w:t>Četrtletje</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0BF17D4" w14:textId="77777777" w:rsidR="003C6015" w:rsidRPr="00DD6A04" w:rsidRDefault="003C6015" w:rsidP="003C6015">
            <w:pPr>
              <w:spacing w:before="0" w:after="0" w:line="240" w:lineRule="auto"/>
              <w:jc w:val="center"/>
              <w:rPr>
                <w:rFonts w:eastAsia="Times New Roman"/>
                <w:b/>
                <w:noProof/>
                <w:sz w:val="22"/>
              </w:rPr>
            </w:pPr>
            <w:r>
              <w:rPr>
                <w:b/>
                <w:noProof/>
                <w:sz w:val="22"/>
              </w:rPr>
              <w:t>Leto</w:t>
            </w:r>
          </w:p>
        </w:tc>
        <w:tc>
          <w:tcPr>
            <w:tcW w:w="3078" w:type="dxa"/>
            <w:vMerge/>
            <w:tcBorders>
              <w:bottom w:val="single" w:sz="4" w:space="0" w:color="auto"/>
              <w:right w:val="single" w:sz="4" w:space="0" w:color="auto"/>
            </w:tcBorders>
            <w:vAlign w:val="center"/>
            <w:hideMark/>
          </w:tcPr>
          <w:p w14:paraId="4E01F223" w14:textId="77777777" w:rsidR="003C6015" w:rsidRPr="00DD6A04" w:rsidRDefault="003C6015" w:rsidP="003C6015">
            <w:pPr>
              <w:spacing w:before="0" w:after="0" w:line="240" w:lineRule="auto"/>
              <w:rPr>
                <w:rFonts w:eastAsia="Times New Roman"/>
                <w:b/>
                <w:noProof/>
                <w:szCs w:val="24"/>
                <w:lang w:val="en-GB" w:eastAsia="en-GB"/>
              </w:rPr>
            </w:pPr>
          </w:p>
        </w:tc>
      </w:tr>
      <w:tr w:rsidR="003C6015" w:rsidRPr="00DD6A04" w14:paraId="5B02D53A" w14:textId="77777777" w:rsidTr="00A70F67">
        <w:trPr>
          <w:trHeight w:val="309"/>
          <w:jc w:val="center"/>
        </w:trPr>
        <w:tc>
          <w:tcPr>
            <w:tcW w:w="1411" w:type="dxa"/>
            <w:tcBorders>
              <w:top w:val="single" w:sz="4" w:space="0" w:color="auto"/>
              <w:left w:val="single" w:sz="4" w:space="0" w:color="auto"/>
              <w:bottom w:val="single" w:sz="4" w:space="0" w:color="auto"/>
              <w:right w:val="single" w:sz="4" w:space="0" w:color="auto"/>
            </w:tcBorders>
            <w:shd w:val="clear" w:color="auto" w:fill="C6EFCE"/>
            <w:noWrap/>
            <w:hideMark/>
          </w:tcPr>
          <w:p w14:paraId="5DE8CE15"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124</w:t>
            </w:r>
          </w:p>
        </w:tc>
        <w:tc>
          <w:tcPr>
            <w:tcW w:w="1697" w:type="dxa"/>
            <w:tcBorders>
              <w:top w:val="single" w:sz="4" w:space="0" w:color="auto"/>
              <w:left w:val="nil"/>
              <w:bottom w:val="single" w:sz="4" w:space="0" w:color="auto"/>
              <w:right w:val="single" w:sz="4" w:space="0" w:color="auto"/>
            </w:tcBorders>
            <w:shd w:val="clear" w:color="auto" w:fill="C6EFCE"/>
            <w:noWrap/>
            <w:hideMark/>
          </w:tcPr>
          <w:p w14:paraId="4736EFF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A: Krepitev kapitalskih trgov</w:t>
            </w:r>
          </w:p>
        </w:tc>
        <w:tc>
          <w:tcPr>
            <w:tcW w:w="992" w:type="dxa"/>
            <w:tcBorders>
              <w:top w:val="single" w:sz="4" w:space="0" w:color="auto"/>
              <w:left w:val="nil"/>
              <w:bottom w:val="single" w:sz="4" w:space="0" w:color="auto"/>
              <w:right w:val="single" w:sz="4" w:space="0" w:color="auto"/>
            </w:tcBorders>
            <w:shd w:val="clear" w:color="auto" w:fill="C6EFCE"/>
            <w:noWrap/>
            <w:hideMark/>
          </w:tcPr>
          <w:p w14:paraId="21A1C07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hideMark/>
          </w:tcPr>
          <w:p w14:paraId="55622D6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Začetek veljavnosti Zakona o oblikah alternativnih investicijskih skladov</w:t>
            </w:r>
          </w:p>
        </w:tc>
        <w:tc>
          <w:tcPr>
            <w:tcW w:w="2126" w:type="dxa"/>
            <w:tcBorders>
              <w:top w:val="single" w:sz="4" w:space="0" w:color="auto"/>
              <w:left w:val="nil"/>
              <w:bottom w:val="single" w:sz="4" w:space="0" w:color="auto"/>
              <w:right w:val="single" w:sz="4" w:space="0" w:color="auto"/>
            </w:tcBorders>
            <w:shd w:val="clear" w:color="auto" w:fill="C6EFCE"/>
            <w:noWrap/>
            <w:hideMark/>
          </w:tcPr>
          <w:p w14:paraId="32740EB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Zakonodajna določba o začetku veljavnosti Zakona o oblikah alternativnih investicijskih skladov </w:t>
            </w:r>
          </w:p>
        </w:tc>
        <w:tc>
          <w:tcPr>
            <w:tcW w:w="1134" w:type="dxa"/>
            <w:tcBorders>
              <w:top w:val="single" w:sz="4" w:space="0" w:color="auto"/>
              <w:left w:val="nil"/>
              <w:bottom w:val="single" w:sz="4" w:space="0" w:color="auto"/>
              <w:right w:val="single" w:sz="4" w:space="0" w:color="auto"/>
            </w:tcBorders>
            <w:shd w:val="clear" w:color="auto" w:fill="C6EFCE"/>
            <w:noWrap/>
            <w:hideMark/>
          </w:tcPr>
          <w:p w14:paraId="2965AE4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nil"/>
              <w:bottom w:val="single" w:sz="4" w:space="0" w:color="auto"/>
              <w:right w:val="single" w:sz="4" w:space="0" w:color="auto"/>
            </w:tcBorders>
            <w:shd w:val="clear" w:color="auto" w:fill="C6EFCE"/>
            <w:noWrap/>
            <w:hideMark/>
          </w:tcPr>
          <w:p w14:paraId="3CDC39FB"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859" w:type="dxa"/>
            <w:tcBorders>
              <w:top w:val="single" w:sz="4" w:space="0" w:color="auto"/>
              <w:left w:val="nil"/>
              <w:bottom w:val="single" w:sz="4" w:space="0" w:color="auto"/>
              <w:right w:val="single" w:sz="4" w:space="0" w:color="auto"/>
            </w:tcBorders>
            <w:shd w:val="clear" w:color="auto" w:fill="C6EFCE"/>
            <w:noWrap/>
            <w:hideMark/>
          </w:tcPr>
          <w:p w14:paraId="67A917A4"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842" w:type="dxa"/>
            <w:tcBorders>
              <w:top w:val="single" w:sz="4" w:space="0" w:color="auto"/>
              <w:left w:val="nil"/>
              <w:bottom w:val="single" w:sz="4" w:space="0" w:color="auto"/>
              <w:right w:val="single" w:sz="4" w:space="0" w:color="auto"/>
            </w:tcBorders>
            <w:shd w:val="clear" w:color="auto" w:fill="C6EFCE"/>
            <w:noWrap/>
            <w:hideMark/>
          </w:tcPr>
          <w:p w14:paraId="5CFCD707"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850" w:type="dxa"/>
            <w:tcBorders>
              <w:top w:val="single" w:sz="4" w:space="0" w:color="auto"/>
              <w:left w:val="nil"/>
              <w:bottom w:val="single" w:sz="4" w:space="0" w:color="auto"/>
              <w:right w:val="single" w:sz="4" w:space="0" w:color="auto"/>
            </w:tcBorders>
            <w:shd w:val="clear" w:color="auto" w:fill="C6EFCE"/>
            <w:noWrap/>
            <w:hideMark/>
          </w:tcPr>
          <w:p w14:paraId="6AD20952"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2021</w:t>
            </w:r>
          </w:p>
        </w:tc>
        <w:tc>
          <w:tcPr>
            <w:tcW w:w="3078" w:type="dxa"/>
            <w:tcBorders>
              <w:top w:val="single" w:sz="4" w:space="0" w:color="auto"/>
              <w:left w:val="nil"/>
              <w:bottom w:val="single" w:sz="4" w:space="0" w:color="auto"/>
              <w:right w:val="single" w:sz="4" w:space="0" w:color="auto"/>
            </w:tcBorders>
            <w:shd w:val="clear" w:color="auto" w:fill="C6EFCE"/>
            <w:noWrap/>
            <w:hideMark/>
          </w:tcPr>
          <w:p w14:paraId="16BC9091" w14:textId="460C19DC"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Zakon o oblikah alternativnih investicijskih skladov bo opredelil tri oblike alternativnih investicijskih skladov, in sicer: alternativni vzajemni sklad, ki je oblikovan kot ločeno premoženje, specialno komanditno družbo in investicijsko družbo s stalnim kapitalom. Reforma bo sledila pravnemu okviru EU in priporočilom na področju kapitalskih trgov. </w:t>
            </w:r>
          </w:p>
        </w:tc>
      </w:tr>
      <w:tr w:rsidR="003C6015" w:rsidRPr="00DD6A04" w14:paraId="3276C148" w14:textId="77777777" w:rsidTr="00A70F67">
        <w:trPr>
          <w:trHeight w:val="309"/>
          <w:jc w:val="center"/>
        </w:trPr>
        <w:tc>
          <w:tcPr>
            <w:tcW w:w="1411" w:type="dxa"/>
            <w:tcBorders>
              <w:top w:val="single" w:sz="4" w:space="0" w:color="auto"/>
              <w:left w:val="single" w:sz="4" w:space="0" w:color="auto"/>
              <w:bottom w:val="single" w:sz="4" w:space="0" w:color="auto"/>
              <w:right w:val="single" w:sz="4" w:space="0" w:color="auto"/>
            </w:tcBorders>
            <w:shd w:val="clear" w:color="auto" w:fill="C6EFCE"/>
            <w:noWrap/>
            <w:hideMark/>
          </w:tcPr>
          <w:p w14:paraId="16BB0803"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125</w:t>
            </w:r>
          </w:p>
        </w:tc>
        <w:tc>
          <w:tcPr>
            <w:tcW w:w="1697" w:type="dxa"/>
            <w:tcBorders>
              <w:top w:val="single" w:sz="4" w:space="0" w:color="auto"/>
              <w:left w:val="nil"/>
              <w:bottom w:val="single" w:sz="4" w:space="0" w:color="auto"/>
              <w:right w:val="single" w:sz="4" w:space="0" w:color="auto"/>
            </w:tcBorders>
            <w:shd w:val="clear" w:color="auto" w:fill="C6EFCE"/>
            <w:noWrap/>
            <w:hideMark/>
          </w:tcPr>
          <w:p w14:paraId="202F0AD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A: Krepitev kapitalskih trgov</w:t>
            </w:r>
          </w:p>
        </w:tc>
        <w:tc>
          <w:tcPr>
            <w:tcW w:w="992" w:type="dxa"/>
            <w:tcBorders>
              <w:top w:val="single" w:sz="4" w:space="0" w:color="auto"/>
              <w:left w:val="nil"/>
              <w:bottom w:val="single" w:sz="4" w:space="0" w:color="auto"/>
              <w:right w:val="single" w:sz="4" w:space="0" w:color="auto"/>
            </w:tcBorders>
            <w:shd w:val="clear" w:color="auto" w:fill="C6EFCE"/>
            <w:noWrap/>
            <w:hideMark/>
          </w:tcPr>
          <w:p w14:paraId="47BEE8D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single" w:sz="4" w:space="0" w:color="auto"/>
              <w:left w:val="nil"/>
              <w:bottom w:val="single" w:sz="4" w:space="0" w:color="auto"/>
              <w:right w:val="single" w:sz="4" w:space="0" w:color="auto"/>
            </w:tcBorders>
            <w:shd w:val="clear" w:color="auto" w:fill="C6EFCE"/>
            <w:noWrap/>
            <w:hideMark/>
          </w:tcPr>
          <w:p w14:paraId="01F65B3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Sprejetje strategije razvoja kapitalskega trga</w:t>
            </w:r>
          </w:p>
        </w:tc>
        <w:tc>
          <w:tcPr>
            <w:tcW w:w="2126" w:type="dxa"/>
            <w:tcBorders>
              <w:top w:val="single" w:sz="4" w:space="0" w:color="auto"/>
              <w:left w:val="nil"/>
              <w:bottom w:val="single" w:sz="4" w:space="0" w:color="auto"/>
              <w:right w:val="single" w:sz="4" w:space="0" w:color="auto"/>
            </w:tcBorders>
            <w:shd w:val="clear" w:color="auto" w:fill="C6EFCE"/>
            <w:noWrap/>
            <w:hideMark/>
          </w:tcPr>
          <w:p w14:paraId="6315224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Sprejetje strategije razvoja kapitalskega trga s strani vlade</w:t>
            </w:r>
          </w:p>
        </w:tc>
        <w:tc>
          <w:tcPr>
            <w:tcW w:w="1134" w:type="dxa"/>
            <w:tcBorders>
              <w:top w:val="single" w:sz="4" w:space="0" w:color="auto"/>
              <w:left w:val="nil"/>
              <w:bottom w:val="single" w:sz="4" w:space="0" w:color="auto"/>
              <w:right w:val="single" w:sz="4" w:space="0" w:color="auto"/>
            </w:tcBorders>
            <w:shd w:val="clear" w:color="auto" w:fill="C6EFCE"/>
            <w:noWrap/>
            <w:hideMark/>
          </w:tcPr>
          <w:p w14:paraId="3CD179A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single" w:sz="4" w:space="0" w:color="auto"/>
              <w:left w:val="nil"/>
              <w:bottom w:val="single" w:sz="4" w:space="0" w:color="auto"/>
              <w:right w:val="single" w:sz="4" w:space="0" w:color="auto"/>
            </w:tcBorders>
            <w:shd w:val="clear" w:color="auto" w:fill="C6EFCE"/>
            <w:noWrap/>
            <w:hideMark/>
          </w:tcPr>
          <w:p w14:paraId="4B33F2EC"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859" w:type="dxa"/>
            <w:tcBorders>
              <w:top w:val="single" w:sz="4" w:space="0" w:color="auto"/>
              <w:left w:val="nil"/>
              <w:bottom w:val="single" w:sz="4" w:space="0" w:color="auto"/>
              <w:right w:val="single" w:sz="4" w:space="0" w:color="auto"/>
            </w:tcBorders>
            <w:shd w:val="clear" w:color="auto" w:fill="C6EFCE"/>
            <w:noWrap/>
            <w:hideMark/>
          </w:tcPr>
          <w:p w14:paraId="22FB34FB"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842" w:type="dxa"/>
            <w:tcBorders>
              <w:top w:val="single" w:sz="4" w:space="0" w:color="auto"/>
              <w:left w:val="nil"/>
              <w:bottom w:val="single" w:sz="4" w:space="0" w:color="auto"/>
              <w:right w:val="single" w:sz="4" w:space="0" w:color="auto"/>
            </w:tcBorders>
            <w:shd w:val="clear" w:color="auto" w:fill="C6EFCE"/>
            <w:noWrap/>
            <w:hideMark/>
          </w:tcPr>
          <w:p w14:paraId="1A2C5495"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single" w:sz="4" w:space="0" w:color="auto"/>
              <w:left w:val="nil"/>
              <w:bottom w:val="single" w:sz="4" w:space="0" w:color="auto"/>
              <w:right w:val="single" w:sz="4" w:space="0" w:color="auto"/>
            </w:tcBorders>
            <w:shd w:val="clear" w:color="auto" w:fill="C6EFCE"/>
            <w:noWrap/>
            <w:hideMark/>
          </w:tcPr>
          <w:p w14:paraId="31B591FA"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2022</w:t>
            </w:r>
          </w:p>
        </w:tc>
        <w:tc>
          <w:tcPr>
            <w:tcW w:w="3078" w:type="dxa"/>
            <w:tcBorders>
              <w:top w:val="single" w:sz="4" w:space="0" w:color="auto"/>
              <w:left w:val="nil"/>
              <w:bottom w:val="single" w:sz="4" w:space="0" w:color="auto"/>
              <w:right w:val="single" w:sz="4" w:space="0" w:color="auto"/>
            </w:tcBorders>
            <w:shd w:val="clear" w:color="auto" w:fill="C6EFCE"/>
            <w:noWrap/>
            <w:hideMark/>
          </w:tcPr>
          <w:p w14:paraId="1DADDFF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Strategija vključuje ukrepe za doseganje bolj dinamičnega trga kapitala, tudi s pojavljanjem na trgih znotraj evropske kapitalske unije, vzpostavitvijo kontaktnih točk na vseh svetovnih finančnih trgih, vzpostavitvijo učinkovitega sistema spletnega informiranja o finančnih tehnologijah in drugih inovacijah s področja finančnih storitev ter s prilagoditvijo obstoječih ukrepov. </w:t>
            </w:r>
          </w:p>
        </w:tc>
      </w:tr>
      <w:tr w:rsidR="003C6015" w:rsidRPr="00DD6A04" w14:paraId="216DF74A"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hideMark/>
          </w:tcPr>
          <w:p w14:paraId="10E1AEDE"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126</w:t>
            </w:r>
          </w:p>
        </w:tc>
        <w:tc>
          <w:tcPr>
            <w:tcW w:w="1697" w:type="dxa"/>
            <w:tcBorders>
              <w:top w:val="nil"/>
              <w:left w:val="nil"/>
              <w:bottom w:val="single" w:sz="4" w:space="0" w:color="auto"/>
              <w:right w:val="single" w:sz="4" w:space="0" w:color="auto"/>
            </w:tcBorders>
            <w:shd w:val="clear" w:color="auto" w:fill="C6EFCE"/>
            <w:noWrap/>
            <w:hideMark/>
          </w:tcPr>
          <w:p w14:paraId="3CFE279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B: Produktivnejše gospodarstvo za digitalni in zeleni prehod </w:t>
            </w:r>
          </w:p>
        </w:tc>
        <w:tc>
          <w:tcPr>
            <w:tcW w:w="992" w:type="dxa"/>
            <w:tcBorders>
              <w:top w:val="nil"/>
              <w:left w:val="nil"/>
              <w:bottom w:val="single" w:sz="4" w:space="0" w:color="auto"/>
              <w:right w:val="single" w:sz="4" w:space="0" w:color="auto"/>
            </w:tcBorders>
            <w:shd w:val="clear" w:color="auto" w:fill="C6EFCE"/>
            <w:noWrap/>
            <w:hideMark/>
          </w:tcPr>
          <w:p w14:paraId="7D423E8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nil"/>
              <w:left w:val="nil"/>
              <w:bottom w:val="single" w:sz="4" w:space="0" w:color="auto"/>
              <w:right w:val="single" w:sz="4" w:space="0" w:color="auto"/>
            </w:tcBorders>
            <w:shd w:val="clear" w:color="auto" w:fill="C6EFCE"/>
            <w:noWrap/>
            <w:hideMark/>
          </w:tcPr>
          <w:p w14:paraId="7166678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Začetek veljavnosti sprememb Zakona o spodbujanju investicij z namenom spodbujanja zelenega prehoda</w:t>
            </w:r>
          </w:p>
        </w:tc>
        <w:tc>
          <w:tcPr>
            <w:tcW w:w="2126" w:type="dxa"/>
            <w:tcBorders>
              <w:top w:val="nil"/>
              <w:left w:val="nil"/>
              <w:bottom w:val="single" w:sz="4" w:space="0" w:color="auto"/>
              <w:right w:val="single" w:sz="4" w:space="0" w:color="auto"/>
            </w:tcBorders>
            <w:shd w:val="clear" w:color="auto" w:fill="C6EFCE"/>
            <w:noWrap/>
            <w:hideMark/>
          </w:tcPr>
          <w:p w14:paraId="009DE0B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Zakonodajna določba o začetku veljavnosti sprememb Zakona o spodbujanju investicij </w:t>
            </w:r>
          </w:p>
        </w:tc>
        <w:tc>
          <w:tcPr>
            <w:tcW w:w="1134" w:type="dxa"/>
            <w:tcBorders>
              <w:top w:val="nil"/>
              <w:left w:val="nil"/>
              <w:bottom w:val="single" w:sz="4" w:space="0" w:color="auto"/>
              <w:right w:val="single" w:sz="4" w:space="0" w:color="auto"/>
            </w:tcBorders>
            <w:shd w:val="clear" w:color="auto" w:fill="C6EFCE"/>
            <w:noWrap/>
            <w:hideMark/>
          </w:tcPr>
          <w:p w14:paraId="43C3658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hideMark/>
          </w:tcPr>
          <w:p w14:paraId="3A1B1F6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9" w:type="dxa"/>
            <w:tcBorders>
              <w:top w:val="nil"/>
              <w:left w:val="nil"/>
              <w:bottom w:val="single" w:sz="4" w:space="0" w:color="auto"/>
              <w:right w:val="single" w:sz="4" w:space="0" w:color="auto"/>
            </w:tcBorders>
            <w:shd w:val="clear" w:color="auto" w:fill="C6EFCE"/>
            <w:noWrap/>
            <w:hideMark/>
          </w:tcPr>
          <w:p w14:paraId="3D9151B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42" w:type="dxa"/>
            <w:tcBorders>
              <w:top w:val="nil"/>
              <w:left w:val="nil"/>
              <w:bottom w:val="single" w:sz="4" w:space="0" w:color="auto"/>
              <w:right w:val="single" w:sz="4" w:space="0" w:color="auto"/>
            </w:tcBorders>
            <w:shd w:val="clear" w:color="auto" w:fill="C6EFCE"/>
            <w:noWrap/>
            <w:hideMark/>
          </w:tcPr>
          <w:p w14:paraId="0AF7DCE1"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850" w:type="dxa"/>
            <w:tcBorders>
              <w:top w:val="nil"/>
              <w:left w:val="nil"/>
              <w:bottom w:val="single" w:sz="4" w:space="0" w:color="auto"/>
              <w:right w:val="single" w:sz="4" w:space="0" w:color="auto"/>
            </w:tcBorders>
            <w:shd w:val="clear" w:color="auto" w:fill="C6EFCE"/>
            <w:noWrap/>
            <w:hideMark/>
          </w:tcPr>
          <w:p w14:paraId="61E15497"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2021</w:t>
            </w:r>
          </w:p>
        </w:tc>
        <w:tc>
          <w:tcPr>
            <w:tcW w:w="3078" w:type="dxa"/>
            <w:tcBorders>
              <w:top w:val="nil"/>
              <w:left w:val="nil"/>
              <w:bottom w:val="single" w:sz="4" w:space="0" w:color="auto"/>
              <w:right w:val="single" w:sz="4" w:space="0" w:color="auto"/>
            </w:tcBorders>
            <w:shd w:val="clear" w:color="auto" w:fill="C6EFCE"/>
            <w:noWrap/>
            <w:hideMark/>
          </w:tcPr>
          <w:p w14:paraId="1C770F2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Sprememba bo zagotovila, da bodo merila za javno podporo investicijam podjetij osredotočena na visoko produktivne, trajnostne in digitalno usmerjene poslovne modele in investicije.</w:t>
            </w:r>
          </w:p>
          <w:p w14:paraId="1E8E27E3" w14:textId="77777777" w:rsidR="003C6015" w:rsidRPr="00DD6A04" w:rsidRDefault="003C6015" w:rsidP="003C6015">
            <w:pPr>
              <w:spacing w:before="0" w:after="0" w:line="240" w:lineRule="auto"/>
              <w:rPr>
                <w:rFonts w:eastAsia="Times New Roman"/>
                <w:noProof/>
                <w:color w:val="006100"/>
                <w:sz w:val="22"/>
                <w:lang w:val="en-GB" w:eastAsia="en-GB"/>
              </w:rPr>
            </w:pPr>
          </w:p>
          <w:p w14:paraId="4E9CF09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Vse podprte investicije bodo vključevale pogoje za spodbujanje zelenega prehoda, vključno z zahtevami glede energetske učinkovitosti, okoljsko odgovornim ravnanjem in snovno učinkovitostjo proizvodnje. </w:t>
            </w:r>
          </w:p>
          <w:p w14:paraId="75C631AF" w14:textId="77777777" w:rsidR="003C6015" w:rsidRPr="00DD6A04" w:rsidRDefault="003C6015" w:rsidP="003C6015">
            <w:pPr>
              <w:spacing w:before="0" w:after="0" w:line="240" w:lineRule="auto"/>
              <w:rPr>
                <w:rFonts w:eastAsia="Times New Roman"/>
                <w:noProof/>
                <w:color w:val="006100"/>
                <w:sz w:val="22"/>
                <w:lang w:val="en-GB" w:eastAsia="en-GB"/>
              </w:rPr>
            </w:pPr>
          </w:p>
          <w:p w14:paraId="4F6CF13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Merila za izbor bodo zagotavljala tudi, da bodo izbrani projekti skladni s tehničnimi smernicami za uporabo načela, da se ne škoduje bistveno (2021/C58/01), in sicer z uporabo seznama za izključitev in zahteve po skladnosti z ustrezno okoljsko zakonodajo EU in nacionalno okoljsko zakonodajo.</w:t>
            </w:r>
          </w:p>
        </w:tc>
      </w:tr>
      <w:tr w:rsidR="003C6015" w:rsidRPr="00DD6A04" w14:paraId="6F1AA913"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hideMark/>
          </w:tcPr>
          <w:p w14:paraId="12B4897C"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127</w:t>
            </w:r>
          </w:p>
        </w:tc>
        <w:tc>
          <w:tcPr>
            <w:tcW w:w="1697" w:type="dxa"/>
            <w:tcBorders>
              <w:top w:val="nil"/>
              <w:left w:val="nil"/>
              <w:bottom w:val="single" w:sz="4" w:space="0" w:color="auto"/>
              <w:right w:val="single" w:sz="4" w:space="0" w:color="auto"/>
            </w:tcBorders>
            <w:shd w:val="clear" w:color="auto" w:fill="C6EFCE"/>
            <w:noWrap/>
            <w:hideMark/>
          </w:tcPr>
          <w:p w14:paraId="330B04F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B: Produktivnejše gospodarstvo za digitalni in zeleni prehod </w:t>
            </w:r>
          </w:p>
        </w:tc>
        <w:tc>
          <w:tcPr>
            <w:tcW w:w="992" w:type="dxa"/>
            <w:tcBorders>
              <w:top w:val="nil"/>
              <w:left w:val="nil"/>
              <w:bottom w:val="single" w:sz="4" w:space="0" w:color="auto"/>
              <w:right w:val="single" w:sz="4" w:space="0" w:color="auto"/>
            </w:tcBorders>
            <w:shd w:val="clear" w:color="auto" w:fill="C6EFCE"/>
            <w:noWrap/>
            <w:hideMark/>
          </w:tcPr>
          <w:p w14:paraId="48CAEE1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nil"/>
              <w:left w:val="nil"/>
              <w:bottom w:val="single" w:sz="4" w:space="0" w:color="auto"/>
              <w:right w:val="single" w:sz="4" w:space="0" w:color="auto"/>
            </w:tcBorders>
            <w:shd w:val="clear" w:color="auto" w:fill="C6EFCE"/>
            <w:noWrap/>
            <w:hideMark/>
          </w:tcPr>
          <w:p w14:paraId="2C1CF18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Začetek veljavnosti izvedbenega predpisa Zakona o spodbujanju investicij</w:t>
            </w:r>
          </w:p>
        </w:tc>
        <w:tc>
          <w:tcPr>
            <w:tcW w:w="2126" w:type="dxa"/>
            <w:tcBorders>
              <w:top w:val="nil"/>
              <w:left w:val="nil"/>
              <w:bottom w:val="single" w:sz="4" w:space="0" w:color="auto"/>
              <w:right w:val="single" w:sz="4" w:space="0" w:color="auto"/>
            </w:tcBorders>
            <w:shd w:val="clear" w:color="auto" w:fill="C6EFCE"/>
            <w:noWrap/>
            <w:hideMark/>
          </w:tcPr>
          <w:p w14:paraId="6D6B781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Določba v predpisu, ki določa začetek veljavnosti izvedbenega predpisa Zakona o spodbujanju investicij</w:t>
            </w:r>
          </w:p>
        </w:tc>
        <w:tc>
          <w:tcPr>
            <w:tcW w:w="1134" w:type="dxa"/>
            <w:tcBorders>
              <w:top w:val="nil"/>
              <w:left w:val="nil"/>
              <w:bottom w:val="single" w:sz="4" w:space="0" w:color="auto"/>
              <w:right w:val="single" w:sz="4" w:space="0" w:color="auto"/>
            </w:tcBorders>
            <w:shd w:val="clear" w:color="auto" w:fill="C6EFCE"/>
            <w:noWrap/>
            <w:hideMark/>
          </w:tcPr>
          <w:p w14:paraId="4EEB5B0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hideMark/>
          </w:tcPr>
          <w:p w14:paraId="361016C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9" w:type="dxa"/>
            <w:tcBorders>
              <w:top w:val="nil"/>
              <w:left w:val="nil"/>
              <w:bottom w:val="single" w:sz="4" w:space="0" w:color="auto"/>
              <w:right w:val="single" w:sz="4" w:space="0" w:color="auto"/>
            </w:tcBorders>
            <w:shd w:val="clear" w:color="auto" w:fill="C6EFCE"/>
            <w:noWrap/>
            <w:hideMark/>
          </w:tcPr>
          <w:p w14:paraId="2247889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42" w:type="dxa"/>
            <w:tcBorders>
              <w:top w:val="nil"/>
              <w:left w:val="nil"/>
              <w:bottom w:val="single" w:sz="4" w:space="0" w:color="auto"/>
              <w:right w:val="single" w:sz="4" w:space="0" w:color="auto"/>
            </w:tcBorders>
            <w:shd w:val="clear" w:color="auto" w:fill="C6EFCE"/>
            <w:noWrap/>
            <w:hideMark/>
          </w:tcPr>
          <w:p w14:paraId="2D500C0E"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nil"/>
              <w:left w:val="nil"/>
              <w:bottom w:val="single" w:sz="4" w:space="0" w:color="auto"/>
              <w:right w:val="single" w:sz="4" w:space="0" w:color="auto"/>
            </w:tcBorders>
            <w:shd w:val="clear" w:color="auto" w:fill="C6EFCE"/>
            <w:noWrap/>
            <w:hideMark/>
          </w:tcPr>
          <w:p w14:paraId="72EB50F2"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2022</w:t>
            </w:r>
          </w:p>
        </w:tc>
        <w:tc>
          <w:tcPr>
            <w:tcW w:w="3078" w:type="dxa"/>
            <w:tcBorders>
              <w:top w:val="nil"/>
              <w:left w:val="nil"/>
              <w:bottom w:val="single" w:sz="4" w:space="0" w:color="auto"/>
              <w:right w:val="single" w:sz="4" w:space="0" w:color="auto"/>
            </w:tcBorders>
            <w:shd w:val="clear" w:color="auto" w:fill="C6EFCE"/>
            <w:noWrap/>
            <w:hideMark/>
          </w:tcPr>
          <w:p w14:paraId="488D484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Izvedbeni predpis bo nadalje določil povezana merila v skladu z Zakonom o spodbujanju investicij, zlasti v zvezi z energetsko učinkovitostjo, snovno učinkovitostjo, dolgoročnim vključevanjem investicij v regiji, družbeno odgovornostjo, okoljskim vplivom investicije, prispevkom investicij k prehodu na krožno gospodarstvo, ki temelji na naravnih virih, ki vodi v zmanjšanje emisij toplogrednih plinov in proizvodnjo z manjšim ogljičnim odtisom, lokacijo na razvrednotenem območju z ustrezno namembnostjo ali v obstoječi poslovni coni, učinki investicije na usklajen regionalni razvoj, vključevanjem prostorskih investicij in pozitivnim vplivom lokalnega prostorskega razvoja.</w:t>
            </w:r>
          </w:p>
        </w:tc>
      </w:tr>
      <w:tr w:rsidR="003C6015" w:rsidRPr="00DD6A04" w14:paraId="173F8586"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hideMark/>
          </w:tcPr>
          <w:p w14:paraId="6CD54392"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128</w:t>
            </w:r>
          </w:p>
        </w:tc>
        <w:tc>
          <w:tcPr>
            <w:tcW w:w="1697" w:type="dxa"/>
            <w:tcBorders>
              <w:top w:val="nil"/>
              <w:left w:val="nil"/>
              <w:bottom w:val="single" w:sz="4" w:space="0" w:color="auto"/>
              <w:right w:val="single" w:sz="4" w:space="0" w:color="auto"/>
            </w:tcBorders>
            <w:shd w:val="clear" w:color="auto" w:fill="C6EFCE"/>
            <w:noWrap/>
            <w:hideMark/>
          </w:tcPr>
          <w:p w14:paraId="4C8E3A0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 Podpora za dekarbonizacijo, produktivnost in konkurenčnost podjetij</w:t>
            </w:r>
          </w:p>
        </w:tc>
        <w:tc>
          <w:tcPr>
            <w:tcW w:w="992" w:type="dxa"/>
            <w:tcBorders>
              <w:top w:val="nil"/>
              <w:left w:val="nil"/>
              <w:bottom w:val="single" w:sz="4" w:space="0" w:color="auto"/>
              <w:right w:val="single" w:sz="4" w:space="0" w:color="auto"/>
            </w:tcBorders>
            <w:shd w:val="clear" w:color="auto" w:fill="C6EFCE"/>
            <w:noWrap/>
            <w:hideMark/>
          </w:tcPr>
          <w:p w14:paraId="0755712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nil"/>
              <w:left w:val="nil"/>
              <w:bottom w:val="single" w:sz="4" w:space="0" w:color="auto"/>
              <w:right w:val="single" w:sz="4" w:space="0" w:color="auto"/>
            </w:tcBorders>
            <w:shd w:val="clear" w:color="auto" w:fill="C6EFCE"/>
            <w:noWrap/>
            <w:hideMark/>
          </w:tcPr>
          <w:p w14:paraId="73E348CC" w14:textId="5948F2E6"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Izdaja sklepov o sofinanciranju projektov v podporo regionalnemu razvoju </w:t>
            </w:r>
          </w:p>
        </w:tc>
        <w:tc>
          <w:tcPr>
            <w:tcW w:w="2126" w:type="dxa"/>
            <w:tcBorders>
              <w:top w:val="nil"/>
              <w:left w:val="nil"/>
              <w:bottom w:val="single" w:sz="4" w:space="0" w:color="auto"/>
              <w:right w:val="single" w:sz="4" w:space="0" w:color="auto"/>
            </w:tcBorders>
            <w:shd w:val="clear" w:color="auto" w:fill="C6EFCE"/>
            <w:noWrap/>
            <w:hideMark/>
          </w:tcPr>
          <w:p w14:paraId="716CB39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nil"/>
              <w:left w:val="nil"/>
              <w:bottom w:val="single" w:sz="4" w:space="0" w:color="auto"/>
              <w:right w:val="single" w:sz="4" w:space="0" w:color="auto"/>
            </w:tcBorders>
            <w:shd w:val="clear" w:color="auto" w:fill="C6EFCE"/>
            <w:noWrap/>
            <w:hideMark/>
          </w:tcPr>
          <w:p w14:paraId="7231AC7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hideMark/>
          </w:tcPr>
          <w:p w14:paraId="76B18B7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9" w:type="dxa"/>
            <w:tcBorders>
              <w:top w:val="nil"/>
              <w:left w:val="nil"/>
              <w:bottom w:val="single" w:sz="4" w:space="0" w:color="auto"/>
              <w:right w:val="single" w:sz="4" w:space="0" w:color="auto"/>
            </w:tcBorders>
            <w:shd w:val="clear" w:color="auto" w:fill="C6EFCE"/>
            <w:noWrap/>
            <w:hideMark/>
          </w:tcPr>
          <w:p w14:paraId="144076C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42" w:type="dxa"/>
            <w:tcBorders>
              <w:top w:val="nil"/>
              <w:left w:val="nil"/>
              <w:bottom w:val="single" w:sz="4" w:space="0" w:color="auto"/>
              <w:right w:val="single" w:sz="4" w:space="0" w:color="auto"/>
            </w:tcBorders>
            <w:shd w:val="clear" w:color="auto" w:fill="C6EFCE"/>
            <w:noWrap/>
            <w:hideMark/>
          </w:tcPr>
          <w:p w14:paraId="08187CD8"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nil"/>
              <w:left w:val="nil"/>
              <w:bottom w:val="single" w:sz="4" w:space="0" w:color="auto"/>
              <w:right w:val="single" w:sz="4" w:space="0" w:color="auto"/>
            </w:tcBorders>
            <w:shd w:val="clear" w:color="auto" w:fill="C6EFCE"/>
            <w:noWrap/>
            <w:hideMark/>
          </w:tcPr>
          <w:p w14:paraId="2E7A1CD2"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2022</w:t>
            </w:r>
          </w:p>
        </w:tc>
        <w:tc>
          <w:tcPr>
            <w:tcW w:w="3078" w:type="dxa"/>
            <w:tcBorders>
              <w:top w:val="nil"/>
              <w:left w:val="nil"/>
              <w:bottom w:val="single" w:sz="4" w:space="0" w:color="auto"/>
              <w:right w:val="single" w:sz="4" w:space="0" w:color="auto"/>
            </w:tcBorders>
            <w:shd w:val="clear" w:color="auto" w:fill="C6EFCE"/>
            <w:noWrap/>
            <w:hideMark/>
          </w:tcPr>
          <w:p w14:paraId="1DB08087" w14:textId="5E9B438F"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Izdaja sklepov o sofinanciranju projektov v podporo regionalnemu razvoju z investicijami v osnovna opredmetena in neopredmetena sredstva. Projekti bodo izbrani na podlagi Zakona o spodbujanju regionalnega razvoja in bodo skladni s tehničnimi smernicami za uporabo načela, da se ne škoduje bistveno (2021/C58/01), in sicer z uporabo seznama za izključitev in zahteve po skladnosti z ustrezno okoljsko zakonodajo EU in nacionalno okoljsko zakonodajo. </w:t>
            </w:r>
          </w:p>
        </w:tc>
      </w:tr>
      <w:tr w:rsidR="003C6015" w:rsidRPr="00DD6A04" w14:paraId="3644F808"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tcPr>
          <w:p w14:paraId="7AF22E48"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129</w:t>
            </w:r>
          </w:p>
        </w:tc>
        <w:tc>
          <w:tcPr>
            <w:tcW w:w="1697" w:type="dxa"/>
            <w:tcBorders>
              <w:top w:val="nil"/>
              <w:left w:val="nil"/>
              <w:bottom w:val="single" w:sz="4" w:space="0" w:color="auto"/>
              <w:right w:val="single" w:sz="4" w:space="0" w:color="auto"/>
            </w:tcBorders>
            <w:shd w:val="clear" w:color="auto" w:fill="C6EFCE"/>
            <w:noWrap/>
          </w:tcPr>
          <w:p w14:paraId="37E680B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 Podpora za dekarbonizacijo, produktivnost in konkurenčnost podjetij</w:t>
            </w:r>
          </w:p>
        </w:tc>
        <w:tc>
          <w:tcPr>
            <w:tcW w:w="992" w:type="dxa"/>
            <w:tcBorders>
              <w:top w:val="nil"/>
              <w:left w:val="nil"/>
              <w:bottom w:val="single" w:sz="4" w:space="0" w:color="auto"/>
              <w:right w:val="single" w:sz="4" w:space="0" w:color="auto"/>
            </w:tcBorders>
            <w:shd w:val="clear" w:color="auto" w:fill="C6EFCE"/>
            <w:noWrap/>
          </w:tcPr>
          <w:p w14:paraId="20E57A7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nil"/>
              <w:left w:val="nil"/>
              <w:bottom w:val="single" w:sz="4" w:space="0" w:color="auto"/>
              <w:right w:val="single" w:sz="4" w:space="0" w:color="auto"/>
            </w:tcBorders>
            <w:shd w:val="clear" w:color="auto" w:fill="C6EFCE"/>
            <w:noWrap/>
          </w:tcPr>
          <w:p w14:paraId="1E975290" w14:textId="78B9B144" w:rsidR="003C6015" w:rsidRPr="00DD6A04" w:rsidRDefault="003C6015" w:rsidP="003C6015">
            <w:pPr>
              <w:spacing w:before="0" w:after="0" w:line="240" w:lineRule="auto"/>
              <w:rPr>
                <w:rFonts w:eastAsia="Times New Roman"/>
                <w:noProof/>
                <w:color w:val="006100"/>
                <w:sz w:val="22"/>
              </w:rPr>
            </w:pPr>
            <w:r>
              <w:rPr>
                <w:noProof/>
                <w:color w:val="006100"/>
                <w:sz w:val="22"/>
              </w:rPr>
              <w:t>Izdaja sklepov o sofinanciranju projektov za spodbujanje investicij</w:t>
            </w:r>
          </w:p>
          <w:p w14:paraId="2E472E6A" w14:textId="77777777" w:rsidR="003C6015" w:rsidRPr="00DD6A04" w:rsidRDefault="003C6015" w:rsidP="003C6015">
            <w:pPr>
              <w:spacing w:before="0" w:after="0" w:line="240" w:lineRule="auto"/>
              <w:rPr>
                <w:rFonts w:eastAsia="Times New Roman"/>
                <w:noProof/>
                <w:color w:val="006100"/>
                <w:sz w:val="22"/>
                <w:lang w:val="en-GB" w:eastAsia="en-GB"/>
              </w:rPr>
            </w:pPr>
          </w:p>
        </w:tc>
        <w:tc>
          <w:tcPr>
            <w:tcW w:w="2126" w:type="dxa"/>
            <w:tcBorders>
              <w:top w:val="nil"/>
              <w:left w:val="nil"/>
              <w:bottom w:val="single" w:sz="4" w:space="0" w:color="auto"/>
              <w:right w:val="single" w:sz="4" w:space="0" w:color="auto"/>
            </w:tcBorders>
            <w:shd w:val="clear" w:color="auto" w:fill="C6EFCE"/>
            <w:noWrap/>
          </w:tcPr>
          <w:p w14:paraId="7BCC52A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nil"/>
              <w:left w:val="nil"/>
              <w:bottom w:val="single" w:sz="4" w:space="0" w:color="auto"/>
              <w:right w:val="single" w:sz="4" w:space="0" w:color="auto"/>
            </w:tcBorders>
            <w:shd w:val="clear" w:color="auto" w:fill="C6EFCE"/>
            <w:noWrap/>
          </w:tcPr>
          <w:p w14:paraId="688BA8B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50D4121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9" w:type="dxa"/>
            <w:tcBorders>
              <w:top w:val="nil"/>
              <w:left w:val="nil"/>
              <w:bottom w:val="single" w:sz="4" w:space="0" w:color="auto"/>
              <w:right w:val="single" w:sz="4" w:space="0" w:color="auto"/>
            </w:tcBorders>
            <w:shd w:val="clear" w:color="auto" w:fill="C6EFCE"/>
            <w:noWrap/>
          </w:tcPr>
          <w:p w14:paraId="72C6597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42" w:type="dxa"/>
            <w:tcBorders>
              <w:top w:val="nil"/>
              <w:left w:val="nil"/>
              <w:bottom w:val="single" w:sz="4" w:space="0" w:color="auto"/>
              <w:right w:val="single" w:sz="4" w:space="0" w:color="auto"/>
            </w:tcBorders>
            <w:shd w:val="clear" w:color="auto" w:fill="C6EFCE"/>
            <w:noWrap/>
          </w:tcPr>
          <w:p w14:paraId="3E62052A"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nil"/>
              <w:left w:val="nil"/>
              <w:bottom w:val="single" w:sz="4" w:space="0" w:color="auto"/>
              <w:right w:val="single" w:sz="4" w:space="0" w:color="auto"/>
            </w:tcBorders>
            <w:shd w:val="clear" w:color="auto" w:fill="C6EFCE"/>
            <w:noWrap/>
          </w:tcPr>
          <w:p w14:paraId="516CF040"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2023</w:t>
            </w:r>
          </w:p>
        </w:tc>
        <w:tc>
          <w:tcPr>
            <w:tcW w:w="3078" w:type="dxa"/>
            <w:tcBorders>
              <w:top w:val="nil"/>
              <w:left w:val="nil"/>
              <w:bottom w:val="single" w:sz="4" w:space="0" w:color="auto"/>
              <w:right w:val="single" w:sz="4" w:space="0" w:color="auto"/>
            </w:tcBorders>
            <w:shd w:val="clear" w:color="auto" w:fill="C6EFCE"/>
            <w:noWrap/>
          </w:tcPr>
          <w:p w14:paraId="5B49B8D7" w14:textId="75E5D641" w:rsidR="003C6015" w:rsidRPr="00DD6A04" w:rsidRDefault="003C6015" w:rsidP="003C6015">
            <w:pPr>
              <w:spacing w:before="0" w:after="0" w:line="240" w:lineRule="auto"/>
              <w:rPr>
                <w:rFonts w:eastAsia="Times New Roman"/>
                <w:noProof/>
                <w:color w:val="006100"/>
                <w:sz w:val="22"/>
              </w:rPr>
            </w:pPr>
            <w:r>
              <w:rPr>
                <w:noProof/>
                <w:color w:val="006100"/>
                <w:sz w:val="22"/>
              </w:rPr>
              <w:t>Izdaja sklepov o sofinanciranju projektov, ki spodbujajo investicije v proizvodnjo, storitve ter razvojno-raziskovalne dejavnosti z investicijami v osnovna opredmetena in neopredmetena sredstva. Projekti bodo skladni z Zakonom o spodbujanju investicij, kakor se spremeni v okviru mejnika 126, vključno s skladnostjo s tehničnimi smernicami za uporabo načela, da se ne škoduje bistveno (2021/C58/01), in sicer z uporabo seznama za izključitev in zahteve po skladnosti z ustrezno okoljsko zakonodajo EU in nacionalno okoljsko zakonodajo.</w:t>
            </w:r>
          </w:p>
        </w:tc>
      </w:tr>
      <w:tr w:rsidR="003C6015" w:rsidRPr="00DD6A04" w14:paraId="0C9B4710"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tcPr>
          <w:p w14:paraId="0EEC2247"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130</w:t>
            </w:r>
          </w:p>
        </w:tc>
        <w:tc>
          <w:tcPr>
            <w:tcW w:w="1697" w:type="dxa"/>
            <w:tcBorders>
              <w:top w:val="nil"/>
              <w:left w:val="nil"/>
              <w:bottom w:val="single" w:sz="4" w:space="0" w:color="auto"/>
              <w:right w:val="single" w:sz="4" w:space="0" w:color="auto"/>
            </w:tcBorders>
            <w:shd w:val="clear" w:color="auto" w:fill="C6EFCE"/>
            <w:noWrap/>
          </w:tcPr>
          <w:p w14:paraId="13EBA95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 Podpora za dekarbonizacijo, produktivnost in konkurenčnost podjetij</w:t>
            </w:r>
          </w:p>
        </w:tc>
        <w:tc>
          <w:tcPr>
            <w:tcW w:w="992" w:type="dxa"/>
            <w:tcBorders>
              <w:top w:val="nil"/>
              <w:left w:val="nil"/>
              <w:bottom w:val="single" w:sz="4" w:space="0" w:color="auto"/>
              <w:right w:val="single" w:sz="4" w:space="0" w:color="auto"/>
            </w:tcBorders>
            <w:shd w:val="clear" w:color="auto" w:fill="C6EFCE"/>
            <w:noWrap/>
          </w:tcPr>
          <w:p w14:paraId="52CBC37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nil"/>
              <w:left w:val="nil"/>
              <w:bottom w:val="single" w:sz="4" w:space="0" w:color="auto"/>
              <w:right w:val="single" w:sz="4" w:space="0" w:color="auto"/>
            </w:tcBorders>
            <w:shd w:val="clear" w:color="auto" w:fill="C6EFCE"/>
            <w:noWrap/>
          </w:tcPr>
          <w:p w14:paraId="6E15D4A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Dokončani projekti za spodbujanje investicij </w:t>
            </w:r>
          </w:p>
        </w:tc>
        <w:tc>
          <w:tcPr>
            <w:tcW w:w="2126" w:type="dxa"/>
            <w:tcBorders>
              <w:top w:val="nil"/>
              <w:left w:val="nil"/>
              <w:bottom w:val="single" w:sz="4" w:space="0" w:color="auto"/>
              <w:right w:val="single" w:sz="4" w:space="0" w:color="auto"/>
            </w:tcBorders>
            <w:shd w:val="clear" w:color="auto" w:fill="C6EFCE"/>
            <w:noWrap/>
          </w:tcPr>
          <w:p w14:paraId="568B647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34" w:type="dxa"/>
            <w:tcBorders>
              <w:top w:val="nil"/>
              <w:left w:val="nil"/>
              <w:bottom w:val="single" w:sz="4" w:space="0" w:color="auto"/>
              <w:right w:val="single" w:sz="4" w:space="0" w:color="auto"/>
            </w:tcBorders>
            <w:shd w:val="clear" w:color="auto" w:fill="C6EFCE"/>
            <w:noWrap/>
          </w:tcPr>
          <w:p w14:paraId="3C999E1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993" w:type="dxa"/>
            <w:tcBorders>
              <w:top w:val="nil"/>
              <w:left w:val="nil"/>
              <w:bottom w:val="single" w:sz="4" w:space="0" w:color="auto"/>
              <w:right w:val="single" w:sz="4" w:space="0" w:color="auto"/>
            </w:tcBorders>
            <w:shd w:val="clear" w:color="auto" w:fill="C6EFCE"/>
            <w:noWrap/>
          </w:tcPr>
          <w:p w14:paraId="6C51C98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859" w:type="dxa"/>
            <w:tcBorders>
              <w:top w:val="nil"/>
              <w:left w:val="nil"/>
              <w:bottom w:val="single" w:sz="4" w:space="0" w:color="auto"/>
              <w:right w:val="single" w:sz="4" w:space="0" w:color="auto"/>
            </w:tcBorders>
            <w:shd w:val="clear" w:color="auto" w:fill="C6EFCE"/>
            <w:noWrap/>
          </w:tcPr>
          <w:p w14:paraId="18ADAB6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59</w:t>
            </w:r>
          </w:p>
        </w:tc>
        <w:tc>
          <w:tcPr>
            <w:tcW w:w="842" w:type="dxa"/>
            <w:tcBorders>
              <w:top w:val="nil"/>
              <w:left w:val="nil"/>
              <w:bottom w:val="single" w:sz="4" w:space="0" w:color="auto"/>
              <w:right w:val="single" w:sz="4" w:space="0" w:color="auto"/>
            </w:tcBorders>
            <w:shd w:val="clear" w:color="auto" w:fill="C6EFCE"/>
            <w:noWrap/>
          </w:tcPr>
          <w:p w14:paraId="599509B2"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nil"/>
              <w:left w:val="nil"/>
              <w:bottom w:val="single" w:sz="4" w:space="0" w:color="auto"/>
              <w:right w:val="single" w:sz="4" w:space="0" w:color="auto"/>
            </w:tcBorders>
            <w:shd w:val="clear" w:color="auto" w:fill="C6EFCE"/>
            <w:noWrap/>
          </w:tcPr>
          <w:p w14:paraId="45A1E0DC"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2026</w:t>
            </w:r>
          </w:p>
        </w:tc>
        <w:tc>
          <w:tcPr>
            <w:tcW w:w="3078" w:type="dxa"/>
            <w:tcBorders>
              <w:top w:val="nil"/>
              <w:left w:val="nil"/>
              <w:bottom w:val="single" w:sz="4" w:space="0" w:color="auto"/>
              <w:right w:val="single" w:sz="4" w:space="0" w:color="auto"/>
            </w:tcBorders>
            <w:shd w:val="clear" w:color="auto" w:fill="C6EFCE"/>
            <w:noWrap/>
          </w:tcPr>
          <w:p w14:paraId="6E3C20A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Projekti, uspešno dokončani v skladu z zahtevami iz mejnika 129.</w:t>
            </w:r>
          </w:p>
          <w:p w14:paraId="13BE750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Skupni znesek financiranja bo najmanj 88 500 000 EUR.</w:t>
            </w:r>
          </w:p>
        </w:tc>
      </w:tr>
      <w:tr w:rsidR="003C6015" w:rsidRPr="00DD6A04" w14:paraId="49DAA475"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tcPr>
          <w:p w14:paraId="3C01DDEB"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131</w:t>
            </w:r>
          </w:p>
        </w:tc>
        <w:tc>
          <w:tcPr>
            <w:tcW w:w="1697" w:type="dxa"/>
            <w:tcBorders>
              <w:top w:val="nil"/>
              <w:left w:val="nil"/>
              <w:bottom w:val="single" w:sz="4" w:space="0" w:color="auto"/>
              <w:right w:val="single" w:sz="4" w:space="0" w:color="auto"/>
            </w:tcBorders>
            <w:shd w:val="clear" w:color="auto" w:fill="C6EFCE"/>
            <w:noWrap/>
          </w:tcPr>
          <w:p w14:paraId="2EAB678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 Podpora za dekarbonizacijo, produktivnost in konkurenčnost podjetij</w:t>
            </w:r>
          </w:p>
        </w:tc>
        <w:tc>
          <w:tcPr>
            <w:tcW w:w="992" w:type="dxa"/>
            <w:tcBorders>
              <w:top w:val="nil"/>
              <w:left w:val="nil"/>
              <w:bottom w:val="single" w:sz="4" w:space="0" w:color="auto"/>
              <w:right w:val="single" w:sz="4" w:space="0" w:color="auto"/>
            </w:tcBorders>
            <w:shd w:val="clear" w:color="auto" w:fill="C6EFCE"/>
            <w:noWrap/>
          </w:tcPr>
          <w:p w14:paraId="00B0444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nil"/>
              <w:left w:val="nil"/>
              <w:bottom w:val="single" w:sz="4" w:space="0" w:color="auto"/>
              <w:right w:val="single" w:sz="4" w:space="0" w:color="auto"/>
            </w:tcBorders>
            <w:shd w:val="clear" w:color="auto" w:fill="C6EFCE"/>
            <w:noWrap/>
          </w:tcPr>
          <w:p w14:paraId="0537DFD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Dokončani projekti v podporo regionalnemu razvoju </w:t>
            </w:r>
          </w:p>
        </w:tc>
        <w:tc>
          <w:tcPr>
            <w:tcW w:w="2126" w:type="dxa"/>
            <w:tcBorders>
              <w:top w:val="nil"/>
              <w:left w:val="nil"/>
              <w:bottom w:val="single" w:sz="4" w:space="0" w:color="auto"/>
              <w:right w:val="single" w:sz="4" w:space="0" w:color="auto"/>
            </w:tcBorders>
            <w:shd w:val="clear" w:color="auto" w:fill="C6EFCE"/>
            <w:noWrap/>
          </w:tcPr>
          <w:p w14:paraId="4B91F2B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34" w:type="dxa"/>
            <w:tcBorders>
              <w:top w:val="nil"/>
              <w:left w:val="nil"/>
              <w:bottom w:val="single" w:sz="4" w:space="0" w:color="auto"/>
              <w:right w:val="single" w:sz="4" w:space="0" w:color="auto"/>
            </w:tcBorders>
            <w:shd w:val="clear" w:color="auto" w:fill="C6EFCE"/>
            <w:noWrap/>
          </w:tcPr>
          <w:p w14:paraId="391A79F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993" w:type="dxa"/>
            <w:tcBorders>
              <w:top w:val="nil"/>
              <w:left w:val="nil"/>
              <w:bottom w:val="single" w:sz="4" w:space="0" w:color="auto"/>
              <w:right w:val="single" w:sz="4" w:space="0" w:color="auto"/>
            </w:tcBorders>
            <w:shd w:val="clear" w:color="auto" w:fill="C6EFCE"/>
            <w:noWrap/>
          </w:tcPr>
          <w:p w14:paraId="47C5B48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859" w:type="dxa"/>
            <w:tcBorders>
              <w:top w:val="nil"/>
              <w:left w:val="nil"/>
              <w:bottom w:val="single" w:sz="4" w:space="0" w:color="auto"/>
              <w:right w:val="single" w:sz="4" w:space="0" w:color="auto"/>
            </w:tcBorders>
            <w:shd w:val="clear" w:color="auto" w:fill="C6EFCE"/>
            <w:noWrap/>
          </w:tcPr>
          <w:p w14:paraId="06AB5093" w14:textId="0D5972AE" w:rsidR="003C6015" w:rsidRPr="00DD6A04" w:rsidRDefault="00421A4C" w:rsidP="003C6015">
            <w:pPr>
              <w:spacing w:before="0" w:after="0" w:line="240" w:lineRule="auto"/>
              <w:rPr>
                <w:rFonts w:eastAsia="Times New Roman"/>
                <w:noProof/>
                <w:color w:val="006100"/>
                <w:sz w:val="22"/>
              </w:rPr>
            </w:pPr>
            <w:r>
              <w:rPr>
                <w:noProof/>
                <w:color w:val="006100"/>
                <w:sz w:val="22"/>
              </w:rPr>
              <w:t>157</w:t>
            </w:r>
          </w:p>
        </w:tc>
        <w:tc>
          <w:tcPr>
            <w:tcW w:w="842" w:type="dxa"/>
            <w:tcBorders>
              <w:top w:val="nil"/>
              <w:left w:val="nil"/>
              <w:bottom w:val="single" w:sz="4" w:space="0" w:color="auto"/>
              <w:right w:val="single" w:sz="4" w:space="0" w:color="auto"/>
            </w:tcBorders>
            <w:shd w:val="clear" w:color="auto" w:fill="C6EFCE"/>
            <w:noWrap/>
          </w:tcPr>
          <w:p w14:paraId="753ECD59"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850" w:type="dxa"/>
            <w:tcBorders>
              <w:top w:val="nil"/>
              <w:left w:val="nil"/>
              <w:bottom w:val="single" w:sz="4" w:space="0" w:color="auto"/>
              <w:right w:val="single" w:sz="4" w:space="0" w:color="auto"/>
            </w:tcBorders>
            <w:shd w:val="clear" w:color="auto" w:fill="C6EFCE"/>
            <w:noWrap/>
          </w:tcPr>
          <w:p w14:paraId="0558C725"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2025</w:t>
            </w:r>
          </w:p>
        </w:tc>
        <w:tc>
          <w:tcPr>
            <w:tcW w:w="3078" w:type="dxa"/>
            <w:tcBorders>
              <w:top w:val="nil"/>
              <w:left w:val="nil"/>
              <w:bottom w:val="single" w:sz="4" w:space="0" w:color="auto"/>
              <w:right w:val="single" w:sz="4" w:space="0" w:color="auto"/>
            </w:tcBorders>
            <w:shd w:val="clear" w:color="auto" w:fill="C6EFCE"/>
            <w:noWrap/>
          </w:tcPr>
          <w:p w14:paraId="39DC9B0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Projekti, uspešno dokončani v skladu z zahtevami iz mejnika 128.</w:t>
            </w:r>
          </w:p>
          <w:p w14:paraId="5F33308E" w14:textId="77777777" w:rsidR="003C6015" w:rsidRPr="00DD6A04" w:rsidRDefault="003C6015" w:rsidP="003C6015">
            <w:pPr>
              <w:spacing w:before="0" w:after="0" w:line="240" w:lineRule="auto"/>
              <w:rPr>
                <w:rFonts w:eastAsia="Times New Roman"/>
                <w:noProof/>
                <w:color w:val="006100"/>
                <w:sz w:val="22"/>
                <w:lang w:val="en-GB" w:eastAsia="en-GB"/>
              </w:rPr>
            </w:pPr>
          </w:p>
        </w:tc>
      </w:tr>
      <w:tr w:rsidR="003C6015" w:rsidRPr="00DD6A04" w14:paraId="636773DD"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tcPr>
          <w:p w14:paraId="63E3F36B"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132</w:t>
            </w:r>
          </w:p>
        </w:tc>
        <w:tc>
          <w:tcPr>
            <w:tcW w:w="1697" w:type="dxa"/>
            <w:tcBorders>
              <w:top w:val="nil"/>
              <w:left w:val="nil"/>
              <w:bottom w:val="single" w:sz="4" w:space="0" w:color="auto"/>
              <w:right w:val="single" w:sz="4" w:space="0" w:color="auto"/>
            </w:tcBorders>
            <w:shd w:val="clear" w:color="auto" w:fill="C6EFCE"/>
            <w:noWrap/>
          </w:tcPr>
          <w:p w14:paraId="3AFE44A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 Podpora za dekarbonizacijo, produktivnost in konkurenčnost podjetij</w:t>
            </w:r>
          </w:p>
        </w:tc>
        <w:tc>
          <w:tcPr>
            <w:tcW w:w="992" w:type="dxa"/>
            <w:tcBorders>
              <w:top w:val="nil"/>
              <w:left w:val="nil"/>
              <w:bottom w:val="single" w:sz="4" w:space="0" w:color="auto"/>
              <w:right w:val="single" w:sz="4" w:space="0" w:color="auto"/>
            </w:tcBorders>
            <w:shd w:val="clear" w:color="auto" w:fill="C6EFCE"/>
            <w:noWrap/>
          </w:tcPr>
          <w:p w14:paraId="479DCE3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nil"/>
              <w:left w:val="nil"/>
              <w:bottom w:val="single" w:sz="4" w:space="0" w:color="auto"/>
              <w:right w:val="single" w:sz="4" w:space="0" w:color="auto"/>
            </w:tcBorders>
            <w:shd w:val="clear" w:color="auto" w:fill="C6EFCE"/>
            <w:noWrap/>
          </w:tcPr>
          <w:p w14:paraId="0BFD936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Dodatni dokončani projekti v podporo regionalnemu razvoju </w:t>
            </w:r>
          </w:p>
        </w:tc>
        <w:tc>
          <w:tcPr>
            <w:tcW w:w="2126" w:type="dxa"/>
            <w:tcBorders>
              <w:top w:val="nil"/>
              <w:left w:val="nil"/>
              <w:bottom w:val="single" w:sz="4" w:space="0" w:color="auto"/>
              <w:right w:val="single" w:sz="4" w:space="0" w:color="auto"/>
            </w:tcBorders>
            <w:shd w:val="clear" w:color="auto" w:fill="C6EFCE"/>
            <w:noWrap/>
          </w:tcPr>
          <w:p w14:paraId="1A0D052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34" w:type="dxa"/>
            <w:tcBorders>
              <w:top w:val="nil"/>
              <w:left w:val="nil"/>
              <w:bottom w:val="single" w:sz="4" w:space="0" w:color="auto"/>
              <w:right w:val="single" w:sz="4" w:space="0" w:color="auto"/>
            </w:tcBorders>
            <w:shd w:val="clear" w:color="auto" w:fill="C6EFCE"/>
            <w:noWrap/>
          </w:tcPr>
          <w:p w14:paraId="008B732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993" w:type="dxa"/>
            <w:tcBorders>
              <w:top w:val="nil"/>
              <w:left w:val="nil"/>
              <w:bottom w:val="single" w:sz="4" w:space="0" w:color="auto"/>
              <w:right w:val="single" w:sz="4" w:space="0" w:color="auto"/>
            </w:tcBorders>
            <w:shd w:val="clear" w:color="auto" w:fill="C6EFCE"/>
            <w:noWrap/>
          </w:tcPr>
          <w:p w14:paraId="00CC50D2" w14:textId="3B912273" w:rsidR="003C6015" w:rsidRPr="00DD6A04" w:rsidRDefault="00421A4C" w:rsidP="003C6015">
            <w:pPr>
              <w:spacing w:before="0" w:after="0" w:line="240" w:lineRule="auto"/>
              <w:rPr>
                <w:rFonts w:eastAsia="Times New Roman"/>
                <w:noProof/>
                <w:color w:val="006100"/>
                <w:sz w:val="22"/>
              </w:rPr>
            </w:pPr>
            <w:r>
              <w:rPr>
                <w:noProof/>
                <w:color w:val="006100"/>
                <w:sz w:val="22"/>
              </w:rPr>
              <w:t>157</w:t>
            </w:r>
          </w:p>
        </w:tc>
        <w:tc>
          <w:tcPr>
            <w:tcW w:w="859" w:type="dxa"/>
            <w:tcBorders>
              <w:top w:val="nil"/>
              <w:left w:val="nil"/>
              <w:bottom w:val="single" w:sz="4" w:space="0" w:color="auto"/>
              <w:right w:val="single" w:sz="4" w:space="0" w:color="auto"/>
            </w:tcBorders>
            <w:shd w:val="clear" w:color="auto" w:fill="C6EFCE"/>
            <w:noWrap/>
          </w:tcPr>
          <w:p w14:paraId="394532A0" w14:textId="49E37A2E" w:rsidR="003C6015" w:rsidRPr="00DD6A04" w:rsidRDefault="00421A4C" w:rsidP="003C6015">
            <w:pPr>
              <w:spacing w:before="0" w:after="0" w:line="240" w:lineRule="auto"/>
              <w:rPr>
                <w:rFonts w:eastAsia="Times New Roman"/>
                <w:noProof/>
                <w:color w:val="006100"/>
                <w:sz w:val="22"/>
              </w:rPr>
            </w:pPr>
            <w:r>
              <w:rPr>
                <w:noProof/>
                <w:color w:val="006100"/>
                <w:sz w:val="22"/>
              </w:rPr>
              <w:t>207</w:t>
            </w:r>
          </w:p>
        </w:tc>
        <w:tc>
          <w:tcPr>
            <w:tcW w:w="842" w:type="dxa"/>
            <w:tcBorders>
              <w:top w:val="nil"/>
              <w:left w:val="nil"/>
              <w:bottom w:val="single" w:sz="4" w:space="0" w:color="auto"/>
              <w:right w:val="single" w:sz="4" w:space="0" w:color="auto"/>
            </w:tcBorders>
            <w:shd w:val="clear" w:color="auto" w:fill="C6EFCE"/>
            <w:noWrap/>
          </w:tcPr>
          <w:p w14:paraId="2EB3FB27"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nil"/>
              <w:left w:val="nil"/>
              <w:bottom w:val="single" w:sz="4" w:space="0" w:color="auto"/>
              <w:right w:val="single" w:sz="4" w:space="0" w:color="auto"/>
            </w:tcBorders>
            <w:shd w:val="clear" w:color="auto" w:fill="C6EFCE"/>
            <w:noWrap/>
          </w:tcPr>
          <w:p w14:paraId="49B6DC49"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2026</w:t>
            </w:r>
          </w:p>
        </w:tc>
        <w:tc>
          <w:tcPr>
            <w:tcW w:w="3078" w:type="dxa"/>
            <w:tcBorders>
              <w:top w:val="nil"/>
              <w:left w:val="nil"/>
              <w:bottom w:val="single" w:sz="4" w:space="0" w:color="auto"/>
              <w:right w:val="single" w:sz="4" w:space="0" w:color="auto"/>
            </w:tcBorders>
            <w:shd w:val="clear" w:color="auto" w:fill="C6EFCE"/>
            <w:noWrap/>
          </w:tcPr>
          <w:p w14:paraId="072DC38D" w14:textId="36D31FD6" w:rsidR="003C6015" w:rsidRPr="00DD6A04" w:rsidRDefault="003C6015" w:rsidP="003C6015">
            <w:pPr>
              <w:spacing w:before="0" w:after="0" w:line="240" w:lineRule="auto"/>
              <w:rPr>
                <w:rFonts w:eastAsia="Times New Roman"/>
                <w:noProof/>
                <w:color w:val="006100"/>
                <w:sz w:val="22"/>
              </w:rPr>
            </w:pPr>
            <w:r>
              <w:rPr>
                <w:noProof/>
                <w:color w:val="006100"/>
                <w:sz w:val="22"/>
              </w:rPr>
              <w:t>Po mejniku 131 uspešno dokončanje dodatnih 50 projektov v skladu z zahtevami iz mejnika 128.</w:t>
            </w:r>
          </w:p>
          <w:p w14:paraId="01B3A256" w14:textId="5C792883" w:rsidR="003C6015" w:rsidRPr="00DD6A04" w:rsidRDefault="003C6015" w:rsidP="003C6015">
            <w:pPr>
              <w:spacing w:before="0" w:after="0" w:line="240" w:lineRule="auto"/>
              <w:rPr>
                <w:rFonts w:eastAsia="Times New Roman"/>
                <w:noProof/>
                <w:color w:val="006100"/>
                <w:sz w:val="22"/>
              </w:rPr>
            </w:pPr>
            <w:r>
              <w:rPr>
                <w:noProof/>
                <w:color w:val="006100"/>
                <w:sz w:val="22"/>
              </w:rPr>
              <w:t>Skupni znesek financiranja bo najmanj 39 900 000 EUR.</w:t>
            </w:r>
          </w:p>
        </w:tc>
      </w:tr>
      <w:tr w:rsidR="003C6015" w:rsidRPr="00DD6A04" w14:paraId="1CBA38BF"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tcPr>
          <w:p w14:paraId="12D4CF17"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133</w:t>
            </w:r>
          </w:p>
        </w:tc>
        <w:tc>
          <w:tcPr>
            <w:tcW w:w="1697" w:type="dxa"/>
            <w:tcBorders>
              <w:top w:val="nil"/>
              <w:left w:val="nil"/>
              <w:bottom w:val="single" w:sz="4" w:space="0" w:color="auto"/>
              <w:right w:val="single" w:sz="4" w:space="0" w:color="auto"/>
            </w:tcBorders>
            <w:shd w:val="clear" w:color="auto" w:fill="C6EFCE"/>
            <w:noWrap/>
          </w:tcPr>
          <w:p w14:paraId="09195BC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 Zagotavljanje inovativnih ekosistemov ekonomsko-poslovne infrastrukture</w:t>
            </w:r>
          </w:p>
        </w:tc>
        <w:tc>
          <w:tcPr>
            <w:tcW w:w="992" w:type="dxa"/>
            <w:tcBorders>
              <w:top w:val="nil"/>
              <w:left w:val="nil"/>
              <w:bottom w:val="single" w:sz="4" w:space="0" w:color="auto"/>
              <w:right w:val="single" w:sz="4" w:space="0" w:color="auto"/>
            </w:tcBorders>
            <w:shd w:val="clear" w:color="auto" w:fill="C6EFCE"/>
            <w:noWrap/>
          </w:tcPr>
          <w:p w14:paraId="2CE1D002"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701" w:type="dxa"/>
            <w:tcBorders>
              <w:top w:val="nil"/>
              <w:left w:val="nil"/>
              <w:bottom w:val="single" w:sz="4" w:space="0" w:color="auto"/>
              <w:right w:val="single" w:sz="4" w:space="0" w:color="auto"/>
            </w:tcBorders>
            <w:shd w:val="clear" w:color="auto" w:fill="C6EFCE"/>
            <w:noWrap/>
          </w:tcPr>
          <w:p w14:paraId="6DF5AED8" w14:textId="2E419FB8"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Izdaja sklepov o sofinanciranju za ekosisteme inovativne poslovne infrastrukture </w:t>
            </w:r>
          </w:p>
        </w:tc>
        <w:tc>
          <w:tcPr>
            <w:tcW w:w="2126" w:type="dxa"/>
            <w:tcBorders>
              <w:top w:val="nil"/>
              <w:left w:val="nil"/>
              <w:bottom w:val="single" w:sz="4" w:space="0" w:color="auto"/>
              <w:right w:val="single" w:sz="4" w:space="0" w:color="auto"/>
            </w:tcBorders>
            <w:shd w:val="clear" w:color="auto" w:fill="C6EFCE"/>
            <w:noWrap/>
          </w:tcPr>
          <w:p w14:paraId="054197A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Objava rezultatov razpisa</w:t>
            </w:r>
          </w:p>
        </w:tc>
        <w:tc>
          <w:tcPr>
            <w:tcW w:w="1134" w:type="dxa"/>
            <w:tcBorders>
              <w:top w:val="nil"/>
              <w:left w:val="nil"/>
              <w:bottom w:val="single" w:sz="4" w:space="0" w:color="auto"/>
              <w:right w:val="single" w:sz="4" w:space="0" w:color="auto"/>
            </w:tcBorders>
            <w:shd w:val="clear" w:color="auto" w:fill="C6EFCE"/>
            <w:noWrap/>
          </w:tcPr>
          <w:p w14:paraId="4064570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646CAF6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59" w:type="dxa"/>
            <w:tcBorders>
              <w:top w:val="nil"/>
              <w:left w:val="nil"/>
              <w:bottom w:val="single" w:sz="4" w:space="0" w:color="auto"/>
              <w:right w:val="single" w:sz="4" w:space="0" w:color="auto"/>
            </w:tcBorders>
            <w:shd w:val="clear" w:color="auto" w:fill="C6EFCE"/>
            <w:noWrap/>
          </w:tcPr>
          <w:p w14:paraId="389274F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42" w:type="dxa"/>
            <w:tcBorders>
              <w:top w:val="nil"/>
              <w:left w:val="nil"/>
              <w:bottom w:val="single" w:sz="4" w:space="0" w:color="auto"/>
              <w:right w:val="single" w:sz="4" w:space="0" w:color="auto"/>
            </w:tcBorders>
            <w:shd w:val="clear" w:color="auto" w:fill="C6EFCE"/>
            <w:noWrap/>
          </w:tcPr>
          <w:p w14:paraId="659DDA15"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nil"/>
              <w:left w:val="nil"/>
              <w:bottom w:val="single" w:sz="4" w:space="0" w:color="auto"/>
              <w:right w:val="single" w:sz="4" w:space="0" w:color="auto"/>
            </w:tcBorders>
            <w:shd w:val="clear" w:color="auto" w:fill="C6EFCE"/>
            <w:noWrap/>
          </w:tcPr>
          <w:p w14:paraId="73C433DD"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2022</w:t>
            </w:r>
          </w:p>
        </w:tc>
        <w:tc>
          <w:tcPr>
            <w:tcW w:w="3078" w:type="dxa"/>
            <w:tcBorders>
              <w:top w:val="nil"/>
              <w:left w:val="nil"/>
              <w:bottom w:val="single" w:sz="4" w:space="0" w:color="auto"/>
              <w:right w:val="single" w:sz="4" w:space="0" w:color="auto"/>
            </w:tcBorders>
            <w:shd w:val="clear" w:color="auto" w:fill="C6EFCE"/>
            <w:noWrap/>
          </w:tcPr>
          <w:p w14:paraId="49069620" w14:textId="26992C17" w:rsidR="003C6015" w:rsidRPr="00DD6A04" w:rsidRDefault="003C6015" w:rsidP="003C6015">
            <w:pPr>
              <w:spacing w:before="0" w:after="0" w:line="240" w:lineRule="auto"/>
              <w:rPr>
                <w:rFonts w:eastAsia="Times New Roman"/>
                <w:noProof/>
                <w:color w:val="006100"/>
                <w:sz w:val="22"/>
              </w:rPr>
            </w:pPr>
            <w:r>
              <w:rPr>
                <w:noProof/>
                <w:color w:val="006100"/>
                <w:sz w:val="22"/>
              </w:rPr>
              <w:t>Izbrani projekti podpirajo razvoj gospodarske poslovne infrastrukture. Projekti bodo podpirali regionalni razvoj in dajali prednost ponovni uporabi degradiranih lokacij ter tesnim povezavam z javnim prevozom in cestnimi povezavami.</w:t>
            </w:r>
          </w:p>
        </w:tc>
      </w:tr>
      <w:tr w:rsidR="003C6015" w:rsidRPr="00DD6A04" w14:paraId="7C37330B" w14:textId="77777777" w:rsidTr="00A70F67">
        <w:trPr>
          <w:trHeight w:val="309"/>
          <w:jc w:val="center"/>
        </w:trPr>
        <w:tc>
          <w:tcPr>
            <w:tcW w:w="1411" w:type="dxa"/>
            <w:tcBorders>
              <w:top w:val="nil"/>
              <w:left w:val="single" w:sz="4" w:space="0" w:color="auto"/>
              <w:bottom w:val="single" w:sz="4" w:space="0" w:color="auto"/>
              <w:right w:val="single" w:sz="4" w:space="0" w:color="auto"/>
            </w:tcBorders>
            <w:shd w:val="clear" w:color="auto" w:fill="C6EFCE"/>
            <w:noWrap/>
          </w:tcPr>
          <w:p w14:paraId="2F1FB92D" w14:textId="3AA54976" w:rsidR="003C6015" w:rsidRPr="00DD6A04" w:rsidRDefault="000925E8" w:rsidP="003C6015">
            <w:pPr>
              <w:spacing w:before="0" w:after="0" w:line="240" w:lineRule="auto"/>
              <w:jc w:val="center"/>
              <w:rPr>
                <w:rFonts w:eastAsia="Times New Roman"/>
                <w:noProof/>
                <w:color w:val="006100"/>
                <w:sz w:val="22"/>
              </w:rPr>
            </w:pPr>
            <w:r>
              <w:rPr>
                <w:noProof/>
                <w:color w:val="006100"/>
                <w:sz w:val="22"/>
              </w:rPr>
              <w:t xml:space="preserve"> 134</w:t>
            </w:r>
          </w:p>
        </w:tc>
        <w:tc>
          <w:tcPr>
            <w:tcW w:w="1697" w:type="dxa"/>
            <w:tcBorders>
              <w:top w:val="nil"/>
              <w:left w:val="nil"/>
              <w:bottom w:val="single" w:sz="4" w:space="0" w:color="auto"/>
              <w:right w:val="single" w:sz="4" w:space="0" w:color="auto"/>
            </w:tcBorders>
            <w:shd w:val="clear" w:color="auto" w:fill="C6EFCE"/>
            <w:noWrap/>
          </w:tcPr>
          <w:p w14:paraId="6F0FB94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 Zagotavljanje inovativnih ekosistemov ekonomsko-poslovne infrastrukture</w:t>
            </w:r>
          </w:p>
        </w:tc>
        <w:tc>
          <w:tcPr>
            <w:tcW w:w="992" w:type="dxa"/>
            <w:tcBorders>
              <w:top w:val="nil"/>
              <w:left w:val="nil"/>
              <w:bottom w:val="single" w:sz="4" w:space="0" w:color="auto"/>
              <w:right w:val="single" w:sz="4" w:space="0" w:color="auto"/>
            </w:tcBorders>
            <w:shd w:val="clear" w:color="auto" w:fill="C6EFCE"/>
            <w:noWrap/>
          </w:tcPr>
          <w:p w14:paraId="4942DE8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701" w:type="dxa"/>
            <w:tcBorders>
              <w:top w:val="nil"/>
              <w:left w:val="nil"/>
              <w:bottom w:val="single" w:sz="4" w:space="0" w:color="auto"/>
              <w:right w:val="single" w:sz="4" w:space="0" w:color="auto"/>
            </w:tcBorders>
            <w:shd w:val="clear" w:color="auto" w:fill="C6EFCE"/>
            <w:noWrap/>
          </w:tcPr>
          <w:p w14:paraId="255F10A6" w14:textId="5D3D2474" w:rsidR="003C6015" w:rsidRPr="00DD6A04" w:rsidRDefault="003C6015" w:rsidP="46F9D6A4">
            <w:pPr>
              <w:spacing w:before="0" w:after="0" w:line="240" w:lineRule="auto"/>
              <w:rPr>
                <w:rFonts w:eastAsia="Times New Roman"/>
                <w:noProof/>
                <w:color w:val="006100"/>
                <w:sz w:val="22"/>
              </w:rPr>
            </w:pPr>
            <w:r>
              <w:rPr>
                <w:noProof/>
                <w:color w:val="006100"/>
                <w:sz w:val="22"/>
              </w:rPr>
              <w:t xml:space="preserve">Dokončanje projektov za ekosisteme inovativne poslovne infrastrukture </w:t>
            </w:r>
          </w:p>
        </w:tc>
        <w:tc>
          <w:tcPr>
            <w:tcW w:w="2126" w:type="dxa"/>
            <w:tcBorders>
              <w:top w:val="nil"/>
              <w:left w:val="nil"/>
              <w:bottom w:val="single" w:sz="4" w:space="0" w:color="auto"/>
              <w:right w:val="single" w:sz="4" w:space="0" w:color="auto"/>
            </w:tcBorders>
            <w:shd w:val="clear" w:color="auto" w:fill="C6EFCE"/>
            <w:noWrap/>
          </w:tcPr>
          <w:p w14:paraId="4B0E679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34" w:type="dxa"/>
            <w:tcBorders>
              <w:top w:val="nil"/>
              <w:left w:val="nil"/>
              <w:bottom w:val="single" w:sz="4" w:space="0" w:color="auto"/>
              <w:right w:val="single" w:sz="4" w:space="0" w:color="auto"/>
            </w:tcBorders>
            <w:shd w:val="clear" w:color="auto" w:fill="C6EFCE"/>
            <w:noWrap/>
          </w:tcPr>
          <w:p w14:paraId="02A95AB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993" w:type="dxa"/>
            <w:tcBorders>
              <w:top w:val="nil"/>
              <w:left w:val="nil"/>
              <w:bottom w:val="single" w:sz="4" w:space="0" w:color="auto"/>
              <w:right w:val="single" w:sz="4" w:space="0" w:color="auto"/>
            </w:tcBorders>
            <w:shd w:val="clear" w:color="auto" w:fill="C6EFCE"/>
            <w:noWrap/>
          </w:tcPr>
          <w:p w14:paraId="360AA55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859" w:type="dxa"/>
            <w:tcBorders>
              <w:top w:val="nil"/>
              <w:left w:val="nil"/>
              <w:bottom w:val="single" w:sz="4" w:space="0" w:color="auto"/>
              <w:right w:val="single" w:sz="4" w:space="0" w:color="auto"/>
            </w:tcBorders>
            <w:shd w:val="clear" w:color="auto" w:fill="C6EFCE"/>
            <w:noWrap/>
          </w:tcPr>
          <w:p w14:paraId="517568D9" w14:textId="0DAC5587" w:rsidR="003C6015" w:rsidRPr="00DD6A04" w:rsidRDefault="00C25460" w:rsidP="003C6015">
            <w:pPr>
              <w:spacing w:before="0" w:after="0" w:line="240" w:lineRule="auto"/>
              <w:rPr>
                <w:rFonts w:eastAsia="Times New Roman"/>
                <w:noProof/>
                <w:color w:val="006100"/>
                <w:sz w:val="22"/>
              </w:rPr>
            </w:pPr>
            <w:r>
              <w:rPr>
                <w:noProof/>
                <w:color w:val="006100"/>
                <w:sz w:val="22"/>
              </w:rPr>
              <w:t>12</w:t>
            </w:r>
          </w:p>
        </w:tc>
        <w:tc>
          <w:tcPr>
            <w:tcW w:w="842" w:type="dxa"/>
            <w:tcBorders>
              <w:top w:val="nil"/>
              <w:left w:val="nil"/>
              <w:bottom w:val="single" w:sz="4" w:space="0" w:color="auto"/>
              <w:right w:val="single" w:sz="4" w:space="0" w:color="auto"/>
            </w:tcBorders>
            <w:shd w:val="clear" w:color="auto" w:fill="C6EFCE"/>
            <w:noWrap/>
          </w:tcPr>
          <w:p w14:paraId="20443BCE"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850" w:type="dxa"/>
            <w:tcBorders>
              <w:top w:val="nil"/>
              <w:left w:val="nil"/>
              <w:bottom w:val="single" w:sz="4" w:space="0" w:color="auto"/>
              <w:right w:val="single" w:sz="4" w:space="0" w:color="auto"/>
            </w:tcBorders>
            <w:shd w:val="clear" w:color="auto" w:fill="C6EFCE"/>
            <w:noWrap/>
          </w:tcPr>
          <w:p w14:paraId="74B701AF"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2026</w:t>
            </w:r>
          </w:p>
        </w:tc>
        <w:tc>
          <w:tcPr>
            <w:tcW w:w="3078" w:type="dxa"/>
            <w:tcBorders>
              <w:top w:val="nil"/>
              <w:left w:val="nil"/>
              <w:bottom w:val="single" w:sz="4" w:space="0" w:color="auto"/>
              <w:right w:val="single" w:sz="4" w:space="0" w:color="auto"/>
            </w:tcBorders>
            <w:shd w:val="clear" w:color="auto" w:fill="C6EFCE"/>
            <w:noWrap/>
          </w:tcPr>
          <w:p w14:paraId="04A47B59" w14:textId="15C7AB75" w:rsidR="003C6015" w:rsidRPr="00DD6A04" w:rsidRDefault="003C6015" w:rsidP="003C6015">
            <w:pPr>
              <w:spacing w:before="0" w:after="0" w:line="240" w:lineRule="auto"/>
              <w:rPr>
                <w:rFonts w:eastAsia="Times New Roman"/>
                <w:noProof/>
                <w:color w:val="006100"/>
                <w:sz w:val="22"/>
              </w:rPr>
            </w:pPr>
            <w:r>
              <w:rPr>
                <w:noProof/>
                <w:color w:val="006100"/>
                <w:sz w:val="22"/>
              </w:rPr>
              <w:t>Projekti dokončani v skladu z zahtevami iz mejnika 133. Skupni znesek financiranja bo najmanj 14 600 000 EUR.</w:t>
            </w:r>
          </w:p>
        </w:tc>
      </w:tr>
    </w:tbl>
    <w:p w14:paraId="6CAE2FBE"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168"/>
          <w:headerReference w:type="default" r:id="rId169"/>
          <w:footerReference w:type="even" r:id="rId170"/>
          <w:footerReference w:type="default" r:id="rId171"/>
          <w:headerReference w:type="first" r:id="rId172"/>
          <w:footerReference w:type="first" r:id="rId173"/>
          <w:pgSz w:w="16839" w:h="11907" w:orient="landscape"/>
          <w:pgMar w:top="1134" w:right="1134" w:bottom="1134" w:left="1134" w:header="567" w:footer="567" w:gutter="0"/>
          <w:cols w:space="720"/>
          <w:docGrid w:linePitch="326"/>
        </w:sectPr>
      </w:pPr>
    </w:p>
    <w:p w14:paraId="716A8AE0" w14:textId="7A99F139" w:rsidR="003C6015" w:rsidRPr="00DD6A04" w:rsidRDefault="00321B8C" w:rsidP="003C6015">
      <w:pPr>
        <w:keepNext/>
        <w:tabs>
          <w:tab w:val="left" w:pos="850"/>
        </w:tabs>
        <w:spacing w:line="240" w:lineRule="auto"/>
        <w:jc w:val="both"/>
        <w:outlineLvl w:val="0"/>
        <w:rPr>
          <w:b/>
          <w:smallCaps/>
          <w:noProof/>
        </w:rPr>
      </w:pPr>
      <w:r>
        <w:rPr>
          <w:b/>
          <w:smallCaps/>
          <w:noProof/>
        </w:rPr>
        <w:t xml:space="preserve">J. KOMPONENTA 10: TRG DELA – UKREPI ZA ZMANJŠEVANJE POSLEDIC NEGATIVNIH STRUKTURNIH TRENDOV </w:t>
      </w:r>
    </w:p>
    <w:p w14:paraId="1F5EA126" w14:textId="08C92E4F" w:rsidR="003C6015" w:rsidRPr="00DD6A04" w:rsidRDefault="003C6015" w:rsidP="003C6015">
      <w:pPr>
        <w:spacing w:line="240" w:lineRule="auto"/>
        <w:jc w:val="both"/>
        <w:rPr>
          <w:noProof/>
        </w:rPr>
      </w:pPr>
      <w:r>
        <w:rPr>
          <w:noProof/>
        </w:rPr>
        <w:t>Ta komponenta slovenskega načrta za okrevanje in odpornost obravnava strukturne zaposlitvene izzive, povezane s staranjem prebivalstva in tehnološkimi spremembami, s celovitim sklopom reform in investicij. Ti izzivi med drugim vključujejo nizko stopnjo zaposlenosti starejših delavcev in invalidov, brezposelnost mladih, nizko vključevanje v vseživljenjsko učenje in usposabljanje, tveganja za finančno vzdržnost pokojninskega sistema in primernost pokojnin.</w:t>
      </w:r>
    </w:p>
    <w:p w14:paraId="0C58E654" w14:textId="77777777" w:rsidR="003C6015" w:rsidRPr="00DD6A04" w:rsidRDefault="003C6015" w:rsidP="003C6015">
      <w:pPr>
        <w:spacing w:line="240" w:lineRule="auto"/>
        <w:jc w:val="both"/>
        <w:rPr>
          <w:noProof/>
        </w:rPr>
      </w:pPr>
      <w:r>
        <w:rPr>
          <w:noProof/>
        </w:rPr>
        <w:t>Cilji komponente so krepitev odpornosti trga dela, povečanje udeležbe na trgu dela ter zagotavljanje javnofinančne vzdržnosti pokojninskega sistema in ustreznosti pokojnin.</w:t>
      </w:r>
    </w:p>
    <w:p w14:paraId="4988EED8" w14:textId="77777777" w:rsidR="003C6015" w:rsidRPr="00DD6A04" w:rsidRDefault="003C6015" w:rsidP="003C6015">
      <w:pPr>
        <w:spacing w:line="240" w:lineRule="auto"/>
        <w:jc w:val="both"/>
        <w:rPr>
          <w:noProof/>
        </w:rPr>
      </w:pPr>
      <w:r>
        <w:rPr>
          <w:noProof/>
        </w:rPr>
        <w:t>Te investicije in reforme obravnavajo specifična priporočila za Slovenijo iz leta 2019, naj „[Z]agotovi dolgoročno vzdržnost in ustreznost pokojninskega sistema, vključno s prilagoditvijo zakonsko določene upokojitvene starosti in omejevanjem predčasnega upokojevanja. Poveča zaposljivost nizko usposobljenih in starejših delavcev z izboljšanjem ustreznosti izobraževanja in usposabljanja za potrebe trga dela ter z ukrepi vseživljenjskega učenja in aktivacijskimi ukrepi, vključno z izboljšanjem digitalne pismenosti“ (specifično priporočilo št. 1, 2019) in leta 2020, naj poskrbi „za zagotavljanje likvidnosti in financiranja podjetjem in gospodinjstvom“ ter „zagotovi ustrezno nadomestilo dohodka in socialno zaščito; ublaži učinek krize na zaposlenost, med drugim z okrepitvijo shem krajšega delovnega časa in s prožnimi ureditvami dela; poskrbi, da bodo ti ukrepi zagotavljali ustrezno zaščito za delavce z nestandardnimi oblikami zaposlitve“ (specifična priporočila št. 2, 2020).</w:t>
      </w:r>
    </w:p>
    <w:p w14:paraId="253FB581" w14:textId="77777777" w:rsidR="003C6015" w:rsidRPr="00DD6A04" w:rsidRDefault="003C6015" w:rsidP="003C6015">
      <w:pPr>
        <w:spacing w:line="240" w:lineRule="auto"/>
        <w:jc w:val="both"/>
        <w:rPr>
          <w:b/>
          <w:noProof/>
          <w:u w:val="single"/>
        </w:rPr>
      </w:pPr>
      <w:r>
        <w:rPr>
          <w:b/>
          <w:noProof/>
          <w:u w:val="single"/>
        </w:rPr>
        <w:t>J.1 Opis reform in naložb za nepovratno finančno podporo</w:t>
      </w:r>
    </w:p>
    <w:p w14:paraId="1822D1F5" w14:textId="270C1127" w:rsidR="003C6015" w:rsidRPr="00DD6A04" w:rsidRDefault="003C6015" w:rsidP="003C6015">
      <w:pPr>
        <w:spacing w:line="240" w:lineRule="auto"/>
        <w:jc w:val="both"/>
        <w:rPr>
          <w:noProof/>
          <w:u w:val="single"/>
        </w:rPr>
      </w:pPr>
      <w:r>
        <w:rPr>
          <w:noProof/>
          <w:u w:val="single"/>
        </w:rPr>
        <w:t>Reforma A. Strukturni ukrepi za krepitev (odpornosti) trga dela</w:t>
      </w:r>
    </w:p>
    <w:p w14:paraId="0ADD7169" w14:textId="77777777" w:rsidR="003C6015" w:rsidRPr="00DD6A04" w:rsidRDefault="003C6015" w:rsidP="003C6015">
      <w:pPr>
        <w:spacing w:line="240" w:lineRule="auto"/>
        <w:jc w:val="both"/>
        <w:rPr>
          <w:noProof/>
        </w:rPr>
      </w:pPr>
      <w:r>
        <w:rPr>
          <w:noProof/>
        </w:rPr>
        <w:t xml:space="preserve">Cilj reforme je povečati odpornost trga dela, zlasti z zagotavljanjem njegove prilagoditve demografskim trendom. </w:t>
      </w:r>
    </w:p>
    <w:p w14:paraId="6C546E9B" w14:textId="77777777" w:rsidR="003C6015" w:rsidRPr="00DD6A04" w:rsidRDefault="003C6015" w:rsidP="003C6015">
      <w:pPr>
        <w:spacing w:line="240" w:lineRule="auto"/>
        <w:jc w:val="both"/>
        <w:rPr>
          <w:noProof/>
        </w:rPr>
      </w:pPr>
      <w:r>
        <w:rPr>
          <w:noProof/>
        </w:rPr>
        <w:t>Reforma bo zagotovila:</w:t>
      </w:r>
    </w:p>
    <w:p w14:paraId="7E24299D" w14:textId="1A793E7A" w:rsidR="003C6015" w:rsidRPr="00DD6A04" w:rsidRDefault="003C6015" w:rsidP="0053456F">
      <w:pPr>
        <w:numPr>
          <w:ilvl w:val="0"/>
          <w:numId w:val="44"/>
        </w:numPr>
        <w:spacing w:before="0" w:after="200" w:line="240" w:lineRule="auto"/>
        <w:contextualSpacing/>
        <w:jc w:val="both"/>
        <w:rPr>
          <w:noProof/>
        </w:rPr>
      </w:pPr>
      <w:r>
        <w:rPr>
          <w:noProof/>
        </w:rPr>
        <w:t>začetek veljavnosti zakona o vzpostavitvi stalne krizne sheme skrajšanega delovnega časa za podjetja in samozaposlene osebe, ki se soočajo z dejanskimi ali pretečimi težavami ali grožnjami zaradi izrednih razmer na katere nimajo vpliva, in sicer na podlagi izkušenj, pridobljenih med krizo zaradi COVID-19 in med energetsko krizo leta 2022. Zakon bo vključeval obveznosti usposabljanja in izobraževanja v času skrajšanega delovnega časa;</w:t>
      </w:r>
      <w:r w:rsidR="00037751">
        <w:rPr>
          <w:noProof/>
        </w:rPr>
        <w:t xml:space="preserve"> </w:t>
      </w:r>
    </w:p>
    <w:p w14:paraId="4C5D6F3C" w14:textId="77777777" w:rsidR="003C6015" w:rsidRPr="00DD6A04" w:rsidRDefault="003C6015" w:rsidP="0053456F">
      <w:pPr>
        <w:numPr>
          <w:ilvl w:val="0"/>
          <w:numId w:val="44"/>
        </w:numPr>
        <w:spacing w:before="0" w:after="200" w:line="240" w:lineRule="auto"/>
        <w:contextualSpacing/>
        <w:jc w:val="both"/>
        <w:rPr>
          <w:noProof/>
          <w:szCs w:val="24"/>
        </w:rPr>
      </w:pPr>
      <w:r>
        <w:rPr>
          <w:noProof/>
        </w:rPr>
        <w:t xml:space="preserve">začetek veljavnosti sprememb zakonodaje na področju nadomestila za brezposelnost. Določbe Zakona o urejanju trga dela na področju nadomestila za brezposelnost bodo spremenjena, da se poviša stopnja zaposlenosti starejših in preprečijo predčasni odhodi s trga dela. Delo bo temeljilo na analizi OECD glede sistema pokojninskega in invalidskega zavarovanja v Sloveniji; </w:t>
      </w:r>
    </w:p>
    <w:p w14:paraId="37812CBC" w14:textId="77777777" w:rsidR="003C6015" w:rsidRPr="00DD6A04" w:rsidRDefault="003C6015" w:rsidP="0053456F">
      <w:pPr>
        <w:numPr>
          <w:ilvl w:val="0"/>
          <w:numId w:val="44"/>
        </w:numPr>
        <w:spacing w:before="0" w:after="200" w:line="240" w:lineRule="auto"/>
        <w:contextualSpacing/>
        <w:jc w:val="both"/>
        <w:rPr>
          <w:noProof/>
          <w:szCs w:val="24"/>
        </w:rPr>
      </w:pPr>
      <w:r>
        <w:rPr>
          <w:noProof/>
        </w:rPr>
        <w:t xml:space="preserve">začetek veljavnosti sprememb pokojninske zakonodaje za zagotovitev dolgoročne vzdržnosti in ustreznosti pokojninskega sistema. Reforma bo upoštevala obstoječa gibanja odhodkov, pokojninske pogoje, indeksacijo, prispevke, povezave med plačili in prejemki ter ustreznost in preglednost pokojninskega in invalidskega zavarovanja ter vključevala konkretne zakonodajne ukrepe za zagotovitev ustreznosti pokojnin in javnofinančne vzdržnosti pokojninskega sistema, da se znatno zmanjšajo tveganja, ki izhajajo iz odhodkov, povezanih s staranjem prebivalstva, iz sedanje kategorije z visokim tveganjem. Pokojninska reforma bo sprejeta do 31. decembra 2024; </w:t>
      </w:r>
    </w:p>
    <w:p w14:paraId="719DFD43" w14:textId="20946E3E" w:rsidR="003C6015" w:rsidRPr="00DD6A04" w:rsidRDefault="003C6015" w:rsidP="0053456F">
      <w:pPr>
        <w:numPr>
          <w:ilvl w:val="0"/>
          <w:numId w:val="44"/>
        </w:numPr>
        <w:spacing w:before="0" w:after="200" w:line="240" w:lineRule="auto"/>
        <w:contextualSpacing/>
        <w:jc w:val="both"/>
        <w:rPr>
          <w:noProof/>
          <w:szCs w:val="24"/>
        </w:rPr>
      </w:pPr>
      <w:r>
        <w:rPr>
          <w:noProof/>
        </w:rPr>
        <w:t>pregled akcijskega načrta za aktivno politiko zaposlovanja in kataloga ukrepov aktivne politike zaposlovanja, da se zagotovi učinkovitejše izvajanje in doseganje strateških ciljev, določenih v smernicah za izvajanje aktivne politike zaposlovanja 2021–2025, zlasti glede zmanjšanja dolgotrajne brezposelnosti in hitrejšega aktiviranja starejših in nizko usposobljenih delavcev.</w:t>
      </w:r>
    </w:p>
    <w:p w14:paraId="79B42E88" w14:textId="77777777" w:rsidR="003C6015" w:rsidRPr="00DD6A04" w:rsidRDefault="003C6015" w:rsidP="003C6015">
      <w:pPr>
        <w:spacing w:line="240" w:lineRule="auto"/>
        <w:jc w:val="both"/>
        <w:rPr>
          <w:noProof/>
        </w:rPr>
      </w:pPr>
      <w:r>
        <w:rPr>
          <w:noProof/>
        </w:rPr>
        <w:t>Mejniki v zvezi z izvedbo reforme bodo doseženi do 31. decembra 2024.</w:t>
      </w:r>
    </w:p>
    <w:p w14:paraId="7AE10BBA" w14:textId="77777777" w:rsidR="003C6015" w:rsidRPr="00DD6A04" w:rsidRDefault="003C6015" w:rsidP="003C6015">
      <w:pPr>
        <w:spacing w:line="240" w:lineRule="auto"/>
        <w:jc w:val="both"/>
        <w:rPr>
          <w:noProof/>
        </w:rPr>
      </w:pPr>
      <w:r>
        <w:rPr>
          <w:noProof/>
          <w:u w:val="single"/>
        </w:rPr>
        <w:t>Investicija C. Uvajanje prožnejših načinov dela, prilagojenih potrebam invalidov, v invalidskih podjetjih in zaposlitvenih centrih</w:t>
      </w:r>
    </w:p>
    <w:p w14:paraId="268BE9CA" w14:textId="77777777" w:rsidR="003C6015" w:rsidRPr="00DD6A04" w:rsidRDefault="003C6015" w:rsidP="003C6015">
      <w:pPr>
        <w:spacing w:line="240" w:lineRule="auto"/>
        <w:jc w:val="both"/>
        <w:rPr>
          <w:noProof/>
        </w:rPr>
      </w:pPr>
      <w:r>
        <w:rPr>
          <w:noProof/>
        </w:rPr>
        <w:t xml:space="preserve">Cilj investicije je zagotoviti tehnično podlago za uvedbo prožnejših načinov dela. </w:t>
      </w:r>
    </w:p>
    <w:p w14:paraId="6094B0BD" w14:textId="77777777" w:rsidR="003C6015" w:rsidRPr="00DD6A04" w:rsidRDefault="003C6015" w:rsidP="003C6015">
      <w:pPr>
        <w:spacing w:line="240" w:lineRule="auto"/>
        <w:jc w:val="both"/>
        <w:rPr>
          <w:noProof/>
        </w:rPr>
      </w:pPr>
      <w:r>
        <w:rPr>
          <w:noProof/>
        </w:rPr>
        <w:t xml:space="preserve">Investicija vključuje projekte za invalidska podjetja in zaposlitvene centre. Ti vključujejo usposabljanja, ki se izvajajo s poudarkom na krepitvi digitalnih kompetenc za invalide in zaposlene, ki sodelujejo z invalidi v delovnem procesu. Projekt vključuje psihosocialno pomoč invalidom. Poleg tega bodo pripravljeni načrti za razvoj novih poslovnih modelov s poudarkom na digitalizaciji in uvedbi prožnejših načinov dela. </w:t>
      </w:r>
    </w:p>
    <w:p w14:paraId="434D3201" w14:textId="77777777" w:rsidR="003C6015" w:rsidRPr="00DD6A04" w:rsidRDefault="003C6015" w:rsidP="003C6015">
      <w:pPr>
        <w:spacing w:line="240" w:lineRule="auto"/>
        <w:jc w:val="both"/>
        <w:rPr>
          <w:noProof/>
        </w:rPr>
      </w:pPr>
      <w:r>
        <w:rPr>
          <w:noProof/>
        </w:rPr>
        <w:t xml:space="preserve">Vzpostavljena bo spletna platforma s svetovalno točko za izmenjavo dobrih praks. Namenjena bo obveščanju, ozaveščanju in promocijski dejavnosti. Svetovalna točka bo zagotavljala neposredno podporo vsem invalidskim podjetjem in zaposlitvenim centrom pri prilagajanju delovnih procesov invalidom. </w:t>
      </w:r>
    </w:p>
    <w:p w14:paraId="0384270F" w14:textId="4EF83693" w:rsidR="003C6015" w:rsidRPr="00DD6A04" w:rsidRDefault="003C6015" w:rsidP="003C6015">
      <w:pPr>
        <w:spacing w:line="240" w:lineRule="auto"/>
        <w:jc w:val="both"/>
        <w:rPr>
          <w:noProof/>
        </w:rPr>
      </w:pPr>
      <w:r>
        <w:rPr>
          <w:noProof/>
        </w:rPr>
        <w:t>Cilj v zvezi z izvedbo investicije bo dosežen do 30. junija 2025.</w:t>
      </w:r>
    </w:p>
    <w:p w14:paraId="7FDB23FE" w14:textId="77777777" w:rsidR="003C6015" w:rsidRPr="00DD6A04" w:rsidRDefault="003C6015" w:rsidP="003C6015">
      <w:pPr>
        <w:spacing w:line="276" w:lineRule="auto"/>
        <w:rPr>
          <w:noProof/>
        </w:rPr>
      </w:pPr>
      <w:r>
        <w:rPr>
          <w:noProof/>
        </w:rPr>
        <w:br w:type="page"/>
      </w:r>
      <w:r>
        <w:rPr>
          <w:noProof/>
          <w:u w:val="single"/>
        </w:rPr>
        <w:t>Investicija D. Hitrejši vstop mladih na trg dela</w:t>
      </w:r>
    </w:p>
    <w:p w14:paraId="1500B44C" w14:textId="77777777" w:rsidR="003C6015" w:rsidRPr="00DD6A04" w:rsidRDefault="003C6015" w:rsidP="003C6015">
      <w:pPr>
        <w:spacing w:line="240" w:lineRule="auto"/>
        <w:jc w:val="both"/>
        <w:rPr>
          <w:rFonts w:eastAsia="Times New Roman"/>
          <w:noProof/>
        </w:rPr>
      </w:pPr>
      <w:r>
        <w:rPr>
          <w:noProof/>
        </w:rPr>
        <w:t>Cilj investicije je zmanjšati brezposelnost mladih po pandemiji COVID-19.</w:t>
      </w:r>
    </w:p>
    <w:p w14:paraId="5711862C" w14:textId="23529293" w:rsidR="003C6015" w:rsidRPr="00DD6A04" w:rsidRDefault="003C6015" w:rsidP="003C6015">
      <w:pPr>
        <w:spacing w:line="240" w:lineRule="auto"/>
        <w:jc w:val="both"/>
        <w:rPr>
          <w:rFonts w:eastAsia="Times New Roman"/>
          <w:noProof/>
        </w:rPr>
      </w:pPr>
      <w:r>
        <w:rPr>
          <w:noProof/>
        </w:rPr>
        <w:t xml:space="preserve">Investicija vključuje finančne spodbude za delodajalce, da zaposlijo mlade do 29. leta za nedoločen čas. To bo vključevalo tudi zavezo delodajalca, da zagotovi ustreznega mentorja, pomoč in usposabljanje na določenem delovnem mestu. Od mladih se pričakuje, da bodo v 18-mesečnem obdobju financiranja pridobili dodatne kompetence, potrebne za opravljanje poklica, in oplemenitili teoretično znanje s konkretnimi delovnimi izkušnjami. V tem času bosta novi zaposleni in njegov mentor vključena v usposabljanje ali izobraževanje v obsegu vsaj 30 šolskih ur, pri čemer bo poudarek na povečanju digitalnih kompetenc. </w:t>
      </w:r>
    </w:p>
    <w:p w14:paraId="56553986" w14:textId="77777777" w:rsidR="003C6015" w:rsidRPr="00DD6A04" w:rsidRDefault="003C6015" w:rsidP="003C6015">
      <w:pPr>
        <w:spacing w:line="240" w:lineRule="auto"/>
        <w:jc w:val="both"/>
        <w:rPr>
          <w:noProof/>
        </w:rPr>
      </w:pPr>
      <w:r>
        <w:rPr>
          <w:noProof/>
        </w:rPr>
        <w:t>Cilji v zvezi z izvedbo investicije bodo doseženi do 31. decembra 2024.</w:t>
      </w:r>
    </w:p>
    <w:p w14:paraId="02F70442" w14:textId="77777777" w:rsidR="003C6015" w:rsidRPr="00DD6A04" w:rsidRDefault="003C6015" w:rsidP="003C6015">
      <w:pPr>
        <w:spacing w:line="240" w:lineRule="auto"/>
        <w:ind w:left="850"/>
        <w:jc w:val="both"/>
        <w:rPr>
          <w:i/>
          <w:noProof/>
          <w:color w:val="4F81BD"/>
          <w:lang w:val="en-GB"/>
        </w:rPr>
        <w:sectPr w:rsidR="003C6015" w:rsidRPr="00DD6A04" w:rsidSect="00073927">
          <w:headerReference w:type="even" r:id="rId174"/>
          <w:headerReference w:type="default" r:id="rId175"/>
          <w:footerReference w:type="even" r:id="rId176"/>
          <w:footerReference w:type="default" r:id="rId177"/>
          <w:headerReference w:type="first" r:id="rId178"/>
          <w:footerReference w:type="first" r:id="rId179"/>
          <w:pgSz w:w="11907" w:h="16839"/>
          <w:pgMar w:top="1134" w:right="1134" w:bottom="1134" w:left="1134" w:header="567" w:footer="567" w:gutter="0"/>
          <w:cols w:space="720"/>
          <w:docGrid w:linePitch="326"/>
        </w:sectPr>
      </w:pPr>
    </w:p>
    <w:p w14:paraId="596B08D4" w14:textId="57542D86" w:rsidR="003C6015" w:rsidRPr="00DD6A04" w:rsidRDefault="003C6015" w:rsidP="003C6015">
      <w:pPr>
        <w:spacing w:line="240" w:lineRule="auto"/>
        <w:ind w:left="850"/>
        <w:jc w:val="both"/>
        <w:rPr>
          <w:b/>
          <w:noProof/>
          <w:u w:val="single"/>
        </w:rPr>
      </w:pPr>
      <w:r>
        <w:rPr>
          <w:b/>
          <w:noProof/>
          <w:u w:val="single"/>
        </w:rPr>
        <w:t xml:space="preserve">J.2 </w:t>
      </w:r>
      <w:r>
        <w:rPr>
          <w:b/>
          <w:noProof/>
          <w:u w:val="single"/>
        </w:rPr>
        <w:tab/>
        <w:t>Mejniki, cilji, kazalniki in časovni razpored za spremljanje in izvajanje nepovratne finančne podpore</w:t>
      </w:r>
    </w:p>
    <w:tbl>
      <w:tblPr>
        <w:tblW w:w="15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485"/>
        <w:gridCol w:w="1062"/>
        <w:gridCol w:w="1701"/>
        <w:gridCol w:w="1913"/>
        <w:gridCol w:w="1078"/>
        <w:gridCol w:w="1068"/>
        <w:gridCol w:w="927"/>
        <w:gridCol w:w="826"/>
        <w:gridCol w:w="851"/>
        <w:gridCol w:w="3297"/>
      </w:tblGrid>
      <w:tr w:rsidR="007E41C9" w:rsidRPr="00DD6A04" w14:paraId="6CD2C318" w14:textId="77777777" w:rsidTr="00A70F67">
        <w:trPr>
          <w:trHeight w:val="740"/>
          <w:tblHeader/>
          <w:jc w:val="center"/>
        </w:trPr>
        <w:tc>
          <w:tcPr>
            <w:tcW w:w="1348" w:type="dxa"/>
            <w:vMerge w:val="restart"/>
            <w:shd w:val="clear" w:color="auto" w:fill="BDD7EE"/>
            <w:vAlign w:val="center"/>
            <w:hideMark/>
          </w:tcPr>
          <w:p w14:paraId="0FD8ABE4" w14:textId="77777777" w:rsidR="007E41C9" w:rsidRPr="00DD6A04" w:rsidRDefault="007E41C9" w:rsidP="007E41C9">
            <w:pPr>
              <w:spacing w:before="0" w:after="0" w:line="240" w:lineRule="auto"/>
              <w:jc w:val="center"/>
              <w:rPr>
                <w:rFonts w:eastAsia="Times New Roman"/>
                <w:b/>
                <w:noProof/>
              </w:rPr>
            </w:pPr>
            <w:r>
              <w:rPr>
                <w:b/>
                <w:noProof/>
              </w:rPr>
              <w:t>Zaporedna številka</w:t>
            </w:r>
          </w:p>
        </w:tc>
        <w:tc>
          <w:tcPr>
            <w:tcW w:w="1485" w:type="dxa"/>
            <w:vMerge w:val="restart"/>
            <w:shd w:val="clear" w:color="auto" w:fill="BDD7EE"/>
            <w:vAlign w:val="center"/>
            <w:hideMark/>
          </w:tcPr>
          <w:p w14:paraId="0646FC69" w14:textId="77777777" w:rsidR="007E41C9" w:rsidRPr="00DD6A04" w:rsidRDefault="007E41C9" w:rsidP="007E41C9">
            <w:pPr>
              <w:spacing w:before="0" w:after="0" w:line="240" w:lineRule="auto"/>
              <w:jc w:val="center"/>
              <w:rPr>
                <w:rFonts w:eastAsia="Times New Roman"/>
                <w:b/>
                <w:noProof/>
              </w:rPr>
            </w:pPr>
            <w:r>
              <w:rPr>
                <w:b/>
                <w:noProof/>
              </w:rPr>
              <w:t>Povezani ukrep (reforma ali naložba)</w:t>
            </w:r>
          </w:p>
        </w:tc>
        <w:tc>
          <w:tcPr>
            <w:tcW w:w="1062" w:type="dxa"/>
            <w:vMerge w:val="restart"/>
            <w:shd w:val="clear" w:color="auto" w:fill="BDD7EE"/>
            <w:vAlign w:val="center"/>
            <w:hideMark/>
          </w:tcPr>
          <w:p w14:paraId="6C4DEC8F" w14:textId="77777777" w:rsidR="007E41C9" w:rsidRPr="00DD6A04" w:rsidRDefault="007E41C9" w:rsidP="007E41C9">
            <w:pPr>
              <w:spacing w:before="0" w:after="0" w:line="240" w:lineRule="auto"/>
              <w:jc w:val="center"/>
              <w:rPr>
                <w:rFonts w:eastAsia="Times New Roman"/>
                <w:b/>
                <w:noProof/>
              </w:rPr>
            </w:pPr>
            <w:r>
              <w:rPr>
                <w:b/>
                <w:noProof/>
              </w:rPr>
              <w:t>Mejnik/cilj</w:t>
            </w:r>
          </w:p>
        </w:tc>
        <w:tc>
          <w:tcPr>
            <w:tcW w:w="1701" w:type="dxa"/>
            <w:vMerge w:val="restart"/>
            <w:shd w:val="clear" w:color="auto" w:fill="BDD7EE"/>
            <w:vAlign w:val="center"/>
            <w:hideMark/>
          </w:tcPr>
          <w:p w14:paraId="04790E6F" w14:textId="77777777" w:rsidR="007E41C9" w:rsidRPr="00DD6A04" w:rsidRDefault="007E41C9" w:rsidP="007E41C9">
            <w:pPr>
              <w:spacing w:before="0" w:after="0" w:line="240" w:lineRule="auto"/>
              <w:jc w:val="center"/>
              <w:rPr>
                <w:rFonts w:eastAsia="Times New Roman"/>
                <w:b/>
                <w:noProof/>
              </w:rPr>
            </w:pPr>
            <w:r>
              <w:rPr>
                <w:b/>
                <w:noProof/>
              </w:rPr>
              <w:t>Ime</w:t>
            </w:r>
          </w:p>
        </w:tc>
        <w:tc>
          <w:tcPr>
            <w:tcW w:w="1913" w:type="dxa"/>
            <w:vMerge w:val="restart"/>
            <w:shd w:val="clear" w:color="auto" w:fill="BDD7EE"/>
            <w:vAlign w:val="center"/>
            <w:hideMark/>
          </w:tcPr>
          <w:p w14:paraId="332B5BC4" w14:textId="77777777" w:rsidR="007E41C9" w:rsidRPr="00DD6A04" w:rsidRDefault="007E41C9" w:rsidP="007E41C9">
            <w:pPr>
              <w:spacing w:before="0" w:after="0" w:line="240" w:lineRule="auto"/>
              <w:jc w:val="center"/>
              <w:rPr>
                <w:rFonts w:eastAsia="Times New Roman"/>
                <w:b/>
                <w:noProof/>
              </w:rPr>
            </w:pPr>
            <w:r>
              <w:rPr>
                <w:b/>
                <w:noProof/>
              </w:rPr>
              <w:t>Kvalitativni kazalniki</w:t>
            </w:r>
            <w:r>
              <w:rPr>
                <w:noProof/>
              </w:rPr>
              <w:t xml:space="preserve"> </w:t>
            </w:r>
            <w:r>
              <w:rPr>
                <w:b/>
                <w:noProof/>
              </w:rPr>
              <w:t>(za mejnike)</w:t>
            </w:r>
          </w:p>
        </w:tc>
        <w:tc>
          <w:tcPr>
            <w:tcW w:w="3073" w:type="dxa"/>
            <w:gridSpan w:val="3"/>
            <w:shd w:val="clear" w:color="auto" w:fill="BDD7EE"/>
            <w:vAlign w:val="center"/>
            <w:hideMark/>
          </w:tcPr>
          <w:p w14:paraId="216C44D3" w14:textId="77777777" w:rsidR="007E41C9" w:rsidRPr="00DD6A04" w:rsidRDefault="007E41C9" w:rsidP="007E41C9">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677" w:type="dxa"/>
            <w:gridSpan w:val="2"/>
            <w:shd w:val="clear" w:color="auto" w:fill="BDD7EE"/>
            <w:vAlign w:val="center"/>
            <w:hideMark/>
          </w:tcPr>
          <w:p w14:paraId="5199053A" w14:textId="77777777" w:rsidR="007E41C9" w:rsidRPr="00DD6A04" w:rsidRDefault="007E41C9" w:rsidP="007E41C9">
            <w:pPr>
              <w:spacing w:before="0" w:after="0" w:line="240" w:lineRule="auto"/>
              <w:jc w:val="center"/>
              <w:rPr>
                <w:rFonts w:eastAsia="Times New Roman"/>
                <w:b/>
                <w:noProof/>
              </w:rPr>
            </w:pPr>
            <w:r>
              <w:rPr>
                <w:b/>
                <w:noProof/>
              </w:rPr>
              <w:t xml:space="preserve">Okvirni časovni razpored za dokončanje </w:t>
            </w:r>
          </w:p>
        </w:tc>
        <w:tc>
          <w:tcPr>
            <w:tcW w:w="3297" w:type="dxa"/>
            <w:vMerge w:val="restart"/>
            <w:shd w:val="clear" w:color="auto" w:fill="BDD7EE"/>
            <w:vAlign w:val="center"/>
            <w:hideMark/>
          </w:tcPr>
          <w:p w14:paraId="766A7336" w14:textId="77777777" w:rsidR="007E41C9" w:rsidRPr="00DD6A04" w:rsidRDefault="007E41C9" w:rsidP="007E41C9">
            <w:pPr>
              <w:spacing w:before="0" w:after="0" w:line="240" w:lineRule="auto"/>
              <w:jc w:val="center"/>
              <w:rPr>
                <w:rFonts w:eastAsia="Times New Roman"/>
                <w:b/>
                <w:noProof/>
              </w:rPr>
            </w:pPr>
            <w:r>
              <w:rPr>
                <w:b/>
                <w:noProof/>
              </w:rPr>
              <w:t>Opis vsakega mejnika in cilja</w:t>
            </w:r>
          </w:p>
        </w:tc>
      </w:tr>
      <w:tr w:rsidR="007E41C9" w:rsidRPr="00DD6A04" w14:paraId="076655FF" w14:textId="77777777" w:rsidTr="00A70F67">
        <w:trPr>
          <w:trHeight w:val="751"/>
          <w:tblHeader/>
          <w:jc w:val="center"/>
        </w:trPr>
        <w:tc>
          <w:tcPr>
            <w:tcW w:w="1348" w:type="dxa"/>
            <w:vMerge/>
            <w:vAlign w:val="center"/>
            <w:hideMark/>
          </w:tcPr>
          <w:p w14:paraId="6C935FE2" w14:textId="77777777" w:rsidR="007E41C9" w:rsidRPr="00DD6A04" w:rsidRDefault="007E41C9" w:rsidP="007E41C9">
            <w:pPr>
              <w:spacing w:before="0" w:after="0" w:line="240" w:lineRule="auto"/>
              <w:rPr>
                <w:rFonts w:eastAsia="Times New Roman"/>
                <w:b/>
                <w:noProof/>
                <w:sz w:val="22"/>
                <w:lang w:val="en-GB" w:eastAsia="en-GB"/>
              </w:rPr>
            </w:pPr>
          </w:p>
        </w:tc>
        <w:tc>
          <w:tcPr>
            <w:tcW w:w="1485" w:type="dxa"/>
            <w:vMerge/>
            <w:vAlign w:val="center"/>
            <w:hideMark/>
          </w:tcPr>
          <w:p w14:paraId="6CD25E28" w14:textId="77777777" w:rsidR="007E41C9" w:rsidRPr="00DD6A04" w:rsidRDefault="007E41C9" w:rsidP="007E41C9">
            <w:pPr>
              <w:spacing w:before="0" w:after="0" w:line="240" w:lineRule="auto"/>
              <w:rPr>
                <w:rFonts w:eastAsia="Times New Roman"/>
                <w:b/>
                <w:noProof/>
                <w:sz w:val="22"/>
                <w:lang w:val="en-GB" w:eastAsia="en-GB"/>
              </w:rPr>
            </w:pPr>
          </w:p>
        </w:tc>
        <w:tc>
          <w:tcPr>
            <w:tcW w:w="1062" w:type="dxa"/>
            <w:vMerge/>
            <w:vAlign w:val="center"/>
            <w:hideMark/>
          </w:tcPr>
          <w:p w14:paraId="5D730483" w14:textId="77777777" w:rsidR="007E41C9" w:rsidRPr="00DD6A04" w:rsidRDefault="007E41C9" w:rsidP="007E41C9">
            <w:pPr>
              <w:spacing w:before="0" w:after="0" w:line="240" w:lineRule="auto"/>
              <w:rPr>
                <w:rFonts w:eastAsia="Times New Roman"/>
                <w:b/>
                <w:noProof/>
                <w:sz w:val="22"/>
                <w:lang w:val="en-GB" w:eastAsia="en-GB"/>
              </w:rPr>
            </w:pPr>
          </w:p>
        </w:tc>
        <w:tc>
          <w:tcPr>
            <w:tcW w:w="1701" w:type="dxa"/>
            <w:vMerge/>
            <w:vAlign w:val="center"/>
            <w:hideMark/>
          </w:tcPr>
          <w:p w14:paraId="208109A8" w14:textId="77777777" w:rsidR="007E41C9" w:rsidRPr="00DD6A04" w:rsidRDefault="007E41C9" w:rsidP="007E41C9">
            <w:pPr>
              <w:spacing w:before="0" w:after="0" w:line="240" w:lineRule="auto"/>
              <w:rPr>
                <w:rFonts w:eastAsia="Times New Roman"/>
                <w:b/>
                <w:noProof/>
                <w:sz w:val="22"/>
                <w:lang w:val="en-GB" w:eastAsia="en-GB"/>
              </w:rPr>
            </w:pPr>
          </w:p>
        </w:tc>
        <w:tc>
          <w:tcPr>
            <w:tcW w:w="1913" w:type="dxa"/>
            <w:vMerge/>
            <w:vAlign w:val="center"/>
            <w:hideMark/>
          </w:tcPr>
          <w:p w14:paraId="115C335F" w14:textId="77777777" w:rsidR="007E41C9" w:rsidRPr="00DD6A04" w:rsidRDefault="007E41C9" w:rsidP="007E41C9">
            <w:pPr>
              <w:spacing w:before="0" w:after="0" w:line="240" w:lineRule="auto"/>
              <w:rPr>
                <w:rFonts w:eastAsia="Times New Roman"/>
                <w:b/>
                <w:noProof/>
                <w:sz w:val="22"/>
                <w:lang w:val="en-GB" w:eastAsia="en-GB"/>
              </w:rPr>
            </w:pPr>
          </w:p>
        </w:tc>
        <w:tc>
          <w:tcPr>
            <w:tcW w:w="1078" w:type="dxa"/>
            <w:shd w:val="clear" w:color="auto" w:fill="BDD7EE"/>
            <w:vAlign w:val="center"/>
            <w:hideMark/>
          </w:tcPr>
          <w:p w14:paraId="192B85FA" w14:textId="77777777" w:rsidR="007E41C9" w:rsidRPr="00DD6A04" w:rsidRDefault="007E41C9" w:rsidP="007E41C9">
            <w:pPr>
              <w:spacing w:before="0" w:after="0" w:line="240" w:lineRule="auto"/>
              <w:jc w:val="center"/>
              <w:rPr>
                <w:rFonts w:eastAsia="Times New Roman"/>
                <w:b/>
                <w:noProof/>
                <w:sz w:val="22"/>
              </w:rPr>
            </w:pPr>
            <w:r>
              <w:rPr>
                <w:b/>
                <w:noProof/>
                <w:sz w:val="22"/>
              </w:rPr>
              <w:t>Enota merjenja</w:t>
            </w:r>
          </w:p>
        </w:tc>
        <w:tc>
          <w:tcPr>
            <w:tcW w:w="1068" w:type="dxa"/>
            <w:shd w:val="clear" w:color="auto" w:fill="BDD7EE"/>
            <w:vAlign w:val="center"/>
            <w:hideMark/>
          </w:tcPr>
          <w:p w14:paraId="35BF7FB8" w14:textId="77777777" w:rsidR="007E41C9" w:rsidRPr="00DD6A04" w:rsidRDefault="007E41C9" w:rsidP="007E41C9">
            <w:pPr>
              <w:spacing w:before="0" w:after="0" w:line="240" w:lineRule="auto"/>
              <w:jc w:val="center"/>
              <w:rPr>
                <w:rFonts w:eastAsia="Times New Roman"/>
                <w:b/>
                <w:noProof/>
                <w:sz w:val="22"/>
              </w:rPr>
            </w:pPr>
            <w:r>
              <w:rPr>
                <w:b/>
                <w:noProof/>
                <w:sz w:val="22"/>
              </w:rPr>
              <w:t xml:space="preserve">Izhodiščna raven </w:t>
            </w:r>
          </w:p>
        </w:tc>
        <w:tc>
          <w:tcPr>
            <w:tcW w:w="927" w:type="dxa"/>
            <w:shd w:val="clear" w:color="auto" w:fill="BDD7EE"/>
            <w:vAlign w:val="center"/>
            <w:hideMark/>
          </w:tcPr>
          <w:p w14:paraId="0E937CA8" w14:textId="77777777" w:rsidR="007E41C9" w:rsidRPr="00DD6A04" w:rsidRDefault="007E41C9" w:rsidP="007E41C9">
            <w:pPr>
              <w:spacing w:before="0" w:after="0" w:line="240" w:lineRule="auto"/>
              <w:jc w:val="center"/>
              <w:rPr>
                <w:rFonts w:eastAsia="Times New Roman"/>
                <w:b/>
                <w:noProof/>
                <w:sz w:val="22"/>
              </w:rPr>
            </w:pPr>
            <w:r>
              <w:rPr>
                <w:b/>
                <w:noProof/>
                <w:sz w:val="22"/>
              </w:rPr>
              <w:t xml:space="preserve">Ciljna raven </w:t>
            </w:r>
          </w:p>
        </w:tc>
        <w:tc>
          <w:tcPr>
            <w:tcW w:w="826" w:type="dxa"/>
            <w:shd w:val="clear" w:color="auto" w:fill="BDD7EE"/>
            <w:vAlign w:val="center"/>
            <w:hideMark/>
          </w:tcPr>
          <w:p w14:paraId="4B21DF18" w14:textId="77777777" w:rsidR="007E41C9" w:rsidRPr="00DD6A04" w:rsidRDefault="007E41C9" w:rsidP="007E41C9">
            <w:pPr>
              <w:spacing w:before="0" w:after="0" w:line="240" w:lineRule="auto"/>
              <w:jc w:val="center"/>
              <w:rPr>
                <w:rFonts w:eastAsia="Times New Roman"/>
                <w:b/>
                <w:noProof/>
                <w:sz w:val="22"/>
              </w:rPr>
            </w:pPr>
            <w:r>
              <w:rPr>
                <w:b/>
                <w:noProof/>
                <w:sz w:val="22"/>
              </w:rPr>
              <w:t>Četrtletje</w:t>
            </w:r>
          </w:p>
        </w:tc>
        <w:tc>
          <w:tcPr>
            <w:tcW w:w="851" w:type="dxa"/>
            <w:shd w:val="clear" w:color="auto" w:fill="BDD7EE"/>
            <w:vAlign w:val="center"/>
            <w:hideMark/>
          </w:tcPr>
          <w:p w14:paraId="6D78800C" w14:textId="77777777" w:rsidR="007E41C9" w:rsidRPr="00DD6A04" w:rsidRDefault="007E41C9" w:rsidP="007E41C9">
            <w:pPr>
              <w:spacing w:before="0" w:after="0" w:line="240" w:lineRule="auto"/>
              <w:jc w:val="center"/>
              <w:rPr>
                <w:rFonts w:eastAsia="Times New Roman"/>
                <w:b/>
                <w:noProof/>
                <w:sz w:val="22"/>
              </w:rPr>
            </w:pPr>
            <w:r>
              <w:rPr>
                <w:b/>
                <w:noProof/>
                <w:sz w:val="22"/>
              </w:rPr>
              <w:t>Leto</w:t>
            </w:r>
          </w:p>
        </w:tc>
        <w:tc>
          <w:tcPr>
            <w:tcW w:w="3297" w:type="dxa"/>
            <w:vMerge/>
            <w:vAlign w:val="center"/>
            <w:hideMark/>
          </w:tcPr>
          <w:p w14:paraId="42D52E84" w14:textId="77777777" w:rsidR="007E41C9" w:rsidRPr="00DD6A04" w:rsidRDefault="007E41C9" w:rsidP="007E41C9">
            <w:pPr>
              <w:spacing w:before="0" w:after="0" w:line="240" w:lineRule="auto"/>
              <w:rPr>
                <w:rFonts w:eastAsia="Times New Roman"/>
                <w:b/>
                <w:noProof/>
                <w:sz w:val="22"/>
                <w:lang w:val="en-GB" w:eastAsia="en-GB"/>
              </w:rPr>
            </w:pPr>
          </w:p>
        </w:tc>
      </w:tr>
      <w:tr w:rsidR="00C0012E" w:rsidRPr="00DD6A04" w14:paraId="6E261FF5" w14:textId="77777777" w:rsidTr="00A70F67">
        <w:trPr>
          <w:trHeight w:val="309"/>
          <w:jc w:val="center"/>
        </w:trPr>
        <w:tc>
          <w:tcPr>
            <w:tcW w:w="1348" w:type="dxa"/>
            <w:shd w:val="clear" w:color="auto" w:fill="C6EFCE"/>
            <w:noWrap/>
          </w:tcPr>
          <w:p w14:paraId="7BFDDB85" w14:textId="11031145" w:rsidR="007E41C9" w:rsidRPr="00DD6A04" w:rsidRDefault="007E41C9" w:rsidP="007E41C9">
            <w:pPr>
              <w:spacing w:before="0" w:after="0" w:line="240" w:lineRule="auto"/>
              <w:rPr>
                <w:rFonts w:eastAsia="Times New Roman"/>
                <w:noProof/>
                <w:color w:val="006100"/>
                <w:sz w:val="22"/>
              </w:rPr>
            </w:pPr>
            <w:r>
              <w:rPr>
                <w:noProof/>
                <w:color w:val="006100"/>
                <w:sz w:val="22"/>
              </w:rPr>
              <w:t>135</w:t>
            </w:r>
          </w:p>
        </w:tc>
        <w:tc>
          <w:tcPr>
            <w:tcW w:w="1485" w:type="dxa"/>
            <w:shd w:val="clear" w:color="auto" w:fill="C6EFCE"/>
            <w:noWrap/>
          </w:tcPr>
          <w:p w14:paraId="54DB6CE2" w14:textId="3DBA4614" w:rsidR="007E41C9" w:rsidRPr="00DD6A04" w:rsidRDefault="007E41C9" w:rsidP="007E41C9">
            <w:pPr>
              <w:spacing w:before="0" w:after="0" w:line="240" w:lineRule="auto"/>
              <w:rPr>
                <w:rFonts w:eastAsia="Times New Roman"/>
                <w:noProof/>
                <w:color w:val="006100"/>
                <w:sz w:val="22"/>
              </w:rPr>
            </w:pPr>
            <w:r>
              <w:rPr>
                <w:noProof/>
                <w:color w:val="006100"/>
                <w:sz w:val="22"/>
              </w:rPr>
              <w:t>A: Strukturni ukrepi za krepitev (odpornosti) trga dela</w:t>
            </w:r>
          </w:p>
        </w:tc>
        <w:tc>
          <w:tcPr>
            <w:tcW w:w="1062" w:type="dxa"/>
            <w:shd w:val="clear" w:color="auto" w:fill="C6EFCE"/>
            <w:noWrap/>
          </w:tcPr>
          <w:p w14:paraId="00ED05C7" w14:textId="2E1F4815" w:rsidR="007E41C9" w:rsidRPr="00DD6A04" w:rsidRDefault="007E41C9" w:rsidP="007E41C9">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20035772" w14:textId="011D06CE"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Začetek veljavnosti Zakona o vzpostavitvi „krizne“ sheme skrajšanega delovnega časa </w:t>
            </w:r>
          </w:p>
        </w:tc>
        <w:tc>
          <w:tcPr>
            <w:tcW w:w="1913" w:type="dxa"/>
            <w:shd w:val="clear" w:color="auto" w:fill="C6EFCE"/>
            <w:noWrap/>
          </w:tcPr>
          <w:p w14:paraId="3B3E7413" w14:textId="519AB0A7"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Zakonodajna določba o začetku veljavnosti Zakona o vzpostavitvi „krizne“ sheme skrajšanega delovnega časa </w:t>
            </w:r>
          </w:p>
        </w:tc>
        <w:tc>
          <w:tcPr>
            <w:tcW w:w="1078" w:type="dxa"/>
            <w:shd w:val="clear" w:color="auto" w:fill="C6EFCE"/>
            <w:noWrap/>
          </w:tcPr>
          <w:p w14:paraId="65F7E311" w14:textId="2C843401"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68" w:type="dxa"/>
            <w:shd w:val="clear" w:color="auto" w:fill="C6EFCE"/>
            <w:noWrap/>
          </w:tcPr>
          <w:p w14:paraId="71CEE362" w14:textId="33D0F52A"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927" w:type="dxa"/>
            <w:shd w:val="clear" w:color="auto" w:fill="C6EFCE"/>
            <w:noWrap/>
          </w:tcPr>
          <w:p w14:paraId="28F60922" w14:textId="03F0A73D"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826" w:type="dxa"/>
            <w:shd w:val="clear" w:color="auto" w:fill="C6EFCE"/>
            <w:noWrap/>
          </w:tcPr>
          <w:p w14:paraId="01C931CD" w14:textId="67C505A6" w:rsidR="007E41C9" w:rsidRPr="00DD6A04" w:rsidRDefault="007E41C9" w:rsidP="007E41C9">
            <w:pPr>
              <w:spacing w:before="0" w:after="0" w:line="240" w:lineRule="auto"/>
              <w:rPr>
                <w:rFonts w:eastAsia="Times New Roman"/>
                <w:noProof/>
                <w:color w:val="006100"/>
                <w:sz w:val="22"/>
              </w:rPr>
            </w:pPr>
            <w:r>
              <w:rPr>
                <w:noProof/>
                <w:color w:val="006100"/>
                <w:sz w:val="22"/>
              </w:rPr>
              <w:t>Q2</w:t>
            </w:r>
          </w:p>
        </w:tc>
        <w:tc>
          <w:tcPr>
            <w:tcW w:w="851" w:type="dxa"/>
            <w:shd w:val="clear" w:color="auto" w:fill="C6EFCE"/>
            <w:noWrap/>
          </w:tcPr>
          <w:p w14:paraId="1E882DC9" w14:textId="0C76B242" w:rsidR="007E41C9" w:rsidRPr="00DD6A04" w:rsidRDefault="007E41C9" w:rsidP="007E41C9">
            <w:pPr>
              <w:spacing w:before="0" w:after="0" w:line="240" w:lineRule="auto"/>
              <w:rPr>
                <w:rFonts w:eastAsia="Times New Roman"/>
                <w:noProof/>
                <w:color w:val="006100"/>
                <w:sz w:val="22"/>
              </w:rPr>
            </w:pPr>
            <w:r>
              <w:rPr>
                <w:noProof/>
                <w:color w:val="006100"/>
                <w:sz w:val="22"/>
              </w:rPr>
              <w:t>2024</w:t>
            </w:r>
          </w:p>
        </w:tc>
        <w:tc>
          <w:tcPr>
            <w:tcW w:w="3297" w:type="dxa"/>
            <w:shd w:val="clear" w:color="auto" w:fill="C6EFCE"/>
            <w:noWrap/>
          </w:tcPr>
          <w:p w14:paraId="55774081" w14:textId="7628040C" w:rsidR="007E41C9" w:rsidRPr="00DD6A04" w:rsidRDefault="007E41C9" w:rsidP="6E2BE0AD">
            <w:pPr>
              <w:spacing w:before="0" w:after="0" w:line="240" w:lineRule="auto"/>
              <w:rPr>
                <w:rFonts w:eastAsia="Times New Roman"/>
                <w:noProof/>
                <w:color w:val="006100"/>
                <w:sz w:val="22"/>
                <w:highlight w:val="yellow"/>
              </w:rPr>
            </w:pPr>
            <w:r>
              <w:rPr>
                <w:noProof/>
                <w:color w:val="006100"/>
                <w:sz w:val="22"/>
              </w:rPr>
              <w:t xml:space="preserve">Z zakonom se bo vzpostavila krizna shema skrajšanega delovnega časa za ohranitev delovnih mest v primeru nepredvidljivih okoliščin. Predlog zakona bo pripravljen na podlagi analize potreb in izkušenj z izvajanjem intervencijskega ukrepa med epidemijo COVID-19 ter med energetsko krizo v letu 2022 ter v sodelovanju s socialnimi partnerji. Zakon bo določal tudi obveznost usposabljanja in izobraževanja v obdobju koriščenja ukrepa skrajšanja delovnega časa. </w:t>
            </w:r>
          </w:p>
        </w:tc>
      </w:tr>
      <w:tr w:rsidR="007E41C9" w:rsidRPr="00DD6A04" w14:paraId="4948DA46" w14:textId="77777777" w:rsidTr="00A70F67">
        <w:trPr>
          <w:trHeight w:val="309"/>
          <w:jc w:val="center"/>
        </w:trPr>
        <w:tc>
          <w:tcPr>
            <w:tcW w:w="1348" w:type="dxa"/>
            <w:shd w:val="clear" w:color="auto" w:fill="C6EFCE"/>
            <w:noWrap/>
          </w:tcPr>
          <w:p w14:paraId="10CCBD66" w14:textId="7E33B8F6" w:rsidR="007E41C9" w:rsidRPr="00DD6A04" w:rsidRDefault="007E41C9" w:rsidP="007E41C9">
            <w:pPr>
              <w:spacing w:before="0" w:after="0" w:line="240" w:lineRule="auto"/>
              <w:rPr>
                <w:rFonts w:eastAsia="Times New Roman"/>
                <w:noProof/>
                <w:color w:val="006100"/>
                <w:sz w:val="22"/>
              </w:rPr>
            </w:pPr>
            <w:r>
              <w:rPr>
                <w:noProof/>
                <w:color w:val="006100"/>
                <w:sz w:val="22"/>
              </w:rPr>
              <w:t>136</w:t>
            </w:r>
          </w:p>
        </w:tc>
        <w:tc>
          <w:tcPr>
            <w:tcW w:w="1485" w:type="dxa"/>
            <w:shd w:val="clear" w:color="auto" w:fill="C6EFCE"/>
            <w:noWrap/>
          </w:tcPr>
          <w:p w14:paraId="198AA336" w14:textId="214BC023" w:rsidR="007E41C9" w:rsidRPr="00DD6A04" w:rsidRDefault="007E41C9" w:rsidP="007E41C9">
            <w:pPr>
              <w:spacing w:before="0" w:after="0" w:line="240" w:lineRule="auto"/>
              <w:rPr>
                <w:rFonts w:eastAsia="Times New Roman"/>
                <w:noProof/>
                <w:color w:val="006100"/>
                <w:sz w:val="22"/>
              </w:rPr>
            </w:pPr>
            <w:r>
              <w:rPr>
                <w:noProof/>
                <w:color w:val="006100"/>
                <w:sz w:val="22"/>
              </w:rPr>
              <w:t>A: Strukturni ukrepi za krepitev (odpornosti) trga dela</w:t>
            </w:r>
          </w:p>
        </w:tc>
        <w:tc>
          <w:tcPr>
            <w:tcW w:w="1062" w:type="dxa"/>
            <w:shd w:val="clear" w:color="auto" w:fill="C6EFCE"/>
            <w:noWrap/>
          </w:tcPr>
          <w:p w14:paraId="76A40816" w14:textId="7216C179" w:rsidR="007E41C9" w:rsidRPr="00DD6A04" w:rsidRDefault="007E41C9" w:rsidP="007E41C9">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0DD71A0C" w14:textId="6E093916"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Začetek veljavnosti sprememb Zakona o urejanju trga dela </w:t>
            </w:r>
          </w:p>
        </w:tc>
        <w:tc>
          <w:tcPr>
            <w:tcW w:w="1913" w:type="dxa"/>
            <w:shd w:val="clear" w:color="auto" w:fill="C6EFCE"/>
            <w:noWrap/>
          </w:tcPr>
          <w:p w14:paraId="100F0120" w14:textId="72E00430"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Zakonodajna določba o začetku veljavnosti sprememb Zakona o urejanju trga dela </w:t>
            </w:r>
          </w:p>
        </w:tc>
        <w:tc>
          <w:tcPr>
            <w:tcW w:w="1078" w:type="dxa"/>
            <w:shd w:val="clear" w:color="auto" w:fill="C6EFCE"/>
            <w:noWrap/>
          </w:tcPr>
          <w:p w14:paraId="2AAAD608" w14:textId="170DA7BE"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68" w:type="dxa"/>
            <w:shd w:val="clear" w:color="auto" w:fill="C6EFCE"/>
            <w:noWrap/>
          </w:tcPr>
          <w:p w14:paraId="01E8D2B5" w14:textId="77777777" w:rsidR="007E41C9" w:rsidRPr="00DD6A04" w:rsidRDefault="007E41C9" w:rsidP="007E41C9">
            <w:pPr>
              <w:spacing w:before="0" w:after="0" w:line="256" w:lineRule="auto"/>
              <w:jc w:val="right"/>
              <w:rPr>
                <w:rFonts w:eastAsia="Times New Roman"/>
                <w:noProof/>
                <w:color w:val="006100"/>
                <w:sz w:val="22"/>
              </w:rPr>
            </w:pPr>
            <w:r>
              <w:rPr>
                <w:noProof/>
                <w:color w:val="006100"/>
                <w:sz w:val="22"/>
              </w:rPr>
              <w:t> </w:t>
            </w:r>
          </w:p>
          <w:p w14:paraId="5BE82373" w14:textId="77777777" w:rsidR="007E41C9" w:rsidRPr="00DD6A04" w:rsidRDefault="007E41C9" w:rsidP="007E41C9">
            <w:pPr>
              <w:rPr>
                <w:rFonts w:eastAsia="Times New Roman"/>
                <w:noProof/>
                <w:color w:val="006100"/>
                <w:sz w:val="22"/>
                <w:lang w:val="en-GB" w:eastAsia="en-GB"/>
              </w:rPr>
            </w:pPr>
          </w:p>
          <w:p w14:paraId="76E1CD97" w14:textId="77777777" w:rsidR="007E41C9" w:rsidRPr="00DD6A04" w:rsidRDefault="007E41C9" w:rsidP="007E41C9">
            <w:pPr>
              <w:spacing w:before="0" w:after="0" w:line="240" w:lineRule="auto"/>
              <w:rPr>
                <w:rFonts w:eastAsia="Times New Roman"/>
                <w:noProof/>
                <w:color w:val="006100"/>
                <w:sz w:val="22"/>
                <w:lang w:val="en-GB" w:eastAsia="en-GB"/>
              </w:rPr>
            </w:pPr>
          </w:p>
        </w:tc>
        <w:tc>
          <w:tcPr>
            <w:tcW w:w="927" w:type="dxa"/>
            <w:shd w:val="clear" w:color="auto" w:fill="C6EFCE"/>
            <w:noWrap/>
          </w:tcPr>
          <w:p w14:paraId="4F990E25" w14:textId="73A4C75F"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826" w:type="dxa"/>
            <w:shd w:val="clear" w:color="auto" w:fill="C6EFCE"/>
            <w:noWrap/>
          </w:tcPr>
          <w:p w14:paraId="3DC077AF" w14:textId="13817B21" w:rsidR="007E41C9" w:rsidRPr="00DD6A04" w:rsidRDefault="007E41C9" w:rsidP="007E41C9">
            <w:pPr>
              <w:spacing w:before="0" w:after="0" w:line="240" w:lineRule="auto"/>
              <w:rPr>
                <w:rFonts w:eastAsia="Times New Roman"/>
                <w:noProof/>
                <w:color w:val="006100"/>
                <w:sz w:val="22"/>
              </w:rPr>
            </w:pPr>
            <w:r>
              <w:rPr>
                <w:noProof/>
                <w:color w:val="006100"/>
                <w:sz w:val="22"/>
              </w:rPr>
              <w:t>Q2</w:t>
            </w:r>
          </w:p>
        </w:tc>
        <w:tc>
          <w:tcPr>
            <w:tcW w:w="851" w:type="dxa"/>
            <w:shd w:val="clear" w:color="auto" w:fill="C6EFCE"/>
            <w:noWrap/>
          </w:tcPr>
          <w:p w14:paraId="1BBC510A" w14:textId="695D5EF4" w:rsidR="007E41C9" w:rsidRPr="00DD6A04" w:rsidRDefault="007E41C9" w:rsidP="007E41C9">
            <w:pPr>
              <w:spacing w:before="0" w:after="0" w:line="240" w:lineRule="auto"/>
              <w:rPr>
                <w:rFonts w:eastAsia="Times New Roman"/>
                <w:noProof/>
                <w:color w:val="006100"/>
                <w:sz w:val="22"/>
              </w:rPr>
            </w:pPr>
            <w:r>
              <w:rPr>
                <w:noProof/>
                <w:color w:val="006100"/>
                <w:sz w:val="22"/>
              </w:rPr>
              <w:t>2024</w:t>
            </w:r>
          </w:p>
        </w:tc>
        <w:tc>
          <w:tcPr>
            <w:tcW w:w="3297" w:type="dxa"/>
            <w:shd w:val="clear" w:color="auto" w:fill="C6EFCE"/>
            <w:noWrap/>
          </w:tcPr>
          <w:p w14:paraId="227DA5A8" w14:textId="3E1098CC" w:rsidR="007E41C9" w:rsidRPr="00DD6A04" w:rsidRDefault="007E41C9" w:rsidP="007E41C9">
            <w:pPr>
              <w:spacing w:before="0" w:after="0" w:line="240" w:lineRule="auto"/>
              <w:rPr>
                <w:rFonts w:eastAsia="Times New Roman"/>
                <w:noProof/>
                <w:color w:val="006100"/>
                <w:sz w:val="22"/>
                <w:highlight w:val="yellow"/>
              </w:rPr>
            </w:pPr>
            <w:r>
              <w:rPr>
                <w:noProof/>
                <w:color w:val="006100"/>
                <w:sz w:val="22"/>
              </w:rPr>
              <w:t>Namen sprememb na področju zavarovanja za primer brezposelnosti bo spodbujanje daljše delovne dobe in zmanjšanje vrzeli med starostjo ob odhodu s trga dela in zakonsko določeno upokojitveno starostjo.</w:t>
            </w:r>
          </w:p>
        </w:tc>
      </w:tr>
      <w:tr w:rsidR="007E41C9" w:rsidRPr="00DD6A04" w14:paraId="0223CEDF" w14:textId="77777777" w:rsidTr="00A70F67">
        <w:trPr>
          <w:trHeight w:val="309"/>
          <w:jc w:val="center"/>
        </w:trPr>
        <w:tc>
          <w:tcPr>
            <w:tcW w:w="1348" w:type="dxa"/>
            <w:shd w:val="clear" w:color="auto" w:fill="C6EFCE"/>
            <w:noWrap/>
          </w:tcPr>
          <w:p w14:paraId="085A37C5" w14:textId="1DC2A201" w:rsidR="007E41C9" w:rsidRPr="00DD6A04" w:rsidRDefault="007E41C9" w:rsidP="007E41C9">
            <w:pPr>
              <w:spacing w:before="0" w:after="0" w:line="240" w:lineRule="auto"/>
              <w:rPr>
                <w:rFonts w:eastAsia="Times New Roman"/>
                <w:noProof/>
                <w:color w:val="006100"/>
                <w:sz w:val="22"/>
              </w:rPr>
            </w:pPr>
            <w:r>
              <w:rPr>
                <w:noProof/>
                <w:color w:val="006100"/>
                <w:sz w:val="22"/>
              </w:rPr>
              <w:t>137</w:t>
            </w:r>
          </w:p>
        </w:tc>
        <w:tc>
          <w:tcPr>
            <w:tcW w:w="1485" w:type="dxa"/>
            <w:shd w:val="clear" w:color="auto" w:fill="C6EFCE"/>
            <w:noWrap/>
          </w:tcPr>
          <w:p w14:paraId="081A2F1A" w14:textId="4ECDB650" w:rsidR="007E41C9" w:rsidRPr="00DD6A04" w:rsidRDefault="007E41C9" w:rsidP="007E41C9">
            <w:pPr>
              <w:spacing w:before="0" w:after="0" w:line="240" w:lineRule="auto"/>
              <w:rPr>
                <w:rFonts w:eastAsia="Times New Roman"/>
                <w:noProof/>
                <w:color w:val="006100"/>
                <w:sz w:val="22"/>
              </w:rPr>
            </w:pPr>
            <w:r>
              <w:rPr>
                <w:noProof/>
                <w:color w:val="006100"/>
                <w:sz w:val="22"/>
              </w:rPr>
              <w:t>A: Strukturni ukrepi za krepitev (odpornosti) trga dela</w:t>
            </w:r>
          </w:p>
        </w:tc>
        <w:tc>
          <w:tcPr>
            <w:tcW w:w="1062" w:type="dxa"/>
            <w:shd w:val="clear" w:color="auto" w:fill="C6EFCE"/>
            <w:noWrap/>
          </w:tcPr>
          <w:p w14:paraId="6F8DA433" w14:textId="44D7EC82" w:rsidR="007E41C9" w:rsidRPr="00DD6A04" w:rsidRDefault="007E41C9" w:rsidP="007E41C9">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27E13BBB" w14:textId="2A992213"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Predlog sprememb pokojninske zakonodaje v posvetovanje </w:t>
            </w:r>
          </w:p>
        </w:tc>
        <w:tc>
          <w:tcPr>
            <w:tcW w:w="1913" w:type="dxa"/>
            <w:shd w:val="clear" w:color="auto" w:fill="C6EFCE"/>
            <w:noWrap/>
          </w:tcPr>
          <w:p w14:paraId="06BD2A83" w14:textId="4FBD0D7D"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Predložitev predloga sprememb Zakona o pokojninskem in invalidskem zavarovanju, katerega namen je zagotavljanje javnofinančne vzdržnosti sistema in primernih pokojnin, Ekonomsko-socialnemu svetu </w:t>
            </w:r>
          </w:p>
        </w:tc>
        <w:tc>
          <w:tcPr>
            <w:tcW w:w="1078" w:type="dxa"/>
            <w:shd w:val="clear" w:color="auto" w:fill="C6EFCE"/>
            <w:noWrap/>
          </w:tcPr>
          <w:p w14:paraId="22149233" w14:textId="22BB6567"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68" w:type="dxa"/>
            <w:shd w:val="clear" w:color="auto" w:fill="C6EFCE"/>
            <w:noWrap/>
          </w:tcPr>
          <w:p w14:paraId="0A396142" w14:textId="0A2DF6F7"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927" w:type="dxa"/>
            <w:shd w:val="clear" w:color="auto" w:fill="C6EFCE"/>
            <w:noWrap/>
          </w:tcPr>
          <w:p w14:paraId="5654D354" w14:textId="20680D57"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826" w:type="dxa"/>
            <w:shd w:val="clear" w:color="auto" w:fill="C6EFCE"/>
            <w:noWrap/>
          </w:tcPr>
          <w:p w14:paraId="0F3C19C1" w14:textId="52D49181" w:rsidR="007E41C9" w:rsidRPr="00DD6A04" w:rsidRDefault="007E41C9" w:rsidP="007E41C9">
            <w:pPr>
              <w:spacing w:before="0" w:after="0" w:line="240" w:lineRule="auto"/>
              <w:rPr>
                <w:rFonts w:eastAsia="Times New Roman"/>
                <w:noProof/>
                <w:color w:val="006100"/>
                <w:sz w:val="22"/>
              </w:rPr>
            </w:pPr>
            <w:r>
              <w:rPr>
                <w:noProof/>
                <w:color w:val="006100"/>
                <w:sz w:val="22"/>
              </w:rPr>
              <w:t>Q2</w:t>
            </w:r>
          </w:p>
        </w:tc>
        <w:tc>
          <w:tcPr>
            <w:tcW w:w="851" w:type="dxa"/>
            <w:shd w:val="clear" w:color="auto" w:fill="C6EFCE"/>
            <w:noWrap/>
          </w:tcPr>
          <w:p w14:paraId="0FB4CB98" w14:textId="3FDEE5F8" w:rsidR="007E41C9" w:rsidRPr="00DD6A04" w:rsidRDefault="007E41C9" w:rsidP="007E41C9">
            <w:pPr>
              <w:spacing w:before="0" w:after="0" w:line="240" w:lineRule="auto"/>
              <w:rPr>
                <w:rFonts w:eastAsia="Times New Roman"/>
                <w:noProof/>
                <w:color w:val="006100"/>
                <w:sz w:val="22"/>
              </w:rPr>
            </w:pPr>
            <w:r>
              <w:rPr>
                <w:noProof/>
                <w:color w:val="006100"/>
                <w:sz w:val="22"/>
              </w:rPr>
              <w:t>2023</w:t>
            </w:r>
          </w:p>
        </w:tc>
        <w:tc>
          <w:tcPr>
            <w:tcW w:w="3297" w:type="dxa"/>
            <w:shd w:val="clear" w:color="auto" w:fill="C6EFCE"/>
            <w:noWrap/>
          </w:tcPr>
          <w:p w14:paraId="65292858" w14:textId="77777777" w:rsidR="007E41C9" w:rsidRPr="00DD6A04" w:rsidRDefault="007E41C9" w:rsidP="007E41C9">
            <w:pPr>
              <w:spacing w:before="0" w:after="0" w:line="256" w:lineRule="auto"/>
              <w:rPr>
                <w:rFonts w:eastAsia="Times New Roman"/>
                <w:noProof/>
                <w:color w:val="006100"/>
                <w:sz w:val="22"/>
              </w:rPr>
            </w:pPr>
            <w:r>
              <w:rPr>
                <w:noProof/>
                <w:color w:val="006100"/>
                <w:sz w:val="22"/>
              </w:rPr>
              <w:t xml:space="preserve">Vsebina predloga bo obravnavala izzive glede vzdržnosti, kot so pričakovana demografska gibanja, odnos med zavarovanci in upokojenci, ustreznost ter preglednost pokojninskega in invalidskega zavarovanja. Predlog bo vključeval spremembe pogojev za upokojitev (kot sta višja upokojitvena starost in poenotenje obdobij, ko je zahtevano obdobje prilagojeno), spremembe indeksacije ter povezave med plačili in izplačili. </w:t>
            </w:r>
          </w:p>
          <w:p w14:paraId="76FD9C38" w14:textId="77777777" w:rsidR="007E41C9" w:rsidRPr="00DD6A04" w:rsidRDefault="007E41C9" w:rsidP="007E41C9">
            <w:pPr>
              <w:spacing w:before="0" w:after="0" w:line="256" w:lineRule="auto"/>
              <w:rPr>
                <w:rFonts w:eastAsia="Times New Roman"/>
                <w:noProof/>
                <w:color w:val="006100"/>
                <w:sz w:val="22"/>
                <w:lang w:val="en-GB" w:eastAsia="en-GB"/>
              </w:rPr>
            </w:pPr>
          </w:p>
          <w:p w14:paraId="7A5F11E4" w14:textId="77777777" w:rsidR="007E41C9" w:rsidRPr="00DD6A04" w:rsidRDefault="007E41C9" w:rsidP="007E41C9">
            <w:pPr>
              <w:spacing w:before="0" w:after="0" w:line="256" w:lineRule="auto"/>
              <w:rPr>
                <w:rFonts w:eastAsia="Times New Roman"/>
                <w:noProof/>
                <w:color w:val="006100"/>
                <w:sz w:val="22"/>
              </w:rPr>
            </w:pPr>
            <w:r>
              <w:rPr>
                <w:noProof/>
                <w:color w:val="006100"/>
                <w:sz w:val="22"/>
              </w:rPr>
              <w:t xml:space="preserve">Poleg tega bodo predlagani posodobitev sistema invalidskega zavarovanja, tudi zato, da se čim bolj poveča vključevanje posameznikov z zmanjšano delovno sposobnostjo na trg dela in s tem izboljša njihova socialna varnost, ter ukrepi za povečanje udeležbe v sistemih dodatnega pokojninskega zavarovanja. </w:t>
            </w:r>
          </w:p>
          <w:p w14:paraId="2C3E5A48" w14:textId="77777777" w:rsidR="007E41C9" w:rsidRPr="00DD6A04" w:rsidRDefault="007E41C9" w:rsidP="007E41C9">
            <w:pPr>
              <w:spacing w:before="0" w:after="0" w:line="256" w:lineRule="auto"/>
              <w:rPr>
                <w:rFonts w:eastAsia="Times New Roman"/>
                <w:noProof/>
                <w:color w:val="006100"/>
                <w:sz w:val="22"/>
                <w:lang w:val="en-GB" w:eastAsia="en-GB"/>
              </w:rPr>
            </w:pPr>
          </w:p>
          <w:p w14:paraId="25F34ED4" w14:textId="5B8EE400" w:rsidR="007E41C9" w:rsidRPr="00DD6A04" w:rsidRDefault="6F30F01B" w:rsidP="46F9D6A4">
            <w:pPr>
              <w:spacing w:before="0" w:after="0" w:line="240" w:lineRule="auto"/>
              <w:rPr>
                <w:rFonts w:eastAsia="Times New Roman"/>
                <w:noProof/>
                <w:color w:val="006100"/>
                <w:sz w:val="22"/>
                <w:highlight w:val="yellow"/>
              </w:rPr>
            </w:pPr>
            <w:r>
              <w:rPr>
                <w:noProof/>
                <w:color w:val="006100"/>
                <w:sz w:val="22"/>
              </w:rPr>
              <w:t>Predlog bo zagotovil javnofinančno vzdržnost pokojninskega sistema (tj. tveganja, ki izhajajo iz odhodkov, povezanih s staranjem prebivalstva, se znatno zmanjšajo iz sedanje kategorije z visokim tveganjem) in ustreznost pokojnin.</w:t>
            </w:r>
          </w:p>
        </w:tc>
      </w:tr>
      <w:tr w:rsidR="007E41C9" w:rsidRPr="00DD6A04" w14:paraId="4651E2E8" w14:textId="77777777" w:rsidTr="00A70F67">
        <w:trPr>
          <w:trHeight w:val="309"/>
          <w:jc w:val="center"/>
        </w:trPr>
        <w:tc>
          <w:tcPr>
            <w:tcW w:w="1348" w:type="dxa"/>
            <w:shd w:val="clear" w:color="auto" w:fill="C6EFCE"/>
            <w:noWrap/>
          </w:tcPr>
          <w:p w14:paraId="5B729913" w14:textId="5C00DBBF" w:rsidR="007E41C9" w:rsidRPr="00DD6A04" w:rsidRDefault="007E41C9" w:rsidP="007E41C9">
            <w:pPr>
              <w:spacing w:before="0" w:after="0" w:line="240" w:lineRule="auto"/>
              <w:rPr>
                <w:rFonts w:eastAsia="Times New Roman"/>
                <w:noProof/>
                <w:color w:val="006100"/>
                <w:sz w:val="22"/>
              </w:rPr>
            </w:pPr>
            <w:r>
              <w:rPr>
                <w:noProof/>
                <w:color w:val="006100"/>
                <w:sz w:val="22"/>
              </w:rPr>
              <w:t>138</w:t>
            </w:r>
          </w:p>
        </w:tc>
        <w:tc>
          <w:tcPr>
            <w:tcW w:w="1485" w:type="dxa"/>
            <w:shd w:val="clear" w:color="auto" w:fill="C6EFCE"/>
            <w:noWrap/>
          </w:tcPr>
          <w:p w14:paraId="56676304" w14:textId="27FB03BB" w:rsidR="007E41C9" w:rsidRPr="00DD6A04" w:rsidRDefault="007E41C9" w:rsidP="007E41C9">
            <w:pPr>
              <w:spacing w:before="0" w:after="0" w:line="240" w:lineRule="auto"/>
              <w:rPr>
                <w:rFonts w:eastAsia="Times New Roman"/>
                <w:noProof/>
                <w:color w:val="006100"/>
                <w:sz w:val="22"/>
              </w:rPr>
            </w:pPr>
            <w:r>
              <w:rPr>
                <w:noProof/>
                <w:color w:val="006100"/>
                <w:sz w:val="22"/>
              </w:rPr>
              <w:t>A: Strukturni ukrepi za krepitev (odpornosti) trga dela</w:t>
            </w:r>
          </w:p>
        </w:tc>
        <w:tc>
          <w:tcPr>
            <w:tcW w:w="1062" w:type="dxa"/>
            <w:shd w:val="clear" w:color="auto" w:fill="C6EFCE"/>
            <w:noWrap/>
          </w:tcPr>
          <w:p w14:paraId="574E669F" w14:textId="63CAF280" w:rsidR="007E41C9" w:rsidRPr="00DD6A04" w:rsidRDefault="007E41C9" w:rsidP="007E41C9">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75C3B740" w14:textId="7BC602F8"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Predložitev zakonodajnega predloga za celovite spremembe Zakona o pokojninskem in invalidskem zavarovanju Državnemu zboru </w:t>
            </w:r>
          </w:p>
        </w:tc>
        <w:tc>
          <w:tcPr>
            <w:tcW w:w="1913" w:type="dxa"/>
            <w:shd w:val="clear" w:color="auto" w:fill="C6EFCE"/>
            <w:noWrap/>
          </w:tcPr>
          <w:p w14:paraId="705A1C1E" w14:textId="766CE890"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Predlog zakonodajnih sprememb sprejme Vlada Republike Slovenije in ga posreduje Državnemu zboru </w:t>
            </w:r>
          </w:p>
        </w:tc>
        <w:tc>
          <w:tcPr>
            <w:tcW w:w="1078" w:type="dxa"/>
            <w:shd w:val="clear" w:color="auto" w:fill="C6EFCE"/>
            <w:noWrap/>
          </w:tcPr>
          <w:p w14:paraId="4BF58D21" w14:textId="4B22E1E9"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68" w:type="dxa"/>
            <w:shd w:val="clear" w:color="auto" w:fill="C6EFCE"/>
            <w:noWrap/>
          </w:tcPr>
          <w:p w14:paraId="263409ED" w14:textId="14417C64"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927" w:type="dxa"/>
            <w:shd w:val="clear" w:color="auto" w:fill="C6EFCE"/>
            <w:noWrap/>
          </w:tcPr>
          <w:p w14:paraId="356D81E5" w14:textId="2F4DCC84"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826" w:type="dxa"/>
            <w:shd w:val="clear" w:color="auto" w:fill="C6EFCE"/>
            <w:noWrap/>
          </w:tcPr>
          <w:p w14:paraId="451CFBE4" w14:textId="56ABA2AB" w:rsidR="007E41C9" w:rsidRPr="00DD6A04" w:rsidRDefault="007E41C9" w:rsidP="007E41C9">
            <w:pPr>
              <w:spacing w:before="0" w:after="0" w:line="240" w:lineRule="auto"/>
              <w:rPr>
                <w:rFonts w:eastAsia="Times New Roman"/>
                <w:noProof/>
                <w:color w:val="006100"/>
                <w:sz w:val="22"/>
              </w:rPr>
            </w:pPr>
            <w:r>
              <w:rPr>
                <w:noProof/>
                <w:color w:val="006100"/>
                <w:sz w:val="22"/>
              </w:rPr>
              <w:t>Q4</w:t>
            </w:r>
          </w:p>
        </w:tc>
        <w:tc>
          <w:tcPr>
            <w:tcW w:w="851" w:type="dxa"/>
            <w:shd w:val="clear" w:color="auto" w:fill="C6EFCE"/>
            <w:noWrap/>
          </w:tcPr>
          <w:p w14:paraId="03F84188" w14:textId="118C553D" w:rsidR="007E41C9" w:rsidRPr="00DD6A04" w:rsidRDefault="007E41C9" w:rsidP="007E41C9">
            <w:pPr>
              <w:spacing w:before="0" w:after="0" w:line="240" w:lineRule="auto"/>
              <w:rPr>
                <w:rFonts w:eastAsia="Times New Roman"/>
                <w:noProof/>
                <w:color w:val="006100"/>
                <w:sz w:val="22"/>
              </w:rPr>
            </w:pPr>
            <w:r>
              <w:rPr>
                <w:noProof/>
                <w:color w:val="006100"/>
                <w:sz w:val="22"/>
              </w:rPr>
              <w:t>2023</w:t>
            </w:r>
          </w:p>
        </w:tc>
        <w:tc>
          <w:tcPr>
            <w:tcW w:w="3297" w:type="dxa"/>
            <w:shd w:val="clear" w:color="auto" w:fill="C6EFCE"/>
            <w:noWrap/>
          </w:tcPr>
          <w:p w14:paraId="65F6C0DE" w14:textId="5E7DC0F2" w:rsidR="007E41C9" w:rsidRPr="00DD6A04" w:rsidRDefault="007E41C9" w:rsidP="007E41C9">
            <w:pPr>
              <w:spacing w:before="0" w:after="0" w:line="240" w:lineRule="auto"/>
              <w:rPr>
                <w:rFonts w:eastAsia="Times New Roman"/>
                <w:noProof/>
                <w:color w:val="006100"/>
                <w:sz w:val="22"/>
                <w:highlight w:val="yellow"/>
              </w:rPr>
            </w:pPr>
            <w:r>
              <w:rPr>
                <w:noProof/>
                <w:color w:val="006100"/>
                <w:sz w:val="22"/>
              </w:rPr>
              <w:t>Vlada sprejme in Državnemu zboru posreduje zakonodajo, da se zagotovi javnofinančna vzdržnost pokojninskega sistema (tj. tveganja, ki izhajajo iz odhodkov, povezanih s staranjem prebivalstva, bodo znatno zmanjšana iz sedanje kategorije z visokim tveganjem) in ustreznost pokojnin. Cilj predloga bo podaljšati obdobje zaposlenosti in povečati vključevanje starejših na trg dela, hkrati pa zagotoviti ustreznost pokojnin in javnofinančno vzdržnost pokojninskega sistema.</w:t>
            </w:r>
          </w:p>
        </w:tc>
      </w:tr>
      <w:tr w:rsidR="007E41C9" w:rsidRPr="00DD6A04" w14:paraId="275B0EB3" w14:textId="77777777" w:rsidTr="00A70F67">
        <w:trPr>
          <w:trHeight w:val="309"/>
          <w:jc w:val="center"/>
        </w:trPr>
        <w:tc>
          <w:tcPr>
            <w:tcW w:w="1348" w:type="dxa"/>
            <w:shd w:val="clear" w:color="auto" w:fill="C6EFCE"/>
            <w:noWrap/>
          </w:tcPr>
          <w:p w14:paraId="44D2E118" w14:textId="7C361F29" w:rsidR="007E41C9" w:rsidRPr="00DD6A04" w:rsidRDefault="007E41C9" w:rsidP="007E41C9">
            <w:pPr>
              <w:spacing w:before="0" w:after="0" w:line="240" w:lineRule="auto"/>
              <w:rPr>
                <w:rFonts w:eastAsia="Times New Roman"/>
                <w:noProof/>
                <w:color w:val="006100"/>
                <w:sz w:val="22"/>
              </w:rPr>
            </w:pPr>
            <w:r>
              <w:rPr>
                <w:noProof/>
                <w:color w:val="006100"/>
                <w:sz w:val="22"/>
              </w:rPr>
              <w:t>139</w:t>
            </w:r>
          </w:p>
        </w:tc>
        <w:tc>
          <w:tcPr>
            <w:tcW w:w="1485" w:type="dxa"/>
            <w:shd w:val="clear" w:color="auto" w:fill="C6EFCE"/>
            <w:noWrap/>
          </w:tcPr>
          <w:p w14:paraId="69121D93" w14:textId="435662DA" w:rsidR="007E41C9" w:rsidRPr="00DD6A04" w:rsidRDefault="007E41C9" w:rsidP="007E41C9">
            <w:pPr>
              <w:spacing w:before="0" w:after="0" w:line="240" w:lineRule="auto"/>
              <w:rPr>
                <w:rFonts w:eastAsia="Times New Roman"/>
                <w:noProof/>
                <w:color w:val="006100"/>
                <w:sz w:val="22"/>
              </w:rPr>
            </w:pPr>
            <w:r>
              <w:rPr>
                <w:noProof/>
                <w:color w:val="006100"/>
                <w:sz w:val="22"/>
              </w:rPr>
              <w:t>A: Strukturni ukrepi za krepitev (odpornosti) trga dela</w:t>
            </w:r>
          </w:p>
        </w:tc>
        <w:tc>
          <w:tcPr>
            <w:tcW w:w="1062" w:type="dxa"/>
            <w:shd w:val="clear" w:color="auto" w:fill="C6EFCE"/>
            <w:noWrap/>
          </w:tcPr>
          <w:p w14:paraId="770571A8" w14:textId="641B21E1" w:rsidR="007E41C9" w:rsidRPr="00DD6A04" w:rsidRDefault="007E41C9" w:rsidP="007E41C9">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26E63165" w14:textId="7FEFA906"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Začetek veljavnosti sprememb Zakona o pokojninskem in invalidskem zavarovanju, katerega namen je zagotavljanje javnofinančne vzdržnosti sistema in primernih pokojnin </w:t>
            </w:r>
          </w:p>
        </w:tc>
        <w:tc>
          <w:tcPr>
            <w:tcW w:w="1913" w:type="dxa"/>
            <w:shd w:val="clear" w:color="auto" w:fill="C6EFCE"/>
            <w:noWrap/>
          </w:tcPr>
          <w:p w14:paraId="6801B0CD" w14:textId="283447CA"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Zakonodajna določba o začetku veljavnosti sprememb Zakona o pokojninskem in invalidskem zavarovanju </w:t>
            </w:r>
          </w:p>
        </w:tc>
        <w:tc>
          <w:tcPr>
            <w:tcW w:w="1078" w:type="dxa"/>
            <w:shd w:val="clear" w:color="auto" w:fill="C6EFCE"/>
            <w:noWrap/>
          </w:tcPr>
          <w:p w14:paraId="23E8A2C2" w14:textId="78B2C68E"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68" w:type="dxa"/>
            <w:shd w:val="clear" w:color="auto" w:fill="C6EFCE"/>
            <w:noWrap/>
          </w:tcPr>
          <w:p w14:paraId="2EB8B0BD" w14:textId="7D781BEF"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927" w:type="dxa"/>
            <w:shd w:val="clear" w:color="auto" w:fill="C6EFCE"/>
            <w:noWrap/>
          </w:tcPr>
          <w:p w14:paraId="7E610857" w14:textId="03D4A4D3"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826" w:type="dxa"/>
            <w:shd w:val="clear" w:color="auto" w:fill="C6EFCE"/>
            <w:noWrap/>
          </w:tcPr>
          <w:p w14:paraId="6B89EEF5" w14:textId="0FC3F604" w:rsidR="007E41C9" w:rsidRPr="00DD6A04" w:rsidRDefault="007E41C9" w:rsidP="007E41C9">
            <w:pPr>
              <w:spacing w:before="0" w:after="0" w:line="240" w:lineRule="auto"/>
              <w:rPr>
                <w:rFonts w:eastAsia="Times New Roman"/>
                <w:noProof/>
                <w:color w:val="006100"/>
                <w:sz w:val="22"/>
              </w:rPr>
            </w:pPr>
            <w:r>
              <w:rPr>
                <w:noProof/>
                <w:color w:val="006100"/>
                <w:sz w:val="22"/>
              </w:rPr>
              <w:t>Q4</w:t>
            </w:r>
          </w:p>
        </w:tc>
        <w:tc>
          <w:tcPr>
            <w:tcW w:w="851" w:type="dxa"/>
            <w:shd w:val="clear" w:color="auto" w:fill="C6EFCE"/>
            <w:noWrap/>
          </w:tcPr>
          <w:p w14:paraId="25A128DD" w14:textId="6BC1B63E" w:rsidR="007E41C9" w:rsidRPr="00DD6A04" w:rsidRDefault="007E41C9" w:rsidP="007E41C9">
            <w:pPr>
              <w:spacing w:before="0" w:after="0" w:line="240" w:lineRule="auto"/>
              <w:rPr>
                <w:rFonts w:eastAsia="Times New Roman"/>
                <w:noProof/>
                <w:color w:val="006100"/>
                <w:sz w:val="22"/>
              </w:rPr>
            </w:pPr>
            <w:r>
              <w:rPr>
                <w:noProof/>
                <w:color w:val="006100"/>
                <w:sz w:val="22"/>
              </w:rPr>
              <w:t>2024</w:t>
            </w:r>
          </w:p>
        </w:tc>
        <w:tc>
          <w:tcPr>
            <w:tcW w:w="3297" w:type="dxa"/>
            <w:shd w:val="clear" w:color="auto" w:fill="C6EFCE"/>
            <w:noWrap/>
          </w:tcPr>
          <w:p w14:paraId="32A96381" w14:textId="5187BF34" w:rsidR="007E41C9" w:rsidRPr="00DD6A04" w:rsidRDefault="007E41C9" w:rsidP="007E41C9">
            <w:pPr>
              <w:spacing w:before="0" w:after="0" w:line="240" w:lineRule="auto"/>
              <w:rPr>
                <w:rFonts w:eastAsia="Times New Roman"/>
                <w:noProof/>
                <w:color w:val="006100"/>
                <w:sz w:val="22"/>
                <w:highlight w:val="yellow"/>
              </w:rPr>
            </w:pPr>
            <w:r>
              <w:rPr>
                <w:noProof/>
                <w:color w:val="006100"/>
                <w:sz w:val="22"/>
              </w:rPr>
              <w:t xml:space="preserve">Sprejeta zakonodaja bo zagotovila javnofinančno vzdržnost pokojninskega sistema (tj. tveganja, ki izhajajo iz odhodkov, povezanih s staranjem prebivalstva, se bodo znatno zmanjšala iz sedanje kategorije z visokim tveganjem) in ustreznost pokojnin. S predlogom se bo podaljšalo obdobje zaposlenosti, zmanjšala vrzel med zakonsko določeno in dejansko upokojitveno starostjo, povečalo vključevanje starejših delavcev na trg dela ter zagotovili ustreznost pokojnin in javnofinančna vzdržnost pokojninskega sistema. </w:t>
            </w:r>
          </w:p>
        </w:tc>
      </w:tr>
      <w:tr w:rsidR="007E41C9" w:rsidRPr="00DD6A04" w14:paraId="4EB4CB3B" w14:textId="77777777" w:rsidTr="00A70F67">
        <w:trPr>
          <w:trHeight w:val="309"/>
          <w:jc w:val="center"/>
        </w:trPr>
        <w:tc>
          <w:tcPr>
            <w:tcW w:w="1348" w:type="dxa"/>
            <w:shd w:val="clear" w:color="auto" w:fill="C6EFCE"/>
            <w:noWrap/>
          </w:tcPr>
          <w:p w14:paraId="24D5653F" w14:textId="252FED4F" w:rsidR="007E41C9" w:rsidRPr="00DD6A04" w:rsidRDefault="007E41C9" w:rsidP="007E41C9">
            <w:pPr>
              <w:spacing w:before="0" w:after="0" w:line="240" w:lineRule="auto"/>
              <w:rPr>
                <w:rFonts w:eastAsia="Times New Roman"/>
                <w:noProof/>
                <w:color w:val="006100"/>
                <w:sz w:val="22"/>
              </w:rPr>
            </w:pPr>
            <w:r>
              <w:rPr>
                <w:noProof/>
                <w:color w:val="006100"/>
                <w:sz w:val="22"/>
              </w:rPr>
              <w:t>140</w:t>
            </w:r>
          </w:p>
        </w:tc>
        <w:tc>
          <w:tcPr>
            <w:tcW w:w="1485" w:type="dxa"/>
            <w:shd w:val="clear" w:color="auto" w:fill="C6EFCE"/>
            <w:noWrap/>
          </w:tcPr>
          <w:p w14:paraId="2999D510" w14:textId="3AAFB0BD" w:rsidR="007E41C9" w:rsidRPr="00DD6A04" w:rsidRDefault="007E41C9" w:rsidP="007E41C9">
            <w:pPr>
              <w:spacing w:before="0" w:after="0" w:line="240" w:lineRule="auto"/>
              <w:rPr>
                <w:rFonts w:eastAsia="Times New Roman"/>
                <w:noProof/>
                <w:color w:val="006100"/>
                <w:sz w:val="22"/>
              </w:rPr>
            </w:pPr>
            <w:r>
              <w:rPr>
                <w:noProof/>
                <w:color w:val="006100"/>
                <w:sz w:val="22"/>
              </w:rPr>
              <w:t>A: Strukturni ukrepi za krepitev (odpornosti) trga dela</w:t>
            </w:r>
          </w:p>
        </w:tc>
        <w:tc>
          <w:tcPr>
            <w:tcW w:w="1062" w:type="dxa"/>
            <w:shd w:val="clear" w:color="auto" w:fill="C6EFCE"/>
            <w:noWrap/>
          </w:tcPr>
          <w:p w14:paraId="0D8FA2FA" w14:textId="011C1B1E" w:rsidR="007E41C9" w:rsidRPr="00DD6A04" w:rsidRDefault="007E41C9" w:rsidP="007E41C9">
            <w:pPr>
              <w:spacing w:before="0" w:after="0" w:line="240" w:lineRule="auto"/>
              <w:rPr>
                <w:rFonts w:eastAsia="Times New Roman"/>
                <w:noProof/>
                <w:color w:val="006100"/>
                <w:sz w:val="22"/>
              </w:rPr>
            </w:pPr>
            <w:r>
              <w:rPr>
                <w:noProof/>
                <w:color w:val="006100"/>
                <w:sz w:val="22"/>
              </w:rPr>
              <w:t>Mejnik</w:t>
            </w:r>
          </w:p>
        </w:tc>
        <w:tc>
          <w:tcPr>
            <w:tcW w:w="1701" w:type="dxa"/>
            <w:shd w:val="clear" w:color="auto" w:fill="C6EFCE"/>
            <w:noWrap/>
          </w:tcPr>
          <w:p w14:paraId="5A6C1454" w14:textId="2E48FE9A"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Posodobitev izvedbenih dokumentov za Smernice za izvajanje ukrepov aktivne politike zaposlovanja za obdobje 2021–2025 </w:t>
            </w:r>
          </w:p>
        </w:tc>
        <w:tc>
          <w:tcPr>
            <w:tcW w:w="1913" w:type="dxa"/>
            <w:shd w:val="clear" w:color="auto" w:fill="C6EFCE"/>
            <w:noWrap/>
          </w:tcPr>
          <w:p w14:paraId="415C3655" w14:textId="77777777" w:rsidR="007E41C9" w:rsidRPr="00DD6A04" w:rsidRDefault="007E41C9" w:rsidP="007E41C9">
            <w:pPr>
              <w:spacing w:before="0" w:after="0" w:line="256" w:lineRule="auto"/>
              <w:rPr>
                <w:rFonts w:eastAsia="Times New Roman"/>
                <w:noProof/>
                <w:color w:val="006100"/>
                <w:sz w:val="22"/>
              </w:rPr>
            </w:pPr>
            <w:r>
              <w:rPr>
                <w:noProof/>
                <w:color w:val="006100"/>
                <w:sz w:val="22"/>
              </w:rPr>
              <w:t xml:space="preserve">Dokončan in objavljen pregled in posodobitev izvedbenih dokumentov Smernic </w:t>
            </w:r>
          </w:p>
          <w:p w14:paraId="7F54CD9A" w14:textId="099D3ECD" w:rsidR="007E41C9" w:rsidRPr="00DD6A04" w:rsidRDefault="007E41C9" w:rsidP="007E41C9">
            <w:pPr>
              <w:spacing w:before="0" w:after="0" w:line="240" w:lineRule="auto"/>
              <w:rPr>
                <w:rFonts w:eastAsia="Times New Roman"/>
                <w:noProof/>
                <w:color w:val="006100"/>
                <w:sz w:val="22"/>
              </w:rPr>
            </w:pPr>
            <w:r>
              <w:rPr>
                <w:noProof/>
                <w:color w:val="006100"/>
                <w:sz w:val="22"/>
              </w:rPr>
              <w:t>za izvajanje ukrepov aktivne politike zaposlovanja za obdobje 2021–2025</w:t>
            </w:r>
          </w:p>
        </w:tc>
        <w:tc>
          <w:tcPr>
            <w:tcW w:w="1078" w:type="dxa"/>
            <w:shd w:val="clear" w:color="auto" w:fill="C6EFCE"/>
            <w:noWrap/>
          </w:tcPr>
          <w:p w14:paraId="73608D25" w14:textId="707EE715"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68" w:type="dxa"/>
            <w:shd w:val="clear" w:color="auto" w:fill="C6EFCE"/>
            <w:noWrap/>
          </w:tcPr>
          <w:p w14:paraId="5A13BC8D" w14:textId="4F73FBB3"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927" w:type="dxa"/>
            <w:shd w:val="clear" w:color="auto" w:fill="C6EFCE"/>
            <w:noWrap/>
          </w:tcPr>
          <w:p w14:paraId="42354DA8" w14:textId="2F8BF199"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826" w:type="dxa"/>
            <w:shd w:val="clear" w:color="auto" w:fill="C6EFCE"/>
            <w:noWrap/>
          </w:tcPr>
          <w:p w14:paraId="11F0F71B" w14:textId="26C03FD1" w:rsidR="007E41C9" w:rsidRPr="00DD6A04" w:rsidRDefault="007E41C9" w:rsidP="007E41C9">
            <w:pPr>
              <w:spacing w:before="0" w:after="0" w:line="240" w:lineRule="auto"/>
              <w:rPr>
                <w:rFonts w:eastAsia="Times New Roman"/>
                <w:noProof/>
                <w:color w:val="006100"/>
                <w:sz w:val="22"/>
              </w:rPr>
            </w:pPr>
            <w:r>
              <w:rPr>
                <w:noProof/>
                <w:color w:val="006100"/>
                <w:sz w:val="22"/>
              </w:rPr>
              <w:t>Q4</w:t>
            </w:r>
          </w:p>
        </w:tc>
        <w:tc>
          <w:tcPr>
            <w:tcW w:w="851" w:type="dxa"/>
            <w:shd w:val="clear" w:color="auto" w:fill="C6EFCE"/>
            <w:noWrap/>
          </w:tcPr>
          <w:p w14:paraId="64448ED0" w14:textId="385D0879" w:rsidR="007E41C9" w:rsidRPr="00DD6A04" w:rsidRDefault="007E41C9" w:rsidP="007E41C9">
            <w:pPr>
              <w:spacing w:before="0" w:after="0" w:line="240" w:lineRule="auto"/>
              <w:rPr>
                <w:rFonts w:eastAsia="Times New Roman"/>
                <w:noProof/>
                <w:color w:val="006100"/>
                <w:sz w:val="22"/>
              </w:rPr>
            </w:pPr>
            <w:r>
              <w:rPr>
                <w:noProof/>
                <w:color w:val="006100"/>
                <w:sz w:val="22"/>
              </w:rPr>
              <w:t>2024</w:t>
            </w:r>
          </w:p>
        </w:tc>
        <w:tc>
          <w:tcPr>
            <w:tcW w:w="3297" w:type="dxa"/>
            <w:shd w:val="clear" w:color="auto" w:fill="C6EFCE"/>
            <w:noWrap/>
          </w:tcPr>
          <w:p w14:paraId="3527B0C2" w14:textId="641AD1BD" w:rsidR="007E41C9" w:rsidRPr="00DD6A04" w:rsidRDefault="007E41C9" w:rsidP="007E41C9">
            <w:pPr>
              <w:spacing w:before="0" w:after="0" w:line="240" w:lineRule="auto"/>
              <w:rPr>
                <w:rFonts w:eastAsia="Times New Roman"/>
                <w:noProof/>
                <w:color w:val="006100"/>
                <w:sz w:val="22"/>
                <w:highlight w:val="yellow"/>
              </w:rPr>
            </w:pPr>
            <w:r>
              <w:rPr>
                <w:noProof/>
                <w:color w:val="006100"/>
                <w:sz w:val="22"/>
              </w:rPr>
              <w:t xml:space="preserve">Ministrstvo za delo, družino, socialne zadeve in enake možnosti bo pregledalo in posodobilo izvedbene dokumente za Smernice za izvajanje ukrepov aktivne politike zaposlovanja za obdobje 2021–2025, zlasti načrt aktivne politike zaposlovanja in katalog ukrepov aktivne politike zaposlovanja, da se zagotovi učinkovitejše izvajanje in doseganje zastavljenih strateških ciljev. Posodobitev bo osredotočena na zmanjšanje števila dolgotrajno brezposelnih oseb v registru slovenskega zavoda za zaposlovanje (primerjava z referenčnim obdobjem 2020). </w:t>
            </w:r>
          </w:p>
        </w:tc>
      </w:tr>
      <w:tr w:rsidR="007E41C9" w:rsidRPr="00DD6A04" w14:paraId="06F891E0" w14:textId="77777777" w:rsidTr="00A70F67">
        <w:trPr>
          <w:trHeight w:val="309"/>
          <w:jc w:val="center"/>
        </w:trPr>
        <w:tc>
          <w:tcPr>
            <w:tcW w:w="1348" w:type="dxa"/>
            <w:shd w:val="clear" w:color="auto" w:fill="C6EFCE"/>
            <w:noWrap/>
          </w:tcPr>
          <w:p w14:paraId="7016EDBA" w14:textId="2BFDBC4D" w:rsidR="007E41C9" w:rsidRPr="00DD6A04" w:rsidRDefault="007E41C9" w:rsidP="007E41C9">
            <w:pPr>
              <w:spacing w:before="0" w:after="0" w:line="240" w:lineRule="auto"/>
              <w:rPr>
                <w:rFonts w:eastAsia="Times New Roman"/>
                <w:noProof/>
                <w:color w:val="006100"/>
                <w:sz w:val="22"/>
              </w:rPr>
            </w:pPr>
            <w:r>
              <w:rPr>
                <w:noProof/>
                <w:color w:val="006100"/>
                <w:sz w:val="22"/>
              </w:rPr>
              <w:t>143</w:t>
            </w:r>
          </w:p>
        </w:tc>
        <w:tc>
          <w:tcPr>
            <w:tcW w:w="1485" w:type="dxa"/>
            <w:shd w:val="clear" w:color="auto" w:fill="C6EFCE"/>
            <w:noWrap/>
          </w:tcPr>
          <w:p w14:paraId="3AAAF733" w14:textId="402DA625" w:rsidR="007E41C9" w:rsidRPr="00DD6A04" w:rsidRDefault="007E41C9" w:rsidP="007E41C9">
            <w:pPr>
              <w:spacing w:before="0" w:after="0" w:line="240" w:lineRule="auto"/>
              <w:rPr>
                <w:rFonts w:eastAsia="Times New Roman"/>
                <w:noProof/>
                <w:color w:val="006100"/>
                <w:sz w:val="22"/>
              </w:rPr>
            </w:pPr>
            <w:r>
              <w:rPr>
                <w:noProof/>
                <w:color w:val="006100"/>
                <w:sz w:val="22"/>
              </w:rPr>
              <w:t>C: Uvajanje prožnejših načinov dela, prilagojenih potrebam invalidov, v invalidskih podjetjih in zaposlitvenih centrih</w:t>
            </w:r>
          </w:p>
        </w:tc>
        <w:tc>
          <w:tcPr>
            <w:tcW w:w="1062" w:type="dxa"/>
            <w:shd w:val="clear" w:color="auto" w:fill="C6EFCE"/>
            <w:noWrap/>
          </w:tcPr>
          <w:p w14:paraId="4BDA3878" w14:textId="324BC0EB" w:rsidR="007E41C9" w:rsidRPr="00DD6A04" w:rsidRDefault="007E41C9" w:rsidP="007E41C9">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0DB51E60" w14:textId="1F34CB4B" w:rsidR="007E41C9" w:rsidRPr="00DD6A04" w:rsidRDefault="007E41C9" w:rsidP="007E41C9">
            <w:pPr>
              <w:spacing w:before="0" w:after="0" w:line="240" w:lineRule="auto"/>
              <w:rPr>
                <w:rFonts w:eastAsia="Times New Roman"/>
                <w:noProof/>
                <w:color w:val="006100"/>
                <w:sz w:val="22"/>
              </w:rPr>
            </w:pPr>
            <w:r>
              <w:rPr>
                <w:noProof/>
                <w:color w:val="006100"/>
                <w:sz w:val="22"/>
              </w:rPr>
              <w:t xml:space="preserve">Dokončani projekti za invalidska podjetja in zaposlitvene centre </w:t>
            </w:r>
          </w:p>
        </w:tc>
        <w:tc>
          <w:tcPr>
            <w:tcW w:w="1913" w:type="dxa"/>
            <w:shd w:val="clear" w:color="auto" w:fill="C6EFCE"/>
            <w:noWrap/>
          </w:tcPr>
          <w:p w14:paraId="785B06FD" w14:textId="4767C081"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78" w:type="dxa"/>
            <w:shd w:val="clear" w:color="auto" w:fill="C6EFCE"/>
            <w:noWrap/>
          </w:tcPr>
          <w:p w14:paraId="57280800" w14:textId="725100E8" w:rsidR="007E41C9" w:rsidRPr="00DD6A04" w:rsidRDefault="007E41C9" w:rsidP="007E41C9">
            <w:pPr>
              <w:spacing w:before="0" w:after="0" w:line="240" w:lineRule="auto"/>
              <w:rPr>
                <w:rFonts w:eastAsia="Times New Roman"/>
                <w:noProof/>
                <w:color w:val="006100"/>
                <w:sz w:val="22"/>
              </w:rPr>
            </w:pPr>
            <w:r>
              <w:rPr>
                <w:noProof/>
                <w:color w:val="006100"/>
                <w:sz w:val="22"/>
              </w:rPr>
              <w:t>Število</w:t>
            </w:r>
          </w:p>
        </w:tc>
        <w:tc>
          <w:tcPr>
            <w:tcW w:w="1068" w:type="dxa"/>
            <w:shd w:val="clear" w:color="auto" w:fill="C6EFCE"/>
            <w:noWrap/>
          </w:tcPr>
          <w:p w14:paraId="35C7DE03" w14:textId="289CC1A3" w:rsidR="007E41C9" w:rsidRPr="00DD6A04" w:rsidRDefault="007E41C9" w:rsidP="007E41C9">
            <w:pPr>
              <w:spacing w:before="0" w:after="0" w:line="240" w:lineRule="auto"/>
              <w:rPr>
                <w:rFonts w:eastAsia="Times New Roman"/>
                <w:noProof/>
                <w:color w:val="006100"/>
                <w:sz w:val="22"/>
              </w:rPr>
            </w:pPr>
            <w:r>
              <w:rPr>
                <w:noProof/>
                <w:color w:val="006100"/>
                <w:sz w:val="22"/>
              </w:rPr>
              <w:t>0</w:t>
            </w:r>
          </w:p>
        </w:tc>
        <w:tc>
          <w:tcPr>
            <w:tcW w:w="927" w:type="dxa"/>
            <w:shd w:val="clear" w:color="auto" w:fill="C6EFCE"/>
            <w:noWrap/>
          </w:tcPr>
          <w:p w14:paraId="4F9CF626" w14:textId="20BD5FB6" w:rsidR="007E41C9" w:rsidRPr="00DD6A04" w:rsidRDefault="007E41C9" w:rsidP="007E41C9">
            <w:pPr>
              <w:spacing w:before="0" w:after="0" w:line="240" w:lineRule="auto"/>
              <w:rPr>
                <w:rFonts w:eastAsia="Times New Roman"/>
                <w:noProof/>
                <w:color w:val="006100"/>
                <w:sz w:val="22"/>
              </w:rPr>
            </w:pPr>
            <w:r>
              <w:rPr>
                <w:noProof/>
                <w:color w:val="006100"/>
                <w:sz w:val="22"/>
              </w:rPr>
              <w:t>53</w:t>
            </w:r>
          </w:p>
        </w:tc>
        <w:tc>
          <w:tcPr>
            <w:tcW w:w="826" w:type="dxa"/>
            <w:shd w:val="clear" w:color="auto" w:fill="C6EFCE"/>
            <w:noWrap/>
          </w:tcPr>
          <w:p w14:paraId="539C0092" w14:textId="1C0D8643" w:rsidR="007E41C9" w:rsidRPr="00DD6A04" w:rsidRDefault="007E41C9" w:rsidP="007E41C9">
            <w:pPr>
              <w:spacing w:before="0" w:after="0" w:line="240" w:lineRule="auto"/>
              <w:rPr>
                <w:rFonts w:eastAsia="Times New Roman"/>
                <w:noProof/>
                <w:color w:val="006100"/>
                <w:sz w:val="22"/>
              </w:rPr>
            </w:pPr>
            <w:r>
              <w:rPr>
                <w:noProof/>
                <w:color w:val="006100"/>
                <w:sz w:val="22"/>
              </w:rPr>
              <w:t>Q2</w:t>
            </w:r>
          </w:p>
        </w:tc>
        <w:tc>
          <w:tcPr>
            <w:tcW w:w="851" w:type="dxa"/>
            <w:shd w:val="clear" w:color="auto" w:fill="C6EFCE"/>
            <w:noWrap/>
          </w:tcPr>
          <w:p w14:paraId="22CEC90B" w14:textId="5FBF1CB5" w:rsidR="007E41C9" w:rsidRPr="00DD6A04" w:rsidRDefault="4163C168" w:rsidP="007E41C9">
            <w:pPr>
              <w:spacing w:before="0" w:after="0" w:line="240" w:lineRule="auto"/>
              <w:rPr>
                <w:rFonts w:eastAsia="Times New Roman"/>
                <w:noProof/>
                <w:color w:val="006100"/>
                <w:sz w:val="22"/>
              </w:rPr>
            </w:pPr>
            <w:r>
              <w:rPr>
                <w:noProof/>
                <w:color w:val="006100"/>
                <w:sz w:val="22"/>
              </w:rPr>
              <w:t>2025</w:t>
            </w:r>
          </w:p>
        </w:tc>
        <w:tc>
          <w:tcPr>
            <w:tcW w:w="3297" w:type="dxa"/>
            <w:shd w:val="clear" w:color="auto" w:fill="C6EFCE"/>
            <w:noWrap/>
          </w:tcPr>
          <w:p w14:paraId="720362F7" w14:textId="41BD3E65" w:rsidR="007E41C9" w:rsidRPr="00DD6A04" w:rsidRDefault="6876A4CB" w:rsidP="150EC00E">
            <w:pPr>
              <w:spacing w:before="0" w:after="0" w:line="240" w:lineRule="auto"/>
              <w:rPr>
                <w:rFonts w:eastAsia="Times New Roman"/>
                <w:noProof/>
                <w:color w:val="006100"/>
                <w:sz w:val="22"/>
                <w:highlight w:val="yellow"/>
              </w:rPr>
            </w:pPr>
            <w:r>
              <w:rPr>
                <w:noProof/>
                <w:color w:val="006100"/>
                <w:sz w:val="22"/>
              </w:rPr>
              <w:t xml:space="preserve">Projekti bodo dodeljeni na podlagi javnega razpisa. Upravičenci bodo invalidska podjetja in zaposlitveni centri. Projekti bodo vključevali strokovno svetovanje posameznim podjetjem, da pripravijo in prilagodijo svoje delovno okolje potrebam invalidov. Vključevali bodo izobraževanje in usposabljanje delodajalcev in zaposlenih za nove kompetence, ki so potrebne za uvedbo prožnejših ureditev dela. Vključenih naj bi bilo najmanj 266 invalidov. </w:t>
            </w:r>
          </w:p>
        </w:tc>
      </w:tr>
      <w:tr w:rsidR="007E41C9" w:rsidRPr="00DD6A04" w14:paraId="73E9D595" w14:textId="77777777" w:rsidTr="00A70F67">
        <w:trPr>
          <w:trHeight w:val="309"/>
          <w:jc w:val="center"/>
        </w:trPr>
        <w:tc>
          <w:tcPr>
            <w:tcW w:w="1348" w:type="dxa"/>
            <w:shd w:val="clear" w:color="auto" w:fill="C6EFCE"/>
            <w:noWrap/>
          </w:tcPr>
          <w:p w14:paraId="786E468C" w14:textId="6683D4B9" w:rsidR="007E41C9" w:rsidRPr="00DD6A04" w:rsidRDefault="007E41C9" w:rsidP="007E41C9">
            <w:pPr>
              <w:spacing w:before="0" w:after="0" w:line="240" w:lineRule="auto"/>
              <w:rPr>
                <w:rFonts w:eastAsia="Times New Roman"/>
                <w:noProof/>
                <w:color w:val="006100"/>
                <w:sz w:val="22"/>
              </w:rPr>
            </w:pPr>
            <w:r>
              <w:rPr>
                <w:noProof/>
                <w:color w:val="006100"/>
                <w:sz w:val="22"/>
              </w:rPr>
              <w:t>144</w:t>
            </w:r>
          </w:p>
        </w:tc>
        <w:tc>
          <w:tcPr>
            <w:tcW w:w="1485" w:type="dxa"/>
            <w:shd w:val="clear" w:color="auto" w:fill="C6EFCE"/>
            <w:noWrap/>
          </w:tcPr>
          <w:p w14:paraId="39956F0F" w14:textId="6A84B564" w:rsidR="007E41C9" w:rsidRPr="00DD6A04" w:rsidRDefault="007E41C9" w:rsidP="007E41C9">
            <w:pPr>
              <w:spacing w:before="0" w:after="0" w:line="240" w:lineRule="auto"/>
              <w:rPr>
                <w:rFonts w:eastAsia="Times New Roman"/>
                <w:noProof/>
                <w:color w:val="006100"/>
                <w:sz w:val="22"/>
              </w:rPr>
            </w:pPr>
            <w:r>
              <w:rPr>
                <w:noProof/>
                <w:color w:val="006100"/>
                <w:sz w:val="22"/>
              </w:rPr>
              <w:t>D: Hitrejši vstop mladih na trg dela</w:t>
            </w:r>
          </w:p>
        </w:tc>
        <w:tc>
          <w:tcPr>
            <w:tcW w:w="1062" w:type="dxa"/>
            <w:shd w:val="clear" w:color="auto" w:fill="C6EFCE"/>
            <w:noWrap/>
          </w:tcPr>
          <w:p w14:paraId="34D25237" w14:textId="002FA4A9" w:rsidR="007E41C9" w:rsidRPr="00DD6A04" w:rsidRDefault="007E41C9" w:rsidP="007E41C9">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03A8D190" w14:textId="3ECC8704" w:rsidR="007E41C9" w:rsidRPr="00DD6A04" w:rsidRDefault="007E41C9" w:rsidP="007E41C9">
            <w:pPr>
              <w:spacing w:before="0" w:after="0" w:line="240" w:lineRule="auto"/>
              <w:rPr>
                <w:rFonts w:eastAsia="Times New Roman"/>
                <w:noProof/>
                <w:color w:val="006100"/>
                <w:sz w:val="22"/>
              </w:rPr>
            </w:pPr>
            <w:r>
              <w:rPr>
                <w:noProof/>
                <w:color w:val="006100"/>
                <w:sz w:val="22"/>
              </w:rPr>
              <w:t>Število dodatnih mladih s subvencionirano zaposlitvijo za nedoločen čas</w:t>
            </w:r>
          </w:p>
        </w:tc>
        <w:tc>
          <w:tcPr>
            <w:tcW w:w="1913" w:type="dxa"/>
            <w:shd w:val="clear" w:color="auto" w:fill="C6EFCE"/>
            <w:noWrap/>
          </w:tcPr>
          <w:p w14:paraId="7E7C4305" w14:textId="476470F5"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78" w:type="dxa"/>
            <w:shd w:val="clear" w:color="auto" w:fill="C6EFCE"/>
            <w:noWrap/>
          </w:tcPr>
          <w:p w14:paraId="0024227D" w14:textId="734E3A52" w:rsidR="007E41C9" w:rsidRPr="00DD6A04" w:rsidRDefault="007E41C9" w:rsidP="007E41C9">
            <w:pPr>
              <w:spacing w:before="0" w:after="0" w:line="240" w:lineRule="auto"/>
              <w:rPr>
                <w:rFonts w:eastAsia="Times New Roman"/>
                <w:noProof/>
                <w:color w:val="006100"/>
                <w:sz w:val="22"/>
              </w:rPr>
            </w:pPr>
            <w:r>
              <w:rPr>
                <w:noProof/>
                <w:color w:val="006100"/>
                <w:sz w:val="22"/>
              </w:rPr>
              <w:t>Število</w:t>
            </w:r>
          </w:p>
        </w:tc>
        <w:tc>
          <w:tcPr>
            <w:tcW w:w="1068" w:type="dxa"/>
            <w:shd w:val="clear" w:color="auto" w:fill="C6EFCE"/>
            <w:noWrap/>
          </w:tcPr>
          <w:p w14:paraId="054BB8B5" w14:textId="1B205B65" w:rsidR="007E41C9" w:rsidRPr="00DD6A04" w:rsidRDefault="007E41C9" w:rsidP="007E41C9">
            <w:pPr>
              <w:spacing w:before="0" w:after="0" w:line="240" w:lineRule="auto"/>
              <w:rPr>
                <w:rFonts w:eastAsia="Times New Roman"/>
                <w:noProof/>
                <w:color w:val="006100"/>
                <w:sz w:val="22"/>
              </w:rPr>
            </w:pPr>
            <w:r>
              <w:rPr>
                <w:noProof/>
                <w:color w:val="006100"/>
                <w:sz w:val="22"/>
              </w:rPr>
              <w:t>0</w:t>
            </w:r>
          </w:p>
        </w:tc>
        <w:tc>
          <w:tcPr>
            <w:tcW w:w="927" w:type="dxa"/>
            <w:shd w:val="clear" w:color="auto" w:fill="C6EFCE"/>
            <w:noWrap/>
          </w:tcPr>
          <w:p w14:paraId="44F99A13" w14:textId="140F7F16" w:rsidR="007E41C9" w:rsidRPr="00DD6A04" w:rsidRDefault="007E41C9" w:rsidP="007E41C9">
            <w:pPr>
              <w:spacing w:before="0" w:after="0" w:line="240" w:lineRule="auto"/>
              <w:rPr>
                <w:rFonts w:eastAsia="Times New Roman"/>
                <w:noProof/>
                <w:color w:val="006100"/>
                <w:sz w:val="22"/>
              </w:rPr>
            </w:pPr>
            <w:r>
              <w:rPr>
                <w:noProof/>
                <w:color w:val="006100"/>
                <w:sz w:val="22"/>
              </w:rPr>
              <w:t>700</w:t>
            </w:r>
          </w:p>
        </w:tc>
        <w:tc>
          <w:tcPr>
            <w:tcW w:w="826" w:type="dxa"/>
            <w:shd w:val="clear" w:color="auto" w:fill="C6EFCE"/>
            <w:noWrap/>
          </w:tcPr>
          <w:p w14:paraId="36989418" w14:textId="67C83050" w:rsidR="007E41C9" w:rsidRPr="00DD6A04" w:rsidRDefault="007E41C9" w:rsidP="007E41C9">
            <w:pPr>
              <w:spacing w:before="0" w:after="0" w:line="240" w:lineRule="auto"/>
              <w:rPr>
                <w:rFonts w:eastAsia="Times New Roman"/>
                <w:noProof/>
                <w:color w:val="006100"/>
                <w:sz w:val="22"/>
              </w:rPr>
            </w:pPr>
            <w:r>
              <w:rPr>
                <w:noProof/>
                <w:color w:val="006100"/>
                <w:sz w:val="22"/>
              </w:rPr>
              <w:t>Q4</w:t>
            </w:r>
          </w:p>
        </w:tc>
        <w:tc>
          <w:tcPr>
            <w:tcW w:w="851" w:type="dxa"/>
            <w:shd w:val="clear" w:color="auto" w:fill="C6EFCE"/>
            <w:noWrap/>
          </w:tcPr>
          <w:p w14:paraId="16763177" w14:textId="05F26746" w:rsidR="007E41C9" w:rsidRPr="00DD6A04" w:rsidRDefault="007E41C9" w:rsidP="007E41C9">
            <w:pPr>
              <w:spacing w:before="0" w:after="0" w:line="240" w:lineRule="auto"/>
              <w:rPr>
                <w:rFonts w:eastAsia="Times New Roman"/>
                <w:noProof/>
                <w:color w:val="006100"/>
                <w:sz w:val="22"/>
              </w:rPr>
            </w:pPr>
            <w:r>
              <w:rPr>
                <w:noProof/>
                <w:color w:val="006100"/>
                <w:sz w:val="22"/>
              </w:rPr>
              <w:t>2022</w:t>
            </w:r>
          </w:p>
        </w:tc>
        <w:tc>
          <w:tcPr>
            <w:tcW w:w="3297" w:type="dxa"/>
            <w:shd w:val="clear" w:color="auto" w:fill="C6EFCE"/>
            <w:noWrap/>
          </w:tcPr>
          <w:p w14:paraId="4F54666A" w14:textId="318B3307" w:rsidR="007E41C9" w:rsidRPr="00DD6A04" w:rsidRDefault="007E41C9" w:rsidP="007E41C9">
            <w:pPr>
              <w:spacing w:before="0" w:after="0" w:line="240" w:lineRule="auto"/>
              <w:rPr>
                <w:rFonts w:eastAsia="Times New Roman"/>
                <w:noProof/>
                <w:color w:val="006100"/>
                <w:sz w:val="22"/>
                <w:highlight w:val="yellow"/>
              </w:rPr>
            </w:pPr>
            <w:r>
              <w:rPr>
                <w:noProof/>
                <w:color w:val="006100"/>
                <w:sz w:val="22"/>
              </w:rPr>
              <w:t>Število mladih do vključno 29 let s subvencionirano zaposlitvijo za nedoločen čas. Subvencije se bodo dodelile za največ 18 mesecev na zaposlitev. Delodajalci bodo zagotovili mentorja za podporo mladim. Vsi mladi in njihovi mentorji bodo v času subvencioniranja opravili vsaj 30 ur usposabljanja s poudarkom na izboljšanju digitalnih spretnosti.</w:t>
            </w:r>
          </w:p>
        </w:tc>
      </w:tr>
      <w:tr w:rsidR="007E41C9" w:rsidRPr="00DD6A04" w14:paraId="0BDBAFD9" w14:textId="77777777" w:rsidTr="00A70F67">
        <w:trPr>
          <w:trHeight w:val="309"/>
          <w:jc w:val="center"/>
        </w:trPr>
        <w:tc>
          <w:tcPr>
            <w:tcW w:w="1348" w:type="dxa"/>
            <w:shd w:val="clear" w:color="auto" w:fill="C6EFCE"/>
            <w:noWrap/>
          </w:tcPr>
          <w:p w14:paraId="18D91AEA" w14:textId="4F4C2471" w:rsidR="007E41C9" w:rsidRPr="00DD6A04" w:rsidRDefault="007E41C9" w:rsidP="007E41C9">
            <w:pPr>
              <w:spacing w:before="0" w:after="0" w:line="240" w:lineRule="auto"/>
              <w:rPr>
                <w:rFonts w:eastAsia="Times New Roman"/>
                <w:noProof/>
                <w:color w:val="006100"/>
                <w:sz w:val="22"/>
              </w:rPr>
            </w:pPr>
            <w:r>
              <w:rPr>
                <w:noProof/>
                <w:color w:val="006100"/>
                <w:sz w:val="22"/>
              </w:rPr>
              <w:t>145</w:t>
            </w:r>
          </w:p>
        </w:tc>
        <w:tc>
          <w:tcPr>
            <w:tcW w:w="1485" w:type="dxa"/>
            <w:shd w:val="clear" w:color="auto" w:fill="C6EFCE"/>
            <w:noWrap/>
          </w:tcPr>
          <w:p w14:paraId="5BEA3848" w14:textId="371EE788" w:rsidR="007E41C9" w:rsidRPr="00DD6A04" w:rsidRDefault="007E41C9" w:rsidP="007E41C9">
            <w:pPr>
              <w:spacing w:before="0" w:after="0" w:line="240" w:lineRule="auto"/>
              <w:rPr>
                <w:rFonts w:eastAsia="Times New Roman"/>
                <w:noProof/>
                <w:color w:val="006100"/>
                <w:sz w:val="22"/>
              </w:rPr>
            </w:pPr>
            <w:r>
              <w:rPr>
                <w:noProof/>
                <w:color w:val="006100"/>
                <w:sz w:val="22"/>
              </w:rPr>
              <w:t>D: Hitrejši vstop mladih na trg dela</w:t>
            </w:r>
          </w:p>
        </w:tc>
        <w:tc>
          <w:tcPr>
            <w:tcW w:w="1062" w:type="dxa"/>
            <w:shd w:val="clear" w:color="auto" w:fill="C6EFCE"/>
            <w:noWrap/>
          </w:tcPr>
          <w:p w14:paraId="437E019D" w14:textId="37A51623" w:rsidR="007E41C9" w:rsidRPr="00DD6A04" w:rsidRDefault="007E41C9" w:rsidP="007E41C9">
            <w:pPr>
              <w:spacing w:before="0" w:after="0" w:line="240" w:lineRule="auto"/>
              <w:rPr>
                <w:rFonts w:eastAsia="Times New Roman"/>
                <w:noProof/>
                <w:color w:val="006100"/>
                <w:sz w:val="22"/>
              </w:rPr>
            </w:pPr>
            <w:r>
              <w:rPr>
                <w:noProof/>
                <w:color w:val="006100"/>
                <w:sz w:val="22"/>
              </w:rPr>
              <w:t>Cilj</w:t>
            </w:r>
          </w:p>
        </w:tc>
        <w:tc>
          <w:tcPr>
            <w:tcW w:w="1701" w:type="dxa"/>
            <w:shd w:val="clear" w:color="auto" w:fill="C6EFCE"/>
            <w:noWrap/>
          </w:tcPr>
          <w:p w14:paraId="5410CD9C" w14:textId="534F0C5D" w:rsidR="007E41C9" w:rsidRPr="00DD6A04" w:rsidRDefault="007E41C9" w:rsidP="007E41C9">
            <w:pPr>
              <w:spacing w:before="0" w:after="0" w:line="240" w:lineRule="auto"/>
              <w:rPr>
                <w:rFonts w:eastAsia="Times New Roman"/>
                <w:noProof/>
                <w:color w:val="006100"/>
                <w:sz w:val="22"/>
              </w:rPr>
            </w:pPr>
            <w:r>
              <w:rPr>
                <w:noProof/>
                <w:color w:val="006100"/>
                <w:sz w:val="22"/>
              </w:rPr>
              <w:t>Število dodatnih mladih s subvencionirano zaposlitvijo za nedoločen čas</w:t>
            </w:r>
          </w:p>
        </w:tc>
        <w:tc>
          <w:tcPr>
            <w:tcW w:w="1913" w:type="dxa"/>
            <w:shd w:val="clear" w:color="auto" w:fill="C6EFCE"/>
            <w:noWrap/>
          </w:tcPr>
          <w:p w14:paraId="23ACB0E4" w14:textId="1A9A28D9" w:rsidR="007E41C9" w:rsidRPr="00DD6A04" w:rsidRDefault="007E41C9" w:rsidP="007E41C9">
            <w:pPr>
              <w:spacing w:before="0" w:after="0" w:line="240" w:lineRule="auto"/>
              <w:rPr>
                <w:rFonts w:eastAsia="Times New Roman"/>
                <w:noProof/>
                <w:color w:val="006100"/>
                <w:sz w:val="22"/>
              </w:rPr>
            </w:pPr>
            <w:r>
              <w:rPr>
                <w:noProof/>
                <w:color w:val="006100"/>
                <w:sz w:val="22"/>
              </w:rPr>
              <w:t> </w:t>
            </w:r>
          </w:p>
        </w:tc>
        <w:tc>
          <w:tcPr>
            <w:tcW w:w="1078" w:type="dxa"/>
            <w:shd w:val="clear" w:color="auto" w:fill="C6EFCE"/>
            <w:noWrap/>
          </w:tcPr>
          <w:p w14:paraId="330ADECA" w14:textId="271DD73D" w:rsidR="007E41C9" w:rsidRPr="00DD6A04" w:rsidRDefault="007E41C9" w:rsidP="007E41C9">
            <w:pPr>
              <w:spacing w:before="0" w:after="0" w:line="240" w:lineRule="auto"/>
              <w:rPr>
                <w:rFonts w:eastAsia="Times New Roman"/>
                <w:noProof/>
                <w:color w:val="006100"/>
                <w:sz w:val="22"/>
              </w:rPr>
            </w:pPr>
            <w:r>
              <w:rPr>
                <w:noProof/>
                <w:color w:val="006100"/>
                <w:sz w:val="22"/>
              </w:rPr>
              <w:t>Število</w:t>
            </w:r>
          </w:p>
        </w:tc>
        <w:tc>
          <w:tcPr>
            <w:tcW w:w="1068" w:type="dxa"/>
            <w:shd w:val="clear" w:color="auto" w:fill="C6EFCE"/>
            <w:noWrap/>
          </w:tcPr>
          <w:p w14:paraId="4311BB8E" w14:textId="44316AAF" w:rsidR="007E41C9" w:rsidRPr="00DD6A04" w:rsidRDefault="007E41C9" w:rsidP="007E41C9">
            <w:pPr>
              <w:spacing w:before="0" w:after="0" w:line="240" w:lineRule="auto"/>
              <w:rPr>
                <w:rFonts w:eastAsia="Times New Roman"/>
                <w:noProof/>
                <w:color w:val="006100"/>
                <w:sz w:val="22"/>
              </w:rPr>
            </w:pPr>
            <w:r>
              <w:rPr>
                <w:noProof/>
                <w:color w:val="006100"/>
                <w:sz w:val="22"/>
              </w:rPr>
              <w:t>700</w:t>
            </w:r>
          </w:p>
        </w:tc>
        <w:tc>
          <w:tcPr>
            <w:tcW w:w="927" w:type="dxa"/>
            <w:shd w:val="clear" w:color="auto" w:fill="C6EFCE"/>
            <w:noWrap/>
          </w:tcPr>
          <w:p w14:paraId="1A551E11" w14:textId="59467071" w:rsidR="007E41C9" w:rsidRPr="00DD6A04" w:rsidRDefault="007E41C9" w:rsidP="007E41C9">
            <w:pPr>
              <w:spacing w:before="0" w:after="0" w:line="240" w:lineRule="auto"/>
              <w:rPr>
                <w:rFonts w:eastAsia="Times New Roman"/>
                <w:noProof/>
                <w:color w:val="006100"/>
                <w:sz w:val="22"/>
              </w:rPr>
            </w:pPr>
            <w:r>
              <w:rPr>
                <w:noProof/>
                <w:color w:val="006100"/>
                <w:sz w:val="22"/>
              </w:rPr>
              <w:t>4000</w:t>
            </w:r>
          </w:p>
        </w:tc>
        <w:tc>
          <w:tcPr>
            <w:tcW w:w="826" w:type="dxa"/>
            <w:shd w:val="clear" w:color="auto" w:fill="C6EFCE"/>
            <w:noWrap/>
          </w:tcPr>
          <w:p w14:paraId="4E6F1FBB" w14:textId="7E549330" w:rsidR="007E41C9" w:rsidRPr="00DD6A04" w:rsidRDefault="007E41C9" w:rsidP="007E41C9">
            <w:pPr>
              <w:spacing w:before="0" w:after="0" w:line="240" w:lineRule="auto"/>
              <w:rPr>
                <w:rFonts w:eastAsia="Times New Roman"/>
                <w:noProof/>
                <w:color w:val="006100"/>
                <w:sz w:val="22"/>
              </w:rPr>
            </w:pPr>
            <w:r>
              <w:rPr>
                <w:noProof/>
                <w:color w:val="006100"/>
                <w:sz w:val="22"/>
              </w:rPr>
              <w:t>Q4</w:t>
            </w:r>
          </w:p>
        </w:tc>
        <w:tc>
          <w:tcPr>
            <w:tcW w:w="851" w:type="dxa"/>
            <w:shd w:val="clear" w:color="auto" w:fill="C6EFCE"/>
            <w:noWrap/>
          </w:tcPr>
          <w:p w14:paraId="1821338F" w14:textId="0D9F871C" w:rsidR="007E41C9" w:rsidRPr="00DD6A04" w:rsidRDefault="007E41C9" w:rsidP="007E41C9">
            <w:pPr>
              <w:spacing w:before="0" w:after="0" w:line="240" w:lineRule="auto"/>
              <w:rPr>
                <w:rFonts w:eastAsia="Times New Roman"/>
                <w:noProof/>
                <w:color w:val="006100"/>
                <w:sz w:val="22"/>
              </w:rPr>
            </w:pPr>
            <w:r>
              <w:rPr>
                <w:noProof/>
                <w:color w:val="006100"/>
                <w:sz w:val="22"/>
              </w:rPr>
              <w:t>2024</w:t>
            </w:r>
          </w:p>
        </w:tc>
        <w:tc>
          <w:tcPr>
            <w:tcW w:w="3297" w:type="dxa"/>
            <w:shd w:val="clear" w:color="auto" w:fill="C6EFCE"/>
            <w:noWrap/>
          </w:tcPr>
          <w:p w14:paraId="4CC3BAA2" w14:textId="36D69EEE" w:rsidR="007E41C9" w:rsidRPr="00DD6A04" w:rsidRDefault="007E41C9" w:rsidP="007E41C9">
            <w:pPr>
              <w:spacing w:before="0" w:after="0" w:line="240" w:lineRule="auto"/>
              <w:rPr>
                <w:rFonts w:eastAsia="Times New Roman"/>
                <w:noProof/>
                <w:color w:val="006100"/>
                <w:sz w:val="22"/>
                <w:highlight w:val="yellow"/>
              </w:rPr>
            </w:pPr>
            <w:r>
              <w:rPr>
                <w:noProof/>
                <w:color w:val="006100"/>
                <w:sz w:val="22"/>
              </w:rPr>
              <w:t>Število mladih do vključno 29 let s subvencionirano zaposlitvijo za nedoločen čas. Subvencije se bodo dodelile za največ 18 mesecev na zaposlitev. Delodajalci bodo zagotovili mentorja za podporo mladim. Vsi mladi in njihovi mentorji bodo v času subvencioniranja opravili vsaj 30 ur usposabljanja s poudarkom na izboljšanju digitalnih spretnosti.</w:t>
            </w:r>
          </w:p>
        </w:tc>
      </w:tr>
    </w:tbl>
    <w:p w14:paraId="1F454007" w14:textId="77777777" w:rsidR="007E41C9" w:rsidRPr="00DD6A04" w:rsidRDefault="007E41C9" w:rsidP="003C6015">
      <w:pPr>
        <w:spacing w:line="240" w:lineRule="auto"/>
        <w:ind w:left="850"/>
        <w:jc w:val="both"/>
        <w:rPr>
          <w:b/>
          <w:noProof/>
          <w:u w:val="single"/>
          <w:lang w:val="en-GB"/>
        </w:rPr>
      </w:pPr>
    </w:p>
    <w:p w14:paraId="03079AF7"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180"/>
          <w:headerReference w:type="default" r:id="rId181"/>
          <w:footerReference w:type="even" r:id="rId182"/>
          <w:footerReference w:type="default" r:id="rId183"/>
          <w:headerReference w:type="first" r:id="rId184"/>
          <w:footerReference w:type="first" r:id="rId185"/>
          <w:pgSz w:w="16839" w:h="11907" w:orient="landscape"/>
          <w:pgMar w:top="1134" w:right="1134" w:bottom="1134" w:left="1134" w:header="567" w:footer="567" w:gutter="0"/>
          <w:cols w:space="720"/>
          <w:docGrid w:linePitch="360"/>
        </w:sectPr>
      </w:pPr>
    </w:p>
    <w:p w14:paraId="55D0B891" w14:textId="77777777" w:rsidR="003C6015" w:rsidRPr="00DD6A04" w:rsidRDefault="003C6015" w:rsidP="003C6015">
      <w:pPr>
        <w:keepNext/>
        <w:tabs>
          <w:tab w:val="left" w:pos="850"/>
        </w:tabs>
        <w:spacing w:line="240" w:lineRule="auto"/>
        <w:jc w:val="both"/>
        <w:outlineLvl w:val="0"/>
        <w:rPr>
          <w:b/>
          <w:smallCaps/>
          <w:noProof/>
        </w:rPr>
      </w:pPr>
      <w:r>
        <w:rPr>
          <w:b/>
          <w:smallCaps/>
          <w:noProof/>
        </w:rPr>
        <w:t>K. KOMPONENTA 11: TRAJNOSTNI RAZVOJ SLOVENSKEGA TURIZMA, VKLJUČNO S KULTURNO DEDIŠČINO</w:t>
      </w:r>
    </w:p>
    <w:p w14:paraId="43456D6B" w14:textId="77777777" w:rsidR="003C6015" w:rsidRPr="00DD6A04" w:rsidRDefault="003C6015" w:rsidP="003C6015">
      <w:pPr>
        <w:spacing w:line="259" w:lineRule="auto"/>
        <w:jc w:val="both"/>
        <w:rPr>
          <w:rFonts w:eastAsia="Times New Roman"/>
          <w:noProof/>
        </w:rPr>
      </w:pPr>
      <w:r>
        <w:rPr>
          <w:noProof/>
        </w:rPr>
        <w:t>Ta komponenta slovenskega načrta za okrevanje in odpornost obravnava resne posledice pandemije COVID-19 za turistični sektor in vpliv na zaposlovanje, okoljsko trajnost, kakovost in dodano vrednost slovenske turistične infrastrukture ter razvoj kulturne dediščine.</w:t>
      </w:r>
    </w:p>
    <w:p w14:paraId="59836B13" w14:textId="1C3345F5" w:rsidR="003C6015" w:rsidRPr="00DD6A04" w:rsidRDefault="003C6015" w:rsidP="003C6015">
      <w:pPr>
        <w:spacing w:line="259" w:lineRule="auto"/>
        <w:jc w:val="both"/>
        <w:rPr>
          <w:rFonts w:eastAsia="Times New Roman"/>
          <w:noProof/>
        </w:rPr>
      </w:pPr>
      <w:r>
        <w:rPr>
          <w:noProof/>
        </w:rPr>
        <w:t>Cilji komponente so podpirati trajnostni razvoj turizma, izboljšati mednarodni položaj Slovenije kot vodilne destinacije na področju okoljske trajnostnosti ter povečati dodano vrednost sektorja z ukrepi, osredotočenimi na izboljšano javno infrastrukturo ter na izboljšanje in spodbujanje kulturne dediščine.</w:t>
      </w:r>
      <w:r w:rsidR="00037751">
        <w:rPr>
          <w:noProof/>
        </w:rPr>
        <w:t xml:space="preserve"> </w:t>
      </w:r>
    </w:p>
    <w:p w14:paraId="21AFA380" w14:textId="77777777" w:rsidR="003C6015" w:rsidRPr="00DD6A04" w:rsidRDefault="003C6015" w:rsidP="003C6015">
      <w:pPr>
        <w:spacing w:line="240" w:lineRule="auto"/>
        <w:jc w:val="both"/>
        <w:rPr>
          <w:noProof/>
        </w:rPr>
      </w:pPr>
      <w:r>
        <w:rPr>
          <w:noProof/>
        </w:rPr>
        <w:t>Te investicije in reforme bodo obravnavale specifična priporočila za Slovenijo leta 2020, in sicer naj ukrepa za „zagotavljanje likvidnosti in financiranja podjetjem in gospodinjstvom […]“, „[d]a prednost zrelim javnim naložbenim projektom in spodbuja zasebne naložbe v podporo gospodarskemu okrevanju“ ter „[u]smeri naložbe na zeleni in digitalni prehod“ (specifično priporočilo št. 3, 2020).</w:t>
      </w:r>
    </w:p>
    <w:p w14:paraId="6A20390B" w14:textId="4CA49C79"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71394923" w14:textId="77777777" w:rsidR="003C6015" w:rsidRPr="00DD6A04" w:rsidRDefault="003C6015" w:rsidP="003C6015">
      <w:pPr>
        <w:spacing w:line="240" w:lineRule="auto"/>
        <w:jc w:val="both"/>
        <w:rPr>
          <w:b/>
          <w:noProof/>
          <w:u w:val="single"/>
        </w:rPr>
      </w:pPr>
      <w:r>
        <w:rPr>
          <w:b/>
          <w:noProof/>
          <w:u w:val="single"/>
        </w:rPr>
        <w:t xml:space="preserve">K.1 </w:t>
      </w:r>
      <w:r>
        <w:rPr>
          <w:b/>
          <w:noProof/>
          <w:u w:val="single"/>
        </w:rPr>
        <w:tab/>
        <w:t>Opis reform in naložb za nepovratno finančno podporo</w:t>
      </w:r>
    </w:p>
    <w:p w14:paraId="3DB7C45E" w14:textId="77777777" w:rsidR="003C6015" w:rsidRPr="00DD6A04" w:rsidRDefault="003C6015" w:rsidP="003C6015">
      <w:pPr>
        <w:spacing w:line="240" w:lineRule="auto"/>
        <w:jc w:val="both"/>
        <w:rPr>
          <w:noProof/>
        </w:rPr>
      </w:pPr>
      <w:r>
        <w:rPr>
          <w:noProof/>
          <w:u w:val="single"/>
        </w:rPr>
        <w:t>Reforma A. Krepitev trajnostnega razvoja turizma</w:t>
      </w:r>
    </w:p>
    <w:p w14:paraId="4DF51F57" w14:textId="77777777" w:rsidR="003C6015" w:rsidRPr="00DD6A04" w:rsidRDefault="003C6015" w:rsidP="003C6015">
      <w:pPr>
        <w:spacing w:line="240" w:lineRule="auto"/>
        <w:jc w:val="both"/>
        <w:rPr>
          <w:noProof/>
        </w:rPr>
      </w:pPr>
      <w:r>
        <w:rPr>
          <w:noProof/>
        </w:rPr>
        <w:t>Cilj reforme je odzvati se na posledice pandemije COVID-19 in zagotoviti srednjeročni okvir za razvoj slovenskega turizma v smeri trajnostnega, visokokakovostnega turizma z visoko dodano vrednostjo.</w:t>
      </w:r>
    </w:p>
    <w:p w14:paraId="4FC03A99" w14:textId="77777777" w:rsidR="003C6015" w:rsidRPr="00DD6A04" w:rsidRDefault="003C6015" w:rsidP="003C6015">
      <w:pPr>
        <w:spacing w:line="240" w:lineRule="auto"/>
        <w:jc w:val="both"/>
        <w:rPr>
          <w:noProof/>
        </w:rPr>
      </w:pPr>
      <w:r>
        <w:rPr>
          <w:noProof/>
        </w:rPr>
        <w:t xml:space="preserve">Reforma vključuje začetek veljavnosti Uredbe o razvojnih spodbudah za turizem, ki bo vključevala ključne pogoje in merila za dodelitev sredstev v sektorju. Ti med drugim vključujejo energetsko izkaznico najmanj razreda B za vsako prenovo in pridobitev vsaj enega mednarodnega znaka za okolje, potreba novogradenj po primarni energiji pa bo morala biti vsaj 20 % nižja od zahteve za stavbe s skoraj ničelno porabo energije. Poleg tega bodo okrepljene zmogljivosti za spremljanje in analizo podatkov v okviru Zelene sheme slovenskega turizma. </w:t>
      </w:r>
    </w:p>
    <w:p w14:paraId="1C94F24D" w14:textId="4E52C06C" w:rsidR="003C6015" w:rsidRPr="00DD6A04" w:rsidRDefault="003C6015" w:rsidP="003C6015">
      <w:pPr>
        <w:spacing w:line="240" w:lineRule="auto"/>
        <w:jc w:val="both"/>
        <w:rPr>
          <w:noProof/>
        </w:rPr>
      </w:pPr>
      <w:r>
        <w:rPr>
          <w:noProof/>
        </w:rPr>
        <w:t>Mejniki v zvezi z izvedbo reforme bodo doseženi do 31. decembra 2025.</w:t>
      </w:r>
    </w:p>
    <w:p w14:paraId="19202AF9" w14:textId="77777777" w:rsidR="003C6015" w:rsidRPr="00DD6A04" w:rsidRDefault="003C6015" w:rsidP="003C6015">
      <w:pPr>
        <w:spacing w:line="240" w:lineRule="auto"/>
        <w:jc w:val="both"/>
        <w:rPr>
          <w:noProof/>
        </w:rPr>
      </w:pPr>
      <w:r>
        <w:rPr>
          <w:noProof/>
          <w:u w:val="single"/>
        </w:rPr>
        <w:t>Investicija B. Trajnostni razvoj slovenske nastanitvene turistične ponudbe za dvig dodane vrednosti turizma</w:t>
      </w:r>
    </w:p>
    <w:p w14:paraId="021D5260" w14:textId="77777777" w:rsidR="003C6015" w:rsidRPr="00DD6A04" w:rsidRDefault="003C6015" w:rsidP="003C6015">
      <w:pPr>
        <w:spacing w:line="240" w:lineRule="auto"/>
        <w:jc w:val="both"/>
        <w:rPr>
          <w:rFonts w:eastAsia="Times New Roman"/>
          <w:noProof/>
        </w:rPr>
      </w:pPr>
      <w:r>
        <w:rPr>
          <w:noProof/>
        </w:rPr>
        <w:t>Cilj te investicije je podpreti trajnostni turizem z izboljšanjem trajnostnosti turističnih nastanitev.</w:t>
      </w:r>
    </w:p>
    <w:p w14:paraId="39EDDE07" w14:textId="77777777" w:rsidR="003C6015" w:rsidRPr="00DD6A04" w:rsidRDefault="003C6015" w:rsidP="003C6015">
      <w:pPr>
        <w:spacing w:line="240" w:lineRule="auto"/>
        <w:jc w:val="both"/>
        <w:rPr>
          <w:rFonts w:eastAsia="Times New Roman"/>
          <w:noProof/>
        </w:rPr>
      </w:pPr>
      <w:r>
        <w:rPr>
          <w:noProof/>
        </w:rPr>
        <w:t xml:space="preserve">Investicija bo </w:t>
      </w:r>
      <w:bookmarkStart w:id="13" w:name="_Hlk142556746"/>
      <w:r>
        <w:rPr>
          <w:noProof/>
        </w:rPr>
        <w:t>podpirala obnovo, razširitev ali izgradnjo turističnih objektov v skladu z visokimi standardi energetske učinkovitosti</w:t>
      </w:r>
      <w:bookmarkEnd w:id="13"/>
      <w:r>
        <w:rPr>
          <w:noProof/>
        </w:rPr>
        <w:t xml:space="preserve">. Projekti bodo vključevali tudi obvezno usposabljanje v zvezi s kakovostjo storitev in digitalnimi kompetencami za osebje in vodstvo, tržne raziskave in ekonomsko analizo. </w:t>
      </w:r>
    </w:p>
    <w:p w14:paraId="756B9260" w14:textId="77777777" w:rsidR="003C6015" w:rsidRPr="00DD6A04" w:rsidRDefault="003C6015" w:rsidP="003C6015">
      <w:pPr>
        <w:spacing w:line="240" w:lineRule="auto"/>
        <w:jc w:val="both"/>
        <w:rPr>
          <w:rFonts w:eastAsia="Times New Roman"/>
          <w:noProof/>
        </w:rPr>
      </w:pPr>
      <w:r>
        <w:rPr>
          <w:noProof/>
        </w:rPr>
        <w:t>Investicija bo dokončana do 30. junija 2026.</w:t>
      </w:r>
    </w:p>
    <w:p w14:paraId="3ADB69EE" w14:textId="77777777" w:rsidR="003C6015" w:rsidRPr="00DD6A04" w:rsidRDefault="003C6015" w:rsidP="003C6015">
      <w:pPr>
        <w:spacing w:line="240" w:lineRule="auto"/>
        <w:jc w:val="both"/>
        <w:rPr>
          <w:noProof/>
        </w:rPr>
      </w:pPr>
      <w:r>
        <w:rPr>
          <w:noProof/>
          <w:u w:val="single"/>
        </w:rPr>
        <w:t>Investicija C. Trajnostni razvoj javne in skupne turistične infrastrukture in naravnih znamenitosti v turističnih destinacijah</w:t>
      </w:r>
    </w:p>
    <w:p w14:paraId="0E7BAF73" w14:textId="77777777" w:rsidR="003C6015" w:rsidRPr="00DD6A04" w:rsidRDefault="003C6015" w:rsidP="003C6015">
      <w:pPr>
        <w:spacing w:line="240" w:lineRule="auto"/>
        <w:jc w:val="both"/>
        <w:rPr>
          <w:rFonts w:eastAsia="Times New Roman"/>
          <w:noProof/>
        </w:rPr>
      </w:pPr>
      <w:r>
        <w:rPr>
          <w:noProof/>
        </w:rPr>
        <w:t>Cilj te investicije je podpreti trajnostni turizem z razvojem javne in skupne turistične infrastrukture.</w:t>
      </w:r>
    </w:p>
    <w:p w14:paraId="3A06760A" w14:textId="77777777" w:rsidR="003C6015" w:rsidRPr="00DD6A04" w:rsidRDefault="003C6015" w:rsidP="003C6015">
      <w:pPr>
        <w:spacing w:line="240" w:lineRule="auto"/>
        <w:jc w:val="both"/>
        <w:rPr>
          <w:rFonts w:eastAsia="Times New Roman"/>
          <w:noProof/>
        </w:rPr>
      </w:pPr>
      <w:r>
        <w:rPr>
          <w:noProof/>
        </w:rPr>
        <w:t>Investicija vključuje prenovo in vzpostavitev javnih in skupnih zmogljivosti za turistično infrastrukturo, da se dopolni in izboljša kakovost turistične ponudbe.</w:t>
      </w:r>
    </w:p>
    <w:p w14:paraId="24EB3E5E" w14:textId="77777777" w:rsidR="003C6015" w:rsidRPr="00DD6A04" w:rsidRDefault="003C6015" w:rsidP="003C6015">
      <w:pPr>
        <w:spacing w:line="240" w:lineRule="auto"/>
        <w:jc w:val="both"/>
        <w:rPr>
          <w:rFonts w:eastAsia="Times New Roman"/>
          <w:noProof/>
        </w:rPr>
      </w:pPr>
      <w:r>
        <w:rPr>
          <w:noProof/>
        </w:rPr>
        <w:t>Cilj v zvezi z izvedbo investicije bo dosežen do 31. decembra 2025.</w:t>
      </w:r>
    </w:p>
    <w:p w14:paraId="6FC462BA" w14:textId="77777777" w:rsidR="003C6015" w:rsidRPr="00DD6A04" w:rsidRDefault="003C6015" w:rsidP="003C6015">
      <w:pPr>
        <w:spacing w:line="240" w:lineRule="auto"/>
        <w:jc w:val="both"/>
        <w:rPr>
          <w:noProof/>
        </w:rPr>
      </w:pPr>
      <w:r>
        <w:rPr>
          <w:noProof/>
          <w:u w:val="single"/>
        </w:rPr>
        <w:t xml:space="preserve">Investicija D. Trajnostna obnova in oživljanje kulturne dediščine in javne kulturne infrastrukture </w:t>
      </w:r>
    </w:p>
    <w:p w14:paraId="5C0C7DD1" w14:textId="77777777" w:rsidR="003C6015" w:rsidRPr="00DD6A04" w:rsidRDefault="003C6015" w:rsidP="003C6015">
      <w:pPr>
        <w:spacing w:line="240" w:lineRule="auto"/>
        <w:jc w:val="both"/>
        <w:rPr>
          <w:rFonts w:eastAsia="Times New Roman"/>
          <w:noProof/>
        </w:rPr>
      </w:pPr>
      <w:r>
        <w:rPr>
          <w:noProof/>
        </w:rPr>
        <w:t>Cilj te investicije je podpreti trajnostni turizem s ponovnim oživljanjem kulturne dediščine in javne kulturne infrastrukture.</w:t>
      </w:r>
    </w:p>
    <w:p w14:paraId="6643ABB1" w14:textId="77777777" w:rsidR="003C6015" w:rsidRPr="00DD6A04" w:rsidRDefault="003C6015" w:rsidP="003C6015">
      <w:pPr>
        <w:spacing w:line="240" w:lineRule="auto"/>
        <w:jc w:val="both"/>
        <w:rPr>
          <w:rFonts w:eastAsia="Times New Roman"/>
          <w:noProof/>
        </w:rPr>
      </w:pPr>
      <w:r>
        <w:rPr>
          <w:noProof/>
        </w:rPr>
        <w:t>Investicija vključuje podporo za prenovo, obnovo, celostno oživljanje in modernizacijo kulturnih spomenikov in javne kulturne infrastrukture v lasti države ali občin s pričakovanim multiplikativnim učinkom na turistični razvoj. Projekti bodo vključevali digitalizacijo in uporabo IKT za promoviranje in interpretacijo kulturne dediščine.</w:t>
      </w:r>
    </w:p>
    <w:p w14:paraId="4D1E8D4D" w14:textId="77777777" w:rsidR="003C6015" w:rsidRPr="00DD6A04" w:rsidRDefault="003C6015" w:rsidP="003C6015">
      <w:pPr>
        <w:spacing w:line="240" w:lineRule="auto"/>
        <w:jc w:val="both"/>
        <w:rPr>
          <w:rFonts w:eastAsia="Times New Roman"/>
          <w:noProof/>
          <w:sz w:val="22"/>
        </w:rPr>
      </w:pPr>
      <w:r>
        <w:rPr>
          <w:noProof/>
        </w:rPr>
        <w:t>Investicija bo dokončana do 30. junija 2026.</w:t>
      </w:r>
    </w:p>
    <w:p w14:paraId="281FA14F" w14:textId="77777777" w:rsidR="003C6015" w:rsidRPr="00DD6A04" w:rsidRDefault="003C6015" w:rsidP="003C6015">
      <w:pPr>
        <w:spacing w:line="259" w:lineRule="auto"/>
        <w:jc w:val="both"/>
        <w:rPr>
          <w:noProof/>
        </w:rPr>
        <w:sectPr w:rsidR="003C6015" w:rsidRPr="00DD6A04" w:rsidSect="00073927">
          <w:headerReference w:type="even" r:id="rId186"/>
          <w:headerReference w:type="default" r:id="rId187"/>
          <w:footerReference w:type="even" r:id="rId188"/>
          <w:footerReference w:type="default" r:id="rId189"/>
          <w:headerReference w:type="first" r:id="rId190"/>
          <w:footerReference w:type="first" r:id="rId191"/>
          <w:pgSz w:w="11907" w:h="16839"/>
          <w:pgMar w:top="1134" w:right="1134" w:bottom="1134" w:left="1134" w:header="567" w:footer="567" w:gutter="0"/>
          <w:cols w:space="720"/>
          <w:docGrid w:linePitch="360"/>
        </w:sectPr>
      </w:pPr>
      <w:r>
        <w:rPr>
          <w:noProof/>
        </w:rPr>
        <w:t xml:space="preserve"> </w:t>
      </w:r>
    </w:p>
    <w:p w14:paraId="607C2179" w14:textId="77777777" w:rsidR="003C6015" w:rsidRPr="00DD6A04" w:rsidRDefault="003C6015" w:rsidP="003C6015">
      <w:pPr>
        <w:spacing w:line="240" w:lineRule="auto"/>
        <w:ind w:left="850"/>
        <w:jc w:val="both"/>
        <w:rPr>
          <w:b/>
          <w:noProof/>
          <w:u w:val="single"/>
        </w:rPr>
      </w:pPr>
      <w:r>
        <w:rPr>
          <w:b/>
          <w:noProof/>
          <w:u w:val="single"/>
        </w:rPr>
        <w:t xml:space="preserve">K.2 </w:t>
      </w:r>
      <w:r>
        <w:rPr>
          <w:b/>
          <w:noProof/>
          <w:u w:val="single"/>
        </w:rPr>
        <w:tab/>
        <w:t>Mejniki, cilji, kazalniki in časovni razpored za spremljanje in izvajanje nepovratne finančne podpore</w:t>
      </w:r>
    </w:p>
    <w:tbl>
      <w:tblPr>
        <w:tblW w:w="15812" w:type="dxa"/>
        <w:jc w:val="center"/>
        <w:tblLook w:val="04A0" w:firstRow="1" w:lastRow="0" w:firstColumn="1" w:lastColumn="0" w:noHBand="0" w:noVBand="1"/>
      </w:tblPr>
      <w:tblGrid>
        <w:gridCol w:w="1350"/>
        <w:gridCol w:w="1538"/>
        <w:gridCol w:w="1350"/>
        <w:gridCol w:w="1638"/>
        <w:gridCol w:w="1731"/>
        <w:gridCol w:w="1072"/>
        <w:gridCol w:w="1231"/>
        <w:gridCol w:w="803"/>
        <w:gridCol w:w="1120"/>
        <w:gridCol w:w="1574"/>
        <w:gridCol w:w="2737"/>
      </w:tblGrid>
      <w:tr w:rsidR="00FE2B45" w:rsidRPr="00DD6A04" w14:paraId="4EFCE884" w14:textId="77777777" w:rsidTr="00A70F67">
        <w:trPr>
          <w:trHeight w:val="901"/>
          <w:tblHeader/>
          <w:jc w:val="center"/>
        </w:trPr>
        <w:tc>
          <w:tcPr>
            <w:tcW w:w="1350" w:type="dxa"/>
            <w:vMerge w:val="restart"/>
            <w:tcBorders>
              <w:top w:val="single" w:sz="4" w:space="0" w:color="auto"/>
              <w:left w:val="single" w:sz="4" w:space="0" w:color="auto"/>
              <w:right w:val="single" w:sz="4" w:space="0" w:color="auto"/>
            </w:tcBorders>
            <w:shd w:val="clear" w:color="auto" w:fill="BDD7EE"/>
            <w:vAlign w:val="center"/>
            <w:hideMark/>
          </w:tcPr>
          <w:p w14:paraId="151D0DA1" w14:textId="77777777" w:rsidR="003C6015" w:rsidRPr="00DD6A04" w:rsidRDefault="003C6015" w:rsidP="003C6015">
            <w:pPr>
              <w:spacing w:before="0" w:after="0" w:line="240" w:lineRule="auto"/>
              <w:jc w:val="center"/>
              <w:rPr>
                <w:rFonts w:eastAsia="Times New Roman"/>
                <w:b/>
                <w:noProof/>
              </w:rPr>
            </w:pPr>
            <w:r>
              <w:rPr>
                <w:b/>
                <w:noProof/>
              </w:rPr>
              <w:t>Zaporedna številka</w:t>
            </w:r>
          </w:p>
        </w:tc>
        <w:tc>
          <w:tcPr>
            <w:tcW w:w="1538" w:type="dxa"/>
            <w:vMerge w:val="restart"/>
            <w:tcBorders>
              <w:top w:val="single" w:sz="4" w:space="0" w:color="auto"/>
              <w:left w:val="single" w:sz="4" w:space="0" w:color="auto"/>
              <w:right w:val="single" w:sz="4" w:space="0" w:color="auto"/>
            </w:tcBorders>
            <w:shd w:val="clear" w:color="auto" w:fill="BDD7EE"/>
            <w:vAlign w:val="center"/>
            <w:hideMark/>
          </w:tcPr>
          <w:p w14:paraId="16A097D5" w14:textId="77777777" w:rsidR="003C6015" w:rsidRPr="00DD6A04" w:rsidRDefault="003C6015" w:rsidP="003C6015">
            <w:pPr>
              <w:spacing w:before="0" w:after="0" w:line="240" w:lineRule="auto"/>
              <w:jc w:val="center"/>
              <w:rPr>
                <w:rFonts w:eastAsia="Times New Roman"/>
                <w:b/>
                <w:noProof/>
              </w:rPr>
            </w:pPr>
            <w:r>
              <w:rPr>
                <w:b/>
                <w:noProof/>
              </w:rPr>
              <w:t>Povezani ukrep (reforma ali naložba)</w:t>
            </w:r>
          </w:p>
        </w:tc>
        <w:tc>
          <w:tcPr>
            <w:tcW w:w="1018" w:type="dxa"/>
            <w:vMerge w:val="restart"/>
            <w:tcBorders>
              <w:top w:val="single" w:sz="4" w:space="0" w:color="auto"/>
              <w:left w:val="single" w:sz="4" w:space="0" w:color="auto"/>
              <w:right w:val="single" w:sz="4" w:space="0" w:color="auto"/>
            </w:tcBorders>
            <w:shd w:val="clear" w:color="auto" w:fill="BDD7EE"/>
            <w:vAlign w:val="center"/>
            <w:hideMark/>
          </w:tcPr>
          <w:p w14:paraId="29ED7EA7" w14:textId="77777777" w:rsidR="003C6015" w:rsidRPr="00DD6A04" w:rsidRDefault="003C6015" w:rsidP="003C6015">
            <w:pPr>
              <w:spacing w:before="0" w:after="0" w:line="240" w:lineRule="auto"/>
              <w:jc w:val="center"/>
              <w:rPr>
                <w:rFonts w:eastAsia="Times New Roman"/>
                <w:b/>
                <w:noProof/>
              </w:rPr>
            </w:pPr>
            <w:r>
              <w:rPr>
                <w:b/>
                <w:noProof/>
              </w:rPr>
              <w:t>Mejnik/cilj</w:t>
            </w:r>
          </w:p>
        </w:tc>
        <w:tc>
          <w:tcPr>
            <w:tcW w:w="1638" w:type="dxa"/>
            <w:vMerge w:val="restart"/>
            <w:tcBorders>
              <w:top w:val="single" w:sz="4" w:space="0" w:color="auto"/>
              <w:left w:val="nil"/>
              <w:right w:val="single" w:sz="4" w:space="0" w:color="auto"/>
            </w:tcBorders>
            <w:shd w:val="clear" w:color="auto" w:fill="BDD7EE"/>
            <w:vAlign w:val="center"/>
            <w:hideMark/>
          </w:tcPr>
          <w:p w14:paraId="17208FF5" w14:textId="77777777" w:rsidR="003C6015" w:rsidRPr="00DD6A04" w:rsidRDefault="003C6015" w:rsidP="003C6015">
            <w:pPr>
              <w:spacing w:before="0" w:after="0" w:line="240" w:lineRule="auto"/>
              <w:jc w:val="center"/>
              <w:rPr>
                <w:rFonts w:eastAsia="Times New Roman"/>
                <w:b/>
                <w:noProof/>
              </w:rPr>
            </w:pPr>
            <w:r>
              <w:rPr>
                <w:b/>
                <w:noProof/>
              </w:rPr>
              <w:t>Ime</w:t>
            </w:r>
          </w:p>
        </w:tc>
        <w:tc>
          <w:tcPr>
            <w:tcW w:w="1731" w:type="dxa"/>
            <w:vMerge w:val="restart"/>
            <w:tcBorders>
              <w:top w:val="single" w:sz="4" w:space="0" w:color="auto"/>
              <w:left w:val="single" w:sz="4" w:space="0" w:color="auto"/>
              <w:right w:val="single" w:sz="4" w:space="0" w:color="auto"/>
            </w:tcBorders>
            <w:shd w:val="clear" w:color="auto" w:fill="BDD7EE"/>
            <w:vAlign w:val="center"/>
            <w:hideMark/>
          </w:tcPr>
          <w:p w14:paraId="573F61D3" w14:textId="77777777" w:rsidR="003C6015" w:rsidRPr="00DD6A04" w:rsidRDefault="003C6015" w:rsidP="003C6015">
            <w:pPr>
              <w:spacing w:before="0" w:after="0" w:line="240" w:lineRule="auto"/>
              <w:jc w:val="center"/>
              <w:rPr>
                <w:rFonts w:eastAsia="Times New Roman"/>
                <w:b/>
                <w:noProof/>
              </w:rPr>
            </w:pPr>
            <w:r>
              <w:rPr>
                <w:b/>
                <w:noProof/>
              </w:rPr>
              <w:t>Kvalitativni kazalniki (za mejnike)</w:t>
            </w:r>
          </w:p>
        </w:tc>
        <w:tc>
          <w:tcPr>
            <w:tcW w:w="3106" w:type="dxa"/>
            <w:gridSpan w:val="3"/>
            <w:tcBorders>
              <w:top w:val="single" w:sz="4" w:space="0" w:color="auto"/>
              <w:left w:val="nil"/>
              <w:bottom w:val="single" w:sz="4" w:space="0" w:color="auto"/>
              <w:right w:val="single" w:sz="4" w:space="0" w:color="auto"/>
            </w:tcBorders>
            <w:shd w:val="clear" w:color="auto" w:fill="BDD7EE"/>
            <w:vAlign w:val="center"/>
            <w:hideMark/>
          </w:tcPr>
          <w:p w14:paraId="3598C1DB" w14:textId="77777777" w:rsidR="003C6015" w:rsidRPr="00DD6A04" w:rsidRDefault="003C6015" w:rsidP="003C6015">
            <w:pPr>
              <w:spacing w:before="0" w:after="0" w:line="240" w:lineRule="auto"/>
              <w:jc w:val="center"/>
              <w:rPr>
                <w:rFonts w:eastAsia="Times New Roman"/>
                <w:b/>
                <w:noProof/>
              </w:rPr>
            </w:pPr>
            <w:r>
              <w:rPr>
                <w:b/>
                <w:noProof/>
              </w:rPr>
              <w:t>Kvantitativni kazalniki (za cilje)</w:t>
            </w:r>
          </w:p>
        </w:tc>
        <w:tc>
          <w:tcPr>
            <w:tcW w:w="2694" w:type="dxa"/>
            <w:gridSpan w:val="2"/>
            <w:tcBorders>
              <w:top w:val="single" w:sz="4" w:space="0" w:color="auto"/>
              <w:left w:val="nil"/>
              <w:bottom w:val="single" w:sz="4" w:space="0" w:color="auto"/>
              <w:right w:val="single" w:sz="4" w:space="0" w:color="auto"/>
            </w:tcBorders>
            <w:shd w:val="clear" w:color="auto" w:fill="BDD7EE"/>
            <w:vAlign w:val="center"/>
            <w:hideMark/>
          </w:tcPr>
          <w:p w14:paraId="4051BF1B" w14:textId="77777777" w:rsidR="003C6015" w:rsidRPr="00DD6A04" w:rsidRDefault="003C6015" w:rsidP="003C6015">
            <w:pPr>
              <w:spacing w:before="0" w:after="0" w:line="240" w:lineRule="auto"/>
              <w:jc w:val="center"/>
              <w:rPr>
                <w:rFonts w:eastAsia="Times New Roman"/>
                <w:b/>
                <w:noProof/>
              </w:rPr>
            </w:pPr>
            <w:r>
              <w:rPr>
                <w:b/>
                <w:noProof/>
              </w:rPr>
              <w:t xml:space="preserve">Okvirni časovni razpored za dokončanje </w:t>
            </w:r>
          </w:p>
        </w:tc>
        <w:tc>
          <w:tcPr>
            <w:tcW w:w="2737" w:type="dxa"/>
            <w:vMerge w:val="restart"/>
            <w:tcBorders>
              <w:top w:val="single" w:sz="4" w:space="0" w:color="auto"/>
              <w:left w:val="single" w:sz="4" w:space="0" w:color="auto"/>
              <w:right w:val="single" w:sz="4" w:space="0" w:color="auto"/>
            </w:tcBorders>
            <w:shd w:val="clear" w:color="auto" w:fill="BDD7EE"/>
            <w:vAlign w:val="center"/>
            <w:hideMark/>
          </w:tcPr>
          <w:p w14:paraId="1B1D52C4" w14:textId="77777777" w:rsidR="003C6015" w:rsidRPr="00DD6A04" w:rsidRDefault="003C6015" w:rsidP="003C6015">
            <w:pPr>
              <w:spacing w:before="0" w:after="0" w:line="240" w:lineRule="auto"/>
              <w:jc w:val="center"/>
              <w:rPr>
                <w:rFonts w:eastAsia="Times New Roman"/>
                <w:b/>
                <w:noProof/>
              </w:rPr>
            </w:pPr>
            <w:r>
              <w:rPr>
                <w:b/>
                <w:noProof/>
              </w:rPr>
              <w:t>Opis vsakega mejnika in cilja</w:t>
            </w:r>
          </w:p>
        </w:tc>
      </w:tr>
      <w:tr w:rsidR="00FE2B45" w:rsidRPr="00DD6A04" w14:paraId="5414C61C" w14:textId="77777777" w:rsidTr="00A70F67">
        <w:trPr>
          <w:trHeight w:val="322"/>
          <w:tblHeader/>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5770FC73" w14:textId="77777777" w:rsidR="003C6015" w:rsidRPr="00DD6A04" w:rsidRDefault="003C6015" w:rsidP="003C6015">
            <w:pPr>
              <w:spacing w:before="0" w:after="0" w:line="240" w:lineRule="auto"/>
              <w:rPr>
                <w:rFonts w:eastAsia="Times New Roman"/>
                <w:b/>
                <w:noProof/>
                <w:szCs w:val="24"/>
                <w:lang w:val="en-GB" w:eastAsia="en-GB"/>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2491A238" w14:textId="77777777" w:rsidR="003C6015" w:rsidRPr="00DD6A04" w:rsidRDefault="003C6015" w:rsidP="003C6015">
            <w:pPr>
              <w:spacing w:before="0" w:after="0" w:line="240" w:lineRule="auto"/>
              <w:rPr>
                <w:rFonts w:eastAsia="Times New Roman"/>
                <w:b/>
                <w:noProof/>
                <w:szCs w:val="24"/>
                <w:lang w:val="en-GB" w:eastAsia="en-GB"/>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0208FB0A" w14:textId="77777777" w:rsidR="003C6015" w:rsidRPr="00DD6A04" w:rsidRDefault="003C6015" w:rsidP="003C6015">
            <w:pPr>
              <w:spacing w:before="0" w:after="0" w:line="240" w:lineRule="auto"/>
              <w:rPr>
                <w:rFonts w:eastAsia="Times New Roman"/>
                <w:b/>
                <w:noProof/>
                <w:szCs w:val="24"/>
                <w:lang w:val="en-GB" w:eastAsia="en-GB"/>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2D93670E" w14:textId="77777777" w:rsidR="003C6015" w:rsidRPr="00DD6A04" w:rsidRDefault="003C6015" w:rsidP="003C6015">
            <w:pPr>
              <w:spacing w:before="0" w:after="0" w:line="240" w:lineRule="auto"/>
              <w:rPr>
                <w:rFonts w:eastAsia="Times New Roman"/>
                <w:b/>
                <w:noProof/>
                <w:szCs w:val="24"/>
                <w:lang w:val="en-GB" w:eastAsia="en-GB"/>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0AE55550" w14:textId="77777777" w:rsidR="003C6015" w:rsidRPr="00DD6A04" w:rsidRDefault="003C6015" w:rsidP="003C6015">
            <w:pPr>
              <w:spacing w:before="0" w:after="0" w:line="240" w:lineRule="auto"/>
              <w:rPr>
                <w:rFonts w:eastAsia="Times New Roman"/>
                <w:b/>
                <w:noProof/>
                <w:szCs w:val="24"/>
                <w:lang w:val="en-GB" w:eastAsia="en-GB"/>
              </w:rPr>
            </w:pPr>
          </w:p>
        </w:tc>
        <w:tc>
          <w:tcPr>
            <w:tcW w:w="1072" w:type="dxa"/>
            <w:tcBorders>
              <w:top w:val="nil"/>
              <w:left w:val="single" w:sz="4" w:space="0" w:color="auto"/>
              <w:bottom w:val="single" w:sz="4" w:space="0" w:color="auto"/>
              <w:right w:val="single" w:sz="4" w:space="0" w:color="auto"/>
            </w:tcBorders>
            <w:shd w:val="clear" w:color="auto" w:fill="BDD7EE"/>
            <w:vAlign w:val="center"/>
            <w:hideMark/>
          </w:tcPr>
          <w:p w14:paraId="1B06A4A6" w14:textId="77777777" w:rsidR="003C6015" w:rsidRPr="00DD6A04" w:rsidRDefault="003C6015" w:rsidP="003C6015">
            <w:pPr>
              <w:spacing w:before="0" w:after="0" w:line="240" w:lineRule="auto"/>
              <w:jc w:val="center"/>
              <w:rPr>
                <w:rFonts w:eastAsia="Times New Roman"/>
                <w:b/>
                <w:noProof/>
                <w:sz w:val="22"/>
              </w:rPr>
            </w:pPr>
            <w:r>
              <w:rPr>
                <w:b/>
                <w:noProof/>
                <w:sz w:val="22"/>
              </w:rPr>
              <w:t>Enota merjenja</w:t>
            </w:r>
          </w:p>
        </w:tc>
        <w:tc>
          <w:tcPr>
            <w:tcW w:w="1231" w:type="dxa"/>
            <w:tcBorders>
              <w:top w:val="nil"/>
              <w:left w:val="nil"/>
              <w:bottom w:val="single" w:sz="4" w:space="0" w:color="auto"/>
              <w:right w:val="single" w:sz="4" w:space="0" w:color="auto"/>
            </w:tcBorders>
            <w:shd w:val="clear" w:color="auto" w:fill="BDD7EE"/>
            <w:vAlign w:val="center"/>
            <w:hideMark/>
          </w:tcPr>
          <w:p w14:paraId="68E72BD3" w14:textId="77777777" w:rsidR="003C6015" w:rsidRPr="00DD6A04" w:rsidRDefault="003C6015" w:rsidP="003C6015">
            <w:pPr>
              <w:spacing w:before="0" w:after="0" w:line="240" w:lineRule="auto"/>
              <w:jc w:val="center"/>
              <w:rPr>
                <w:rFonts w:eastAsia="Times New Roman"/>
                <w:b/>
                <w:noProof/>
                <w:sz w:val="22"/>
              </w:rPr>
            </w:pPr>
            <w:r>
              <w:rPr>
                <w:b/>
                <w:noProof/>
                <w:sz w:val="22"/>
              </w:rPr>
              <w:t xml:space="preserve">Izhodiščna raven </w:t>
            </w:r>
          </w:p>
        </w:tc>
        <w:tc>
          <w:tcPr>
            <w:tcW w:w="803" w:type="dxa"/>
            <w:tcBorders>
              <w:top w:val="nil"/>
              <w:left w:val="nil"/>
              <w:bottom w:val="single" w:sz="4" w:space="0" w:color="auto"/>
              <w:right w:val="single" w:sz="4" w:space="0" w:color="auto"/>
            </w:tcBorders>
            <w:shd w:val="clear" w:color="auto" w:fill="BDD7EE"/>
            <w:vAlign w:val="center"/>
            <w:hideMark/>
          </w:tcPr>
          <w:p w14:paraId="07892E59" w14:textId="77777777" w:rsidR="003C6015" w:rsidRPr="00DD6A04" w:rsidRDefault="003C6015" w:rsidP="003C6015">
            <w:pPr>
              <w:spacing w:before="0" w:after="0" w:line="240" w:lineRule="auto"/>
              <w:jc w:val="center"/>
              <w:rPr>
                <w:rFonts w:eastAsia="Times New Roman"/>
                <w:b/>
                <w:noProof/>
                <w:sz w:val="22"/>
              </w:rPr>
            </w:pPr>
            <w:r>
              <w:rPr>
                <w:b/>
                <w:noProof/>
                <w:sz w:val="22"/>
              </w:rPr>
              <w:t xml:space="preserve">Ciljna raven </w:t>
            </w:r>
          </w:p>
        </w:tc>
        <w:tc>
          <w:tcPr>
            <w:tcW w:w="1120" w:type="dxa"/>
            <w:tcBorders>
              <w:top w:val="nil"/>
              <w:left w:val="nil"/>
              <w:bottom w:val="single" w:sz="4" w:space="0" w:color="auto"/>
              <w:right w:val="single" w:sz="4" w:space="0" w:color="auto"/>
            </w:tcBorders>
            <w:shd w:val="clear" w:color="auto" w:fill="BDD7EE"/>
            <w:vAlign w:val="center"/>
            <w:hideMark/>
          </w:tcPr>
          <w:p w14:paraId="34C3C700" w14:textId="77777777" w:rsidR="003C6015" w:rsidRPr="00DD6A04" w:rsidRDefault="003C6015" w:rsidP="003C6015">
            <w:pPr>
              <w:spacing w:before="0" w:after="0" w:line="240" w:lineRule="auto"/>
              <w:jc w:val="center"/>
              <w:rPr>
                <w:rFonts w:eastAsia="Times New Roman"/>
                <w:b/>
                <w:noProof/>
                <w:sz w:val="22"/>
              </w:rPr>
            </w:pPr>
            <w:r>
              <w:rPr>
                <w:b/>
                <w:noProof/>
                <w:sz w:val="22"/>
              </w:rPr>
              <w:t>Četrtletje</w:t>
            </w:r>
          </w:p>
        </w:tc>
        <w:tc>
          <w:tcPr>
            <w:tcW w:w="1574" w:type="dxa"/>
            <w:tcBorders>
              <w:top w:val="nil"/>
              <w:left w:val="nil"/>
              <w:bottom w:val="single" w:sz="4" w:space="0" w:color="auto"/>
              <w:right w:val="single" w:sz="4" w:space="0" w:color="auto"/>
            </w:tcBorders>
            <w:shd w:val="clear" w:color="auto" w:fill="BDD7EE"/>
            <w:vAlign w:val="center"/>
            <w:hideMark/>
          </w:tcPr>
          <w:p w14:paraId="55B62D74" w14:textId="77777777" w:rsidR="003C6015" w:rsidRPr="00DD6A04" w:rsidRDefault="003C6015" w:rsidP="003C6015">
            <w:pPr>
              <w:spacing w:before="0" w:after="0" w:line="240" w:lineRule="auto"/>
              <w:jc w:val="center"/>
              <w:rPr>
                <w:rFonts w:eastAsia="Times New Roman"/>
                <w:b/>
                <w:noProof/>
                <w:sz w:val="22"/>
              </w:rPr>
            </w:pPr>
            <w:r>
              <w:rPr>
                <w:b/>
                <w:noProof/>
                <w:sz w:val="22"/>
              </w:rPr>
              <w:t>Leto</w:t>
            </w:r>
          </w:p>
        </w:tc>
        <w:tc>
          <w:tcPr>
            <w:tcW w:w="2737" w:type="dxa"/>
            <w:vMerge/>
            <w:tcBorders>
              <w:bottom w:val="single" w:sz="4" w:space="0" w:color="auto"/>
              <w:right w:val="single" w:sz="4" w:space="0" w:color="auto"/>
            </w:tcBorders>
            <w:vAlign w:val="center"/>
            <w:hideMark/>
          </w:tcPr>
          <w:p w14:paraId="48FAAEE8" w14:textId="77777777" w:rsidR="003C6015" w:rsidRPr="00DD6A04" w:rsidRDefault="003C6015" w:rsidP="003C6015">
            <w:pPr>
              <w:spacing w:before="0" w:after="0" w:line="240" w:lineRule="auto"/>
              <w:rPr>
                <w:rFonts w:eastAsia="Times New Roman"/>
                <w:b/>
                <w:noProof/>
                <w:szCs w:val="24"/>
                <w:lang w:val="en-GB" w:eastAsia="en-GB"/>
              </w:rPr>
            </w:pPr>
          </w:p>
        </w:tc>
      </w:tr>
      <w:tr w:rsidR="00FE2B45" w:rsidRPr="00DD6A04" w14:paraId="2063440B" w14:textId="77777777" w:rsidTr="00A70F67">
        <w:trPr>
          <w:trHeight w:val="299"/>
          <w:jc w:val="center"/>
        </w:trPr>
        <w:tc>
          <w:tcPr>
            <w:tcW w:w="1350" w:type="dxa"/>
            <w:tcBorders>
              <w:top w:val="single" w:sz="4" w:space="0" w:color="auto"/>
              <w:left w:val="single" w:sz="4" w:space="0" w:color="auto"/>
              <w:bottom w:val="single" w:sz="4" w:space="0" w:color="auto"/>
              <w:right w:val="single" w:sz="4" w:space="0" w:color="auto"/>
            </w:tcBorders>
            <w:shd w:val="clear" w:color="auto" w:fill="C6EFCE"/>
            <w:noWrap/>
          </w:tcPr>
          <w:p w14:paraId="3C00F31E"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148</w:t>
            </w:r>
          </w:p>
        </w:tc>
        <w:tc>
          <w:tcPr>
            <w:tcW w:w="1538" w:type="dxa"/>
            <w:tcBorders>
              <w:top w:val="single" w:sz="4" w:space="0" w:color="auto"/>
              <w:left w:val="nil"/>
              <w:bottom w:val="single" w:sz="4" w:space="0" w:color="auto"/>
              <w:right w:val="single" w:sz="4" w:space="0" w:color="auto"/>
            </w:tcBorders>
            <w:shd w:val="clear" w:color="auto" w:fill="C6EFCE"/>
            <w:noWrap/>
          </w:tcPr>
          <w:p w14:paraId="0B7BA2A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A: Krepitev trajnostnega razvoja turizma</w:t>
            </w:r>
          </w:p>
        </w:tc>
        <w:tc>
          <w:tcPr>
            <w:tcW w:w="1018" w:type="dxa"/>
            <w:tcBorders>
              <w:top w:val="single" w:sz="4" w:space="0" w:color="auto"/>
              <w:left w:val="nil"/>
              <w:bottom w:val="single" w:sz="4" w:space="0" w:color="auto"/>
              <w:right w:val="single" w:sz="4" w:space="0" w:color="auto"/>
            </w:tcBorders>
            <w:shd w:val="clear" w:color="auto" w:fill="C6EFCE"/>
            <w:noWrap/>
          </w:tcPr>
          <w:p w14:paraId="211C024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638" w:type="dxa"/>
            <w:tcBorders>
              <w:top w:val="single" w:sz="4" w:space="0" w:color="auto"/>
              <w:left w:val="nil"/>
              <w:bottom w:val="single" w:sz="4" w:space="0" w:color="auto"/>
              <w:right w:val="single" w:sz="4" w:space="0" w:color="auto"/>
            </w:tcBorders>
            <w:shd w:val="clear" w:color="auto" w:fill="C6EFCE"/>
            <w:noWrap/>
          </w:tcPr>
          <w:p w14:paraId="4A90A30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Nadgrajeno spremljanje podatkov v Zeleni shemi slovenskega turizma </w:t>
            </w:r>
          </w:p>
        </w:tc>
        <w:tc>
          <w:tcPr>
            <w:tcW w:w="1731" w:type="dxa"/>
            <w:tcBorders>
              <w:top w:val="single" w:sz="4" w:space="0" w:color="auto"/>
              <w:left w:val="nil"/>
              <w:bottom w:val="single" w:sz="4" w:space="0" w:color="auto"/>
              <w:right w:val="single" w:sz="4" w:space="0" w:color="auto"/>
            </w:tcBorders>
            <w:shd w:val="clear" w:color="auto" w:fill="C6EFCE"/>
            <w:noWrap/>
          </w:tcPr>
          <w:p w14:paraId="29CA3A3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Operativne nadgradnje spremljanja podatkov v Zeleni shemi slovenskega turizma</w:t>
            </w:r>
          </w:p>
        </w:tc>
        <w:tc>
          <w:tcPr>
            <w:tcW w:w="1072" w:type="dxa"/>
            <w:tcBorders>
              <w:top w:val="nil"/>
              <w:left w:val="nil"/>
              <w:bottom w:val="single" w:sz="4" w:space="0" w:color="auto"/>
              <w:right w:val="single" w:sz="4" w:space="0" w:color="auto"/>
            </w:tcBorders>
            <w:shd w:val="clear" w:color="auto" w:fill="C6EFCE"/>
            <w:noWrap/>
          </w:tcPr>
          <w:p w14:paraId="4E27926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231" w:type="dxa"/>
            <w:tcBorders>
              <w:top w:val="nil"/>
              <w:left w:val="nil"/>
              <w:bottom w:val="single" w:sz="4" w:space="0" w:color="auto"/>
              <w:right w:val="single" w:sz="4" w:space="0" w:color="auto"/>
            </w:tcBorders>
            <w:shd w:val="clear" w:color="auto" w:fill="C6EFCE"/>
            <w:noWrap/>
          </w:tcPr>
          <w:p w14:paraId="5F27D454"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803" w:type="dxa"/>
            <w:tcBorders>
              <w:top w:val="nil"/>
              <w:left w:val="nil"/>
              <w:bottom w:val="single" w:sz="4" w:space="0" w:color="auto"/>
              <w:right w:val="single" w:sz="4" w:space="0" w:color="auto"/>
            </w:tcBorders>
            <w:shd w:val="clear" w:color="auto" w:fill="C6EFCE"/>
            <w:noWrap/>
          </w:tcPr>
          <w:p w14:paraId="160977BB"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1120" w:type="dxa"/>
            <w:tcBorders>
              <w:top w:val="nil"/>
              <w:left w:val="nil"/>
              <w:bottom w:val="single" w:sz="4" w:space="0" w:color="auto"/>
              <w:right w:val="single" w:sz="4" w:space="0" w:color="auto"/>
            </w:tcBorders>
            <w:shd w:val="clear" w:color="auto" w:fill="C6EFCE"/>
            <w:noWrap/>
          </w:tcPr>
          <w:p w14:paraId="0442F2EA" w14:textId="57ACC819"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1574" w:type="dxa"/>
            <w:tcBorders>
              <w:top w:val="nil"/>
              <w:left w:val="nil"/>
              <w:bottom w:val="single" w:sz="4" w:space="0" w:color="auto"/>
              <w:right w:val="single" w:sz="4" w:space="0" w:color="auto"/>
            </w:tcBorders>
            <w:shd w:val="clear" w:color="auto" w:fill="C6EFCE"/>
            <w:noWrap/>
          </w:tcPr>
          <w:p w14:paraId="176DB468" w14:textId="1A855142"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2025</w:t>
            </w:r>
          </w:p>
        </w:tc>
        <w:tc>
          <w:tcPr>
            <w:tcW w:w="2737" w:type="dxa"/>
            <w:tcBorders>
              <w:top w:val="single" w:sz="4" w:space="0" w:color="auto"/>
              <w:left w:val="nil"/>
              <w:bottom w:val="single" w:sz="4" w:space="0" w:color="auto"/>
              <w:right w:val="single" w:sz="4" w:space="0" w:color="auto"/>
            </w:tcBorders>
            <w:shd w:val="clear" w:color="auto" w:fill="C6EFCE"/>
            <w:noWrap/>
          </w:tcPr>
          <w:p w14:paraId="66AEB280" w14:textId="558AB8F0"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 Zelena shema slovenskega turizma bo nadgrajena tako, da bo vključevala analitično orodje za merjenje učinkov turizma na vodilne turistične destinacije ter za analizo in napovedovanje turističnih tokov. Ti podatki naj bi prispevali k trajnostnemu razvoju turizma v Sloveniji.</w:t>
            </w:r>
          </w:p>
          <w:p w14:paraId="5702C598" w14:textId="77777777" w:rsidR="003C6015" w:rsidRPr="00DD6A04" w:rsidRDefault="003C6015" w:rsidP="003C6015">
            <w:pPr>
              <w:spacing w:before="0" w:after="0" w:line="240" w:lineRule="auto"/>
              <w:rPr>
                <w:rFonts w:eastAsia="Times New Roman"/>
                <w:noProof/>
                <w:color w:val="006100"/>
                <w:sz w:val="22"/>
                <w:lang w:val="en-GB" w:eastAsia="en-GB"/>
              </w:rPr>
            </w:pPr>
          </w:p>
        </w:tc>
      </w:tr>
      <w:tr w:rsidR="00FE2B45" w:rsidRPr="00DD6A04" w14:paraId="04AC903C" w14:textId="77777777" w:rsidTr="00A70F67">
        <w:trPr>
          <w:trHeight w:val="299"/>
          <w:jc w:val="center"/>
        </w:trPr>
        <w:tc>
          <w:tcPr>
            <w:tcW w:w="1350" w:type="dxa"/>
            <w:tcBorders>
              <w:top w:val="nil"/>
              <w:left w:val="single" w:sz="4" w:space="0" w:color="auto"/>
              <w:bottom w:val="single" w:sz="4" w:space="0" w:color="auto"/>
              <w:right w:val="single" w:sz="4" w:space="0" w:color="auto"/>
            </w:tcBorders>
            <w:shd w:val="clear" w:color="auto" w:fill="C6EFCE"/>
            <w:noWrap/>
            <w:hideMark/>
          </w:tcPr>
          <w:p w14:paraId="1B361C16"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149</w:t>
            </w:r>
          </w:p>
        </w:tc>
        <w:tc>
          <w:tcPr>
            <w:tcW w:w="1538" w:type="dxa"/>
            <w:tcBorders>
              <w:top w:val="nil"/>
              <w:left w:val="nil"/>
              <w:bottom w:val="single" w:sz="4" w:space="0" w:color="auto"/>
              <w:right w:val="single" w:sz="4" w:space="0" w:color="auto"/>
            </w:tcBorders>
            <w:shd w:val="clear" w:color="auto" w:fill="C6EFCE"/>
            <w:noWrap/>
            <w:hideMark/>
          </w:tcPr>
          <w:p w14:paraId="05E0336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A: Krepitev trajnostnega razvoja turizma</w:t>
            </w:r>
          </w:p>
        </w:tc>
        <w:tc>
          <w:tcPr>
            <w:tcW w:w="1018" w:type="dxa"/>
            <w:tcBorders>
              <w:top w:val="nil"/>
              <w:left w:val="nil"/>
              <w:bottom w:val="single" w:sz="4" w:space="0" w:color="auto"/>
              <w:right w:val="single" w:sz="4" w:space="0" w:color="auto"/>
            </w:tcBorders>
            <w:shd w:val="clear" w:color="auto" w:fill="C6EFCE"/>
            <w:noWrap/>
            <w:hideMark/>
          </w:tcPr>
          <w:p w14:paraId="05211E9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638" w:type="dxa"/>
            <w:tcBorders>
              <w:top w:val="nil"/>
              <w:left w:val="nil"/>
              <w:bottom w:val="single" w:sz="4" w:space="0" w:color="auto"/>
              <w:right w:val="single" w:sz="4" w:space="0" w:color="auto"/>
            </w:tcBorders>
            <w:shd w:val="clear" w:color="auto" w:fill="C6EFCE"/>
            <w:noWrap/>
          </w:tcPr>
          <w:p w14:paraId="629E1E8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Začetek veljavnosti Uredbe o razvojnih spodbudah za turizem </w:t>
            </w:r>
          </w:p>
        </w:tc>
        <w:tc>
          <w:tcPr>
            <w:tcW w:w="1731" w:type="dxa"/>
            <w:tcBorders>
              <w:top w:val="nil"/>
              <w:left w:val="nil"/>
              <w:bottom w:val="single" w:sz="4" w:space="0" w:color="auto"/>
              <w:right w:val="single" w:sz="4" w:space="0" w:color="auto"/>
            </w:tcBorders>
            <w:shd w:val="clear" w:color="auto" w:fill="C6EFCE"/>
            <w:noWrap/>
            <w:hideMark/>
          </w:tcPr>
          <w:p w14:paraId="67050A6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Določba v Uredbi, ki določa začetek veljavnosti Uredbe o razvojnih spodbudah za turizem po sprejetju s strani vlade</w:t>
            </w:r>
          </w:p>
        </w:tc>
        <w:tc>
          <w:tcPr>
            <w:tcW w:w="1072" w:type="dxa"/>
            <w:tcBorders>
              <w:top w:val="nil"/>
              <w:left w:val="nil"/>
              <w:bottom w:val="single" w:sz="4" w:space="0" w:color="auto"/>
              <w:right w:val="single" w:sz="4" w:space="0" w:color="auto"/>
            </w:tcBorders>
            <w:shd w:val="clear" w:color="auto" w:fill="C6EFCE"/>
            <w:noWrap/>
            <w:hideMark/>
          </w:tcPr>
          <w:p w14:paraId="476E40C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231" w:type="dxa"/>
            <w:tcBorders>
              <w:top w:val="nil"/>
              <w:left w:val="nil"/>
              <w:bottom w:val="single" w:sz="4" w:space="0" w:color="auto"/>
              <w:right w:val="single" w:sz="4" w:space="0" w:color="auto"/>
            </w:tcBorders>
            <w:shd w:val="clear" w:color="auto" w:fill="C6EFCE"/>
            <w:noWrap/>
            <w:hideMark/>
          </w:tcPr>
          <w:p w14:paraId="6BB8072E"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803" w:type="dxa"/>
            <w:tcBorders>
              <w:top w:val="nil"/>
              <w:left w:val="nil"/>
              <w:bottom w:val="single" w:sz="4" w:space="0" w:color="auto"/>
              <w:right w:val="single" w:sz="4" w:space="0" w:color="auto"/>
            </w:tcBorders>
            <w:shd w:val="clear" w:color="auto" w:fill="C6EFCE"/>
            <w:noWrap/>
            <w:hideMark/>
          </w:tcPr>
          <w:p w14:paraId="0DF85757" w14:textId="77777777" w:rsidR="003C6015" w:rsidRPr="00DD6A04" w:rsidRDefault="003C6015" w:rsidP="003C6015">
            <w:pPr>
              <w:spacing w:before="0" w:after="0" w:line="240" w:lineRule="auto"/>
              <w:jc w:val="right"/>
              <w:rPr>
                <w:rFonts w:eastAsia="Times New Roman"/>
                <w:noProof/>
                <w:color w:val="006100"/>
                <w:sz w:val="22"/>
              </w:rPr>
            </w:pPr>
            <w:r>
              <w:rPr>
                <w:noProof/>
                <w:color w:val="006100"/>
                <w:sz w:val="22"/>
              </w:rPr>
              <w:t> </w:t>
            </w:r>
          </w:p>
        </w:tc>
        <w:tc>
          <w:tcPr>
            <w:tcW w:w="1120" w:type="dxa"/>
            <w:tcBorders>
              <w:top w:val="nil"/>
              <w:left w:val="nil"/>
              <w:bottom w:val="single" w:sz="4" w:space="0" w:color="auto"/>
              <w:right w:val="single" w:sz="4" w:space="0" w:color="auto"/>
            </w:tcBorders>
            <w:shd w:val="clear" w:color="auto" w:fill="C6EFCE"/>
            <w:noWrap/>
            <w:hideMark/>
          </w:tcPr>
          <w:p w14:paraId="0B3B602D"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1574" w:type="dxa"/>
            <w:tcBorders>
              <w:top w:val="nil"/>
              <w:left w:val="nil"/>
              <w:bottom w:val="single" w:sz="4" w:space="0" w:color="auto"/>
              <w:right w:val="single" w:sz="4" w:space="0" w:color="auto"/>
            </w:tcBorders>
            <w:shd w:val="clear" w:color="auto" w:fill="C6EFCE"/>
            <w:noWrap/>
            <w:hideMark/>
          </w:tcPr>
          <w:p w14:paraId="7FE56154"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2021</w:t>
            </w:r>
          </w:p>
        </w:tc>
        <w:tc>
          <w:tcPr>
            <w:tcW w:w="2737" w:type="dxa"/>
            <w:tcBorders>
              <w:top w:val="nil"/>
              <w:left w:val="nil"/>
              <w:bottom w:val="single" w:sz="4" w:space="0" w:color="auto"/>
              <w:right w:val="single" w:sz="4" w:space="0" w:color="auto"/>
            </w:tcBorders>
            <w:shd w:val="clear" w:color="auto" w:fill="C6EFCE"/>
            <w:noWrap/>
            <w:hideMark/>
          </w:tcPr>
          <w:p w14:paraId="1DD3E28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Uredba bo določala podrobne pogoje in merila za dodelitev spodbud v skladu z Zakonom o spodbujanju razvoja turizma. </w:t>
            </w:r>
          </w:p>
          <w:p w14:paraId="64A731FB" w14:textId="28D97A9C" w:rsidR="003C6015" w:rsidRPr="00DD6A04" w:rsidRDefault="00037751" w:rsidP="003C6015">
            <w:pPr>
              <w:spacing w:before="0" w:after="0" w:line="240" w:lineRule="auto"/>
              <w:rPr>
                <w:rFonts w:eastAsia="Times New Roman"/>
                <w:noProof/>
                <w:color w:val="006100"/>
                <w:sz w:val="22"/>
              </w:rPr>
            </w:pPr>
            <w:r>
              <w:rPr>
                <w:noProof/>
                <w:color w:val="006100"/>
                <w:sz w:val="22"/>
              </w:rPr>
              <w:t xml:space="preserve"> </w:t>
            </w:r>
            <w:r w:rsidR="003C6015">
              <w:rPr>
                <w:noProof/>
                <w:color w:val="006100"/>
                <w:sz w:val="22"/>
              </w:rPr>
              <w:t>Uredba bo spodbujala okoljsko trajnostnost ter za podporo med drugim zahtevala energetsko izkaznico najmanj razreda B za vsako prenovo in pridobitev vsaj enega mednarodnega znaka za okolje, potreba novogradenj po primarni energiji pa bo morala biti vsaj 20 % nižja od zahteve za stavbe s skoraj ničelno porabo energije.</w:t>
            </w:r>
          </w:p>
          <w:p w14:paraId="7D356690" w14:textId="77777777" w:rsidR="003C6015" w:rsidRPr="00DD6A04" w:rsidRDefault="003C6015" w:rsidP="003C6015">
            <w:pPr>
              <w:spacing w:before="0" w:after="0" w:line="240" w:lineRule="auto"/>
              <w:rPr>
                <w:rFonts w:eastAsia="Times New Roman"/>
                <w:noProof/>
                <w:color w:val="006100"/>
                <w:sz w:val="22"/>
                <w:lang w:val="en-GB" w:eastAsia="en-GB"/>
              </w:rPr>
            </w:pPr>
          </w:p>
        </w:tc>
      </w:tr>
      <w:tr w:rsidR="00FE2B45" w:rsidRPr="00DD6A04" w14:paraId="1C101F48" w14:textId="77777777" w:rsidTr="00A70F67">
        <w:trPr>
          <w:trHeight w:val="299"/>
          <w:jc w:val="center"/>
        </w:trPr>
        <w:tc>
          <w:tcPr>
            <w:tcW w:w="1350" w:type="dxa"/>
            <w:tcBorders>
              <w:top w:val="nil"/>
              <w:left w:val="single" w:sz="4" w:space="0" w:color="auto"/>
              <w:bottom w:val="single" w:sz="4" w:space="0" w:color="auto"/>
              <w:right w:val="single" w:sz="4" w:space="0" w:color="auto"/>
            </w:tcBorders>
            <w:shd w:val="clear" w:color="auto" w:fill="C6EFCE"/>
            <w:noWrap/>
            <w:hideMark/>
          </w:tcPr>
          <w:p w14:paraId="6B261341"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150</w:t>
            </w:r>
          </w:p>
        </w:tc>
        <w:tc>
          <w:tcPr>
            <w:tcW w:w="1538" w:type="dxa"/>
            <w:tcBorders>
              <w:top w:val="nil"/>
              <w:left w:val="nil"/>
              <w:bottom w:val="single" w:sz="4" w:space="0" w:color="auto"/>
              <w:right w:val="single" w:sz="4" w:space="0" w:color="auto"/>
            </w:tcBorders>
            <w:shd w:val="clear" w:color="auto" w:fill="C6EFCE"/>
            <w:noWrap/>
            <w:hideMark/>
          </w:tcPr>
          <w:p w14:paraId="2EBD8D1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B: Trajnostni razvoj slovenske nastanitvene turistične ponudbe za dvig dodane vrednosti turizma </w:t>
            </w:r>
          </w:p>
        </w:tc>
        <w:tc>
          <w:tcPr>
            <w:tcW w:w="1018" w:type="dxa"/>
            <w:tcBorders>
              <w:top w:val="nil"/>
              <w:left w:val="nil"/>
              <w:bottom w:val="single" w:sz="4" w:space="0" w:color="auto"/>
              <w:right w:val="single" w:sz="4" w:space="0" w:color="auto"/>
            </w:tcBorders>
            <w:shd w:val="clear" w:color="auto" w:fill="C6EFCE"/>
            <w:noWrap/>
            <w:hideMark/>
          </w:tcPr>
          <w:p w14:paraId="38D980BF"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638" w:type="dxa"/>
            <w:tcBorders>
              <w:top w:val="nil"/>
              <w:left w:val="nil"/>
              <w:bottom w:val="single" w:sz="4" w:space="0" w:color="auto"/>
              <w:right w:val="single" w:sz="4" w:space="0" w:color="auto"/>
            </w:tcBorders>
            <w:shd w:val="clear" w:color="auto" w:fill="C6EFCE"/>
            <w:noWrap/>
            <w:hideMark/>
          </w:tcPr>
          <w:p w14:paraId="0B2CE260" w14:textId="078B1338"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Izdaja sklepov o sofinanciranju za povečanje energetske učinkovitosti turističnih nastanitvenih zmogljivosti </w:t>
            </w:r>
          </w:p>
          <w:p w14:paraId="53F53F30" w14:textId="77777777" w:rsidR="003C6015" w:rsidRPr="00DD6A04" w:rsidRDefault="003C6015" w:rsidP="003C6015">
            <w:pPr>
              <w:spacing w:before="0" w:after="0" w:line="240" w:lineRule="auto"/>
              <w:rPr>
                <w:rFonts w:eastAsia="Times New Roman"/>
                <w:noProof/>
                <w:color w:val="006100"/>
                <w:sz w:val="22"/>
                <w:lang w:val="en-GB" w:eastAsia="en-GB"/>
              </w:rPr>
            </w:pPr>
          </w:p>
        </w:tc>
        <w:tc>
          <w:tcPr>
            <w:tcW w:w="1731" w:type="dxa"/>
            <w:tcBorders>
              <w:top w:val="nil"/>
              <w:left w:val="nil"/>
              <w:bottom w:val="single" w:sz="4" w:space="0" w:color="auto"/>
              <w:right w:val="single" w:sz="4" w:space="0" w:color="auto"/>
            </w:tcBorders>
            <w:shd w:val="clear" w:color="auto" w:fill="C6EFCE"/>
            <w:noWrap/>
            <w:hideMark/>
          </w:tcPr>
          <w:p w14:paraId="0285E4C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Objava rezultatov razpisa</w:t>
            </w:r>
          </w:p>
        </w:tc>
        <w:tc>
          <w:tcPr>
            <w:tcW w:w="1072" w:type="dxa"/>
            <w:tcBorders>
              <w:top w:val="nil"/>
              <w:left w:val="nil"/>
              <w:bottom w:val="single" w:sz="4" w:space="0" w:color="auto"/>
              <w:right w:val="single" w:sz="4" w:space="0" w:color="auto"/>
            </w:tcBorders>
            <w:shd w:val="clear" w:color="auto" w:fill="C6EFCE"/>
            <w:noWrap/>
            <w:hideMark/>
          </w:tcPr>
          <w:p w14:paraId="65A5DBE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231" w:type="dxa"/>
            <w:tcBorders>
              <w:top w:val="nil"/>
              <w:left w:val="nil"/>
              <w:bottom w:val="single" w:sz="4" w:space="0" w:color="auto"/>
              <w:right w:val="single" w:sz="4" w:space="0" w:color="auto"/>
            </w:tcBorders>
            <w:shd w:val="clear" w:color="auto" w:fill="C6EFCE"/>
            <w:noWrap/>
            <w:hideMark/>
          </w:tcPr>
          <w:p w14:paraId="26F1858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03" w:type="dxa"/>
            <w:tcBorders>
              <w:top w:val="nil"/>
              <w:left w:val="nil"/>
              <w:bottom w:val="single" w:sz="4" w:space="0" w:color="auto"/>
              <w:right w:val="single" w:sz="4" w:space="0" w:color="auto"/>
            </w:tcBorders>
            <w:shd w:val="clear" w:color="auto" w:fill="C6EFCE"/>
            <w:noWrap/>
            <w:hideMark/>
          </w:tcPr>
          <w:p w14:paraId="1A9BA83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20" w:type="dxa"/>
            <w:tcBorders>
              <w:top w:val="nil"/>
              <w:left w:val="nil"/>
              <w:bottom w:val="single" w:sz="4" w:space="0" w:color="auto"/>
              <w:right w:val="single" w:sz="4" w:space="0" w:color="auto"/>
            </w:tcBorders>
            <w:shd w:val="clear" w:color="auto" w:fill="C6EFCE"/>
            <w:noWrap/>
            <w:hideMark/>
          </w:tcPr>
          <w:p w14:paraId="60920818"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1574" w:type="dxa"/>
            <w:tcBorders>
              <w:top w:val="nil"/>
              <w:left w:val="nil"/>
              <w:bottom w:val="single" w:sz="4" w:space="0" w:color="auto"/>
              <w:right w:val="single" w:sz="4" w:space="0" w:color="auto"/>
            </w:tcBorders>
            <w:shd w:val="clear" w:color="auto" w:fill="C6EFCE"/>
            <w:noWrap/>
            <w:hideMark/>
          </w:tcPr>
          <w:p w14:paraId="5D4D7C0D"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2022</w:t>
            </w:r>
          </w:p>
        </w:tc>
        <w:tc>
          <w:tcPr>
            <w:tcW w:w="2737" w:type="dxa"/>
            <w:tcBorders>
              <w:top w:val="nil"/>
              <w:left w:val="nil"/>
              <w:bottom w:val="single" w:sz="4" w:space="0" w:color="auto"/>
              <w:right w:val="single" w:sz="4" w:space="0" w:color="auto"/>
            </w:tcBorders>
            <w:shd w:val="clear" w:color="auto" w:fill="C6EFCE"/>
            <w:noWrap/>
            <w:hideMark/>
          </w:tcPr>
          <w:p w14:paraId="009CD7D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Izbrani projekti bodo morali izpolnjevati pogoje iz Uredbe o razvojnih spodbudah za turizem. Zlasti bo moralo biti vsaj 50 % upravičenih stroškov prenove ali nove gradnje namenjenih izboljšavam energetske učinkovitosti. Novogradnje bodo zagotavljale, da bo njihova potreba po primarni energiji vsaj 20 % nižja od zahteve za stavbe s skoraj ničelno porabo energije.</w:t>
            </w:r>
          </w:p>
        </w:tc>
      </w:tr>
      <w:tr w:rsidR="00FE2B45" w:rsidRPr="00DD6A04" w14:paraId="2DA9AD39" w14:textId="77777777" w:rsidTr="00A70F67">
        <w:trPr>
          <w:trHeight w:val="299"/>
          <w:jc w:val="center"/>
        </w:trPr>
        <w:tc>
          <w:tcPr>
            <w:tcW w:w="1350" w:type="dxa"/>
            <w:tcBorders>
              <w:top w:val="nil"/>
              <w:left w:val="single" w:sz="4" w:space="0" w:color="auto"/>
              <w:bottom w:val="single" w:sz="4" w:space="0" w:color="auto"/>
              <w:right w:val="single" w:sz="4" w:space="0" w:color="auto"/>
            </w:tcBorders>
            <w:shd w:val="clear" w:color="auto" w:fill="C6EFCE"/>
            <w:noWrap/>
            <w:hideMark/>
          </w:tcPr>
          <w:p w14:paraId="318CC308"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151</w:t>
            </w:r>
          </w:p>
        </w:tc>
        <w:tc>
          <w:tcPr>
            <w:tcW w:w="1538" w:type="dxa"/>
            <w:tcBorders>
              <w:top w:val="nil"/>
              <w:left w:val="nil"/>
              <w:bottom w:val="single" w:sz="4" w:space="0" w:color="auto"/>
              <w:right w:val="single" w:sz="4" w:space="0" w:color="auto"/>
            </w:tcBorders>
            <w:shd w:val="clear" w:color="auto" w:fill="C6EFCE"/>
            <w:noWrap/>
            <w:hideMark/>
          </w:tcPr>
          <w:p w14:paraId="0022DFE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B: Trajnostni razvoj slovenske nastanitvene turistične ponudbe za dvig dodane vrednosti turizma </w:t>
            </w:r>
          </w:p>
        </w:tc>
        <w:tc>
          <w:tcPr>
            <w:tcW w:w="1018" w:type="dxa"/>
            <w:tcBorders>
              <w:top w:val="nil"/>
              <w:left w:val="nil"/>
              <w:bottom w:val="single" w:sz="4" w:space="0" w:color="auto"/>
              <w:right w:val="single" w:sz="4" w:space="0" w:color="auto"/>
            </w:tcBorders>
            <w:shd w:val="clear" w:color="auto" w:fill="C6EFCE"/>
            <w:noWrap/>
            <w:hideMark/>
          </w:tcPr>
          <w:p w14:paraId="54F3DEB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638" w:type="dxa"/>
            <w:tcBorders>
              <w:top w:val="nil"/>
              <w:left w:val="nil"/>
              <w:bottom w:val="single" w:sz="4" w:space="0" w:color="auto"/>
              <w:right w:val="single" w:sz="4" w:space="0" w:color="auto"/>
            </w:tcBorders>
            <w:shd w:val="clear" w:color="auto" w:fill="C6EFCE"/>
            <w:noWrap/>
            <w:hideMark/>
          </w:tcPr>
          <w:p w14:paraId="2AB41379"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Dokončanje projektov za povečanje energetske učinkovitosti turističnih nastanitvenih zmogljivosti </w:t>
            </w:r>
          </w:p>
          <w:p w14:paraId="595BD23C" w14:textId="77777777" w:rsidR="003C6015" w:rsidRPr="00DD6A04" w:rsidRDefault="003C6015" w:rsidP="003C6015">
            <w:pPr>
              <w:spacing w:before="0" w:after="0" w:line="240" w:lineRule="auto"/>
              <w:rPr>
                <w:rFonts w:eastAsia="Times New Roman"/>
                <w:noProof/>
                <w:color w:val="006100"/>
                <w:sz w:val="22"/>
                <w:lang w:val="en-GB" w:eastAsia="en-GB"/>
              </w:rPr>
            </w:pPr>
          </w:p>
        </w:tc>
        <w:tc>
          <w:tcPr>
            <w:tcW w:w="1731" w:type="dxa"/>
            <w:tcBorders>
              <w:top w:val="nil"/>
              <w:left w:val="nil"/>
              <w:bottom w:val="single" w:sz="4" w:space="0" w:color="auto"/>
              <w:right w:val="single" w:sz="4" w:space="0" w:color="auto"/>
            </w:tcBorders>
            <w:shd w:val="clear" w:color="auto" w:fill="C6EFCE"/>
            <w:noWrap/>
            <w:hideMark/>
          </w:tcPr>
          <w:p w14:paraId="329D3A5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072" w:type="dxa"/>
            <w:tcBorders>
              <w:top w:val="nil"/>
              <w:left w:val="nil"/>
              <w:bottom w:val="single" w:sz="4" w:space="0" w:color="auto"/>
              <w:right w:val="single" w:sz="4" w:space="0" w:color="auto"/>
            </w:tcBorders>
            <w:shd w:val="clear" w:color="auto" w:fill="C6EFCE"/>
            <w:noWrap/>
            <w:hideMark/>
          </w:tcPr>
          <w:p w14:paraId="54D4D13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1231" w:type="dxa"/>
            <w:tcBorders>
              <w:top w:val="nil"/>
              <w:left w:val="nil"/>
              <w:bottom w:val="single" w:sz="4" w:space="0" w:color="auto"/>
              <w:right w:val="single" w:sz="4" w:space="0" w:color="auto"/>
            </w:tcBorders>
            <w:shd w:val="clear" w:color="auto" w:fill="C6EFCE"/>
            <w:noWrap/>
            <w:hideMark/>
          </w:tcPr>
          <w:p w14:paraId="036ACCC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803" w:type="dxa"/>
            <w:tcBorders>
              <w:top w:val="nil"/>
              <w:left w:val="nil"/>
              <w:bottom w:val="single" w:sz="4" w:space="0" w:color="auto"/>
              <w:right w:val="single" w:sz="4" w:space="0" w:color="auto"/>
            </w:tcBorders>
            <w:shd w:val="clear" w:color="auto" w:fill="C6EFCE"/>
            <w:noWrap/>
            <w:hideMark/>
          </w:tcPr>
          <w:p w14:paraId="333E9EB3" w14:textId="7D6CEE55" w:rsidR="003C6015" w:rsidRPr="00DD6A04" w:rsidRDefault="001F2783" w:rsidP="003C6015">
            <w:pPr>
              <w:spacing w:before="0" w:after="0" w:line="240" w:lineRule="auto"/>
              <w:rPr>
                <w:rFonts w:eastAsia="Times New Roman"/>
                <w:noProof/>
                <w:color w:val="006100"/>
                <w:sz w:val="22"/>
              </w:rPr>
            </w:pPr>
            <w:r>
              <w:rPr>
                <w:noProof/>
                <w:color w:val="006100"/>
                <w:sz w:val="22"/>
              </w:rPr>
              <w:t>22</w:t>
            </w:r>
          </w:p>
        </w:tc>
        <w:tc>
          <w:tcPr>
            <w:tcW w:w="1120" w:type="dxa"/>
            <w:tcBorders>
              <w:top w:val="nil"/>
              <w:left w:val="nil"/>
              <w:bottom w:val="single" w:sz="4" w:space="0" w:color="auto"/>
              <w:right w:val="single" w:sz="4" w:space="0" w:color="auto"/>
            </w:tcBorders>
            <w:shd w:val="clear" w:color="auto" w:fill="C6EFCE"/>
            <w:noWrap/>
            <w:hideMark/>
          </w:tcPr>
          <w:p w14:paraId="045AF98B"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1574" w:type="dxa"/>
            <w:tcBorders>
              <w:top w:val="nil"/>
              <w:left w:val="nil"/>
              <w:bottom w:val="single" w:sz="4" w:space="0" w:color="auto"/>
              <w:right w:val="single" w:sz="4" w:space="0" w:color="auto"/>
            </w:tcBorders>
            <w:shd w:val="clear" w:color="auto" w:fill="C6EFCE"/>
            <w:noWrap/>
            <w:hideMark/>
          </w:tcPr>
          <w:p w14:paraId="31240C09"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2026</w:t>
            </w:r>
          </w:p>
        </w:tc>
        <w:tc>
          <w:tcPr>
            <w:tcW w:w="2737" w:type="dxa"/>
            <w:tcBorders>
              <w:top w:val="nil"/>
              <w:left w:val="nil"/>
              <w:bottom w:val="single" w:sz="4" w:space="0" w:color="auto"/>
              <w:right w:val="single" w:sz="4" w:space="0" w:color="auto"/>
            </w:tcBorders>
            <w:shd w:val="clear" w:color="auto" w:fill="C6EFCE"/>
            <w:noWrap/>
            <w:hideMark/>
          </w:tcPr>
          <w:p w14:paraId="4EEE7422" w14:textId="57002C69" w:rsidR="003C6015" w:rsidRPr="00DD6A04" w:rsidRDefault="003C6015" w:rsidP="003C6015">
            <w:pPr>
              <w:spacing w:before="0" w:after="0" w:line="240" w:lineRule="auto"/>
              <w:rPr>
                <w:rFonts w:eastAsia="Times New Roman"/>
                <w:noProof/>
                <w:color w:val="006100"/>
                <w:sz w:val="22"/>
              </w:rPr>
            </w:pPr>
            <w:r>
              <w:rPr>
                <w:noProof/>
                <w:color w:val="006100"/>
                <w:sz w:val="22"/>
              </w:rPr>
              <w:t>Projekti prenove, dokončani v skladu s pogoji iz mejnika 150. Povprečna velikost projektov naj bi bila najmanj 30 sob.</w:t>
            </w:r>
          </w:p>
          <w:p w14:paraId="2A7B6152" w14:textId="79E918D5" w:rsidR="003C6015" w:rsidRPr="00DD6A04" w:rsidRDefault="003C6015" w:rsidP="003C6015">
            <w:pPr>
              <w:spacing w:before="0" w:after="0" w:line="240" w:lineRule="auto"/>
              <w:rPr>
                <w:rFonts w:eastAsia="Times New Roman"/>
                <w:noProof/>
                <w:color w:val="006100"/>
                <w:sz w:val="22"/>
              </w:rPr>
            </w:pPr>
            <w:r>
              <w:rPr>
                <w:noProof/>
                <w:color w:val="006100"/>
                <w:sz w:val="22"/>
              </w:rPr>
              <w:t>Skupni znesek financiranja bo najmanj 18 000 000 EUR.</w:t>
            </w:r>
          </w:p>
          <w:p w14:paraId="5171454A" w14:textId="77777777" w:rsidR="007973BA" w:rsidRPr="00DD6A04" w:rsidRDefault="007973BA" w:rsidP="003C6015">
            <w:pPr>
              <w:spacing w:before="0" w:after="0" w:line="240" w:lineRule="auto"/>
              <w:rPr>
                <w:rFonts w:eastAsia="Times New Roman"/>
                <w:noProof/>
                <w:color w:val="006100"/>
                <w:sz w:val="22"/>
                <w:lang w:val="en-GB" w:eastAsia="en-GB"/>
              </w:rPr>
            </w:pPr>
          </w:p>
          <w:p w14:paraId="2CEA2567" w14:textId="5B75CE1E" w:rsidR="003C6015" w:rsidRPr="00DD6A04" w:rsidRDefault="003C6015" w:rsidP="003C6015">
            <w:pPr>
              <w:spacing w:before="0" w:after="0" w:line="240" w:lineRule="auto"/>
              <w:rPr>
                <w:rFonts w:eastAsia="Times New Roman"/>
                <w:noProof/>
                <w:color w:val="006100"/>
                <w:sz w:val="22"/>
                <w:lang w:val="en-GB" w:eastAsia="en-GB"/>
              </w:rPr>
            </w:pPr>
          </w:p>
        </w:tc>
      </w:tr>
      <w:tr w:rsidR="00FE2B45" w:rsidRPr="00DD6A04" w14:paraId="6FE80C3F" w14:textId="77777777" w:rsidTr="00A70F67">
        <w:trPr>
          <w:trHeight w:val="299"/>
          <w:jc w:val="center"/>
        </w:trPr>
        <w:tc>
          <w:tcPr>
            <w:tcW w:w="1350" w:type="dxa"/>
            <w:tcBorders>
              <w:top w:val="nil"/>
              <w:left w:val="single" w:sz="4" w:space="0" w:color="auto"/>
              <w:bottom w:val="single" w:sz="4" w:space="0" w:color="auto"/>
              <w:right w:val="single" w:sz="4" w:space="0" w:color="auto"/>
            </w:tcBorders>
            <w:shd w:val="clear" w:color="auto" w:fill="C6EFCE"/>
            <w:noWrap/>
          </w:tcPr>
          <w:p w14:paraId="61671E26"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152</w:t>
            </w:r>
          </w:p>
        </w:tc>
        <w:tc>
          <w:tcPr>
            <w:tcW w:w="1538" w:type="dxa"/>
            <w:tcBorders>
              <w:top w:val="nil"/>
              <w:left w:val="nil"/>
              <w:bottom w:val="single" w:sz="4" w:space="0" w:color="auto"/>
              <w:right w:val="single" w:sz="4" w:space="0" w:color="auto"/>
            </w:tcBorders>
            <w:shd w:val="clear" w:color="auto" w:fill="C6EFCE"/>
            <w:noWrap/>
          </w:tcPr>
          <w:p w14:paraId="4BFC8BB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B: Trajnostni razvoj slovenske nastanitvene turistične ponudbe za dvig dodane vrednosti turizma </w:t>
            </w:r>
          </w:p>
        </w:tc>
        <w:tc>
          <w:tcPr>
            <w:tcW w:w="1018" w:type="dxa"/>
            <w:tcBorders>
              <w:top w:val="nil"/>
              <w:left w:val="nil"/>
              <w:bottom w:val="single" w:sz="4" w:space="0" w:color="auto"/>
              <w:right w:val="single" w:sz="4" w:space="0" w:color="auto"/>
            </w:tcBorders>
            <w:shd w:val="clear" w:color="auto" w:fill="C6EFCE"/>
            <w:noWrap/>
          </w:tcPr>
          <w:p w14:paraId="3288EB9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638" w:type="dxa"/>
            <w:tcBorders>
              <w:top w:val="nil"/>
              <w:left w:val="nil"/>
              <w:bottom w:val="single" w:sz="4" w:space="0" w:color="auto"/>
              <w:right w:val="single" w:sz="4" w:space="0" w:color="auto"/>
            </w:tcBorders>
            <w:shd w:val="clear" w:color="auto" w:fill="C6EFCE"/>
            <w:noWrap/>
          </w:tcPr>
          <w:p w14:paraId="49C38A6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Dokončanje projektov gradnje ali popolne rekonstrukcije za povečanje energetske učinkovitosti turističnih nastanitvenih zmogljivosti </w:t>
            </w:r>
          </w:p>
          <w:p w14:paraId="6DA06262" w14:textId="77777777" w:rsidR="003C6015" w:rsidRPr="00DD6A04" w:rsidRDefault="003C6015" w:rsidP="003C6015">
            <w:pPr>
              <w:spacing w:before="0" w:after="0" w:line="240" w:lineRule="auto"/>
              <w:rPr>
                <w:rFonts w:eastAsia="Times New Roman"/>
                <w:noProof/>
                <w:color w:val="006100"/>
                <w:sz w:val="22"/>
                <w:lang w:val="en-GB" w:eastAsia="en-GB"/>
              </w:rPr>
            </w:pPr>
          </w:p>
        </w:tc>
        <w:tc>
          <w:tcPr>
            <w:tcW w:w="1731" w:type="dxa"/>
            <w:tcBorders>
              <w:top w:val="nil"/>
              <w:left w:val="nil"/>
              <w:bottom w:val="single" w:sz="4" w:space="0" w:color="auto"/>
              <w:right w:val="single" w:sz="4" w:space="0" w:color="auto"/>
            </w:tcBorders>
            <w:shd w:val="clear" w:color="auto" w:fill="C6EFCE"/>
            <w:noWrap/>
          </w:tcPr>
          <w:p w14:paraId="3CEB3DD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072" w:type="dxa"/>
            <w:tcBorders>
              <w:top w:val="nil"/>
              <w:left w:val="nil"/>
              <w:bottom w:val="single" w:sz="4" w:space="0" w:color="auto"/>
              <w:right w:val="single" w:sz="4" w:space="0" w:color="auto"/>
            </w:tcBorders>
            <w:shd w:val="clear" w:color="auto" w:fill="C6EFCE"/>
            <w:noWrap/>
          </w:tcPr>
          <w:p w14:paraId="27AF4A4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1231" w:type="dxa"/>
            <w:tcBorders>
              <w:top w:val="nil"/>
              <w:left w:val="nil"/>
              <w:bottom w:val="single" w:sz="4" w:space="0" w:color="auto"/>
              <w:right w:val="single" w:sz="4" w:space="0" w:color="auto"/>
            </w:tcBorders>
            <w:shd w:val="clear" w:color="auto" w:fill="C6EFCE"/>
            <w:noWrap/>
          </w:tcPr>
          <w:p w14:paraId="0AC146F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803" w:type="dxa"/>
            <w:tcBorders>
              <w:top w:val="nil"/>
              <w:left w:val="nil"/>
              <w:bottom w:val="single" w:sz="4" w:space="0" w:color="auto"/>
              <w:right w:val="single" w:sz="4" w:space="0" w:color="auto"/>
            </w:tcBorders>
            <w:shd w:val="clear" w:color="auto" w:fill="C6EFCE"/>
            <w:noWrap/>
          </w:tcPr>
          <w:p w14:paraId="33CCE613" w14:textId="7E6A94BE" w:rsidR="003C6015" w:rsidRPr="00DD6A04" w:rsidRDefault="001F2783" w:rsidP="003C6015">
            <w:pPr>
              <w:spacing w:before="0" w:after="0" w:line="240" w:lineRule="auto"/>
              <w:rPr>
                <w:rFonts w:eastAsia="Times New Roman"/>
                <w:noProof/>
                <w:color w:val="006100"/>
                <w:sz w:val="22"/>
              </w:rPr>
            </w:pPr>
            <w:r>
              <w:rPr>
                <w:noProof/>
                <w:color w:val="006100"/>
                <w:sz w:val="22"/>
              </w:rPr>
              <w:t>29</w:t>
            </w:r>
          </w:p>
        </w:tc>
        <w:tc>
          <w:tcPr>
            <w:tcW w:w="1120" w:type="dxa"/>
            <w:tcBorders>
              <w:top w:val="nil"/>
              <w:left w:val="nil"/>
              <w:bottom w:val="single" w:sz="4" w:space="0" w:color="auto"/>
              <w:right w:val="single" w:sz="4" w:space="0" w:color="auto"/>
            </w:tcBorders>
            <w:shd w:val="clear" w:color="auto" w:fill="C6EFCE"/>
            <w:noWrap/>
          </w:tcPr>
          <w:p w14:paraId="56A3270A"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1574" w:type="dxa"/>
            <w:tcBorders>
              <w:top w:val="nil"/>
              <w:left w:val="nil"/>
              <w:bottom w:val="single" w:sz="4" w:space="0" w:color="auto"/>
              <w:right w:val="single" w:sz="4" w:space="0" w:color="auto"/>
            </w:tcBorders>
            <w:shd w:val="clear" w:color="auto" w:fill="C6EFCE"/>
            <w:noWrap/>
          </w:tcPr>
          <w:p w14:paraId="4C1D970E"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2026</w:t>
            </w:r>
          </w:p>
        </w:tc>
        <w:tc>
          <w:tcPr>
            <w:tcW w:w="2737" w:type="dxa"/>
            <w:tcBorders>
              <w:top w:val="nil"/>
              <w:left w:val="nil"/>
              <w:bottom w:val="single" w:sz="4" w:space="0" w:color="auto"/>
              <w:right w:val="single" w:sz="4" w:space="0" w:color="auto"/>
            </w:tcBorders>
            <w:shd w:val="clear" w:color="auto" w:fill="C6EFCE"/>
            <w:noWrap/>
          </w:tcPr>
          <w:p w14:paraId="2638C78F" w14:textId="59D9367B" w:rsidR="003C6015" w:rsidRPr="00DD6A04" w:rsidRDefault="003C6015" w:rsidP="003C6015">
            <w:pPr>
              <w:spacing w:before="0" w:after="0" w:line="240" w:lineRule="auto"/>
              <w:rPr>
                <w:rFonts w:eastAsia="Times New Roman"/>
                <w:noProof/>
                <w:color w:val="006100"/>
                <w:sz w:val="22"/>
              </w:rPr>
            </w:pPr>
            <w:r>
              <w:rPr>
                <w:noProof/>
                <w:color w:val="006100"/>
                <w:sz w:val="22"/>
              </w:rPr>
              <w:t>Projekti gradnje ali popolne rekonstrukcije, dokončani v skladu s pogoji iz mejnika 150. Povprečna velikost projektov naj bi bila najmanj 20 sob.</w:t>
            </w:r>
          </w:p>
          <w:p w14:paraId="6B4C79C3" w14:textId="4F211720" w:rsidR="003C6015" w:rsidRPr="00DD6A04" w:rsidRDefault="003C6015" w:rsidP="003C6015">
            <w:pPr>
              <w:spacing w:before="0" w:after="0" w:line="240" w:lineRule="auto"/>
              <w:rPr>
                <w:rFonts w:eastAsia="Times New Roman"/>
                <w:noProof/>
                <w:color w:val="006100"/>
                <w:sz w:val="22"/>
              </w:rPr>
            </w:pPr>
            <w:r>
              <w:rPr>
                <w:noProof/>
                <w:color w:val="006100"/>
                <w:sz w:val="22"/>
              </w:rPr>
              <w:t>Skupni znesek financiranja bo najmanj 40 000 000 EUR.</w:t>
            </w:r>
          </w:p>
        </w:tc>
      </w:tr>
      <w:tr w:rsidR="00FE2B45" w:rsidRPr="00DD6A04" w14:paraId="7AAFCEE2" w14:textId="77777777" w:rsidTr="00A70F67">
        <w:trPr>
          <w:trHeight w:val="299"/>
          <w:jc w:val="center"/>
        </w:trPr>
        <w:tc>
          <w:tcPr>
            <w:tcW w:w="1350" w:type="dxa"/>
            <w:tcBorders>
              <w:top w:val="nil"/>
              <w:left w:val="single" w:sz="4" w:space="0" w:color="auto"/>
              <w:bottom w:val="single" w:sz="4" w:space="0" w:color="auto"/>
              <w:right w:val="single" w:sz="4" w:space="0" w:color="auto"/>
            </w:tcBorders>
            <w:shd w:val="clear" w:color="auto" w:fill="C6EFCE"/>
            <w:noWrap/>
          </w:tcPr>
          <w:p w14:paraId="342AC7FF"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153</w:t>
            </w:r>
          </w:p>
        </w:tc>
        <w:tc>
          <w:tcPr>
            <w:tcW w:w="1538" w:type="dxa"/>
            <w:tcBorders>
              <w:top w:val="nil"/>
              <w:left w:val="nil"/>
              <w:bottom w:val="single" w:sz="4" w:space="0" w:color="auto"/>
              <w:right w:val="single" w:sz="4" w:space="0" w:color="auto"/>
            </w:tcBorders>
            <w:shd w:val="clear" w:color="auto" w:fill="C6EFCE"/>
            <w:noWrap/>
          </w:tcPr>
          <w:p w14:paraId="684745E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C: Trajnostni razvoj javne in skupne turistične infrastrukture in naravnih znamenitosti v turističnih destinacijah </w:t>
            </w:r>
          </w:p>
        </w:tc>
        <w:tc>
          <w:tcPr>
            <w:tcW w:w="1018" w:type="dxa"/>
            <w:tcBorders>
              <w:top w:val="nil"/>
              <w:left w:val="nil"/>
              <w:bottom w:val="single" w:sz="4" w:space="0" w:color="auto"/>
              <w:right w:val="single" w:sz="4" w:space="0" w:color="auto"/>
            </w:tcBorders>
            <w:shd w:val="clear" w:color="auto" w:fill="C6EFCE"/>
            <w:noWrap/>
          </w:tcPr>
          <w:p w14:paraId="11514E3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638" w:type="dxa"/>
            <w:tcBorders>
              <w:top w:val="nil"/>
              <w:left w:val="nil"/>
              <w:bottom w:val="single" w:sz="4" w:space="0" w:color="auto"/>
              <w:right w:val="single" w:sz="4" w:space="0" w:color="auto"/>
            </w:tcBorders>
            <w:shd w:val="clear" w:color="auto" w:fill="C6EFCE"/>
            <w:noWrap/>
          </w:tcPr>
          <w:p w14:paraId="7733512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Dokončanje naložbenih projektov v javno in skupno turistično infrastrukturo </w:t>
            </w:r>
          </w:p>
        </w:tc>
        <w:tc>
          <w:tcPr>
            <w:tcW w:w="1731" w:type="dxa"/>
            <w:tcBorders>
              <w:top w:val="nil"/>
              <w:left w:val="nil"/>
              <w:bottom w:val="single" w:sz="4" w:space="0" w:color="auto"/>
              <w:right w:val="single" w:sz="4" w:space="0" w:color="auto"/>
            </w:tcBorders>
            <w:shd w:val="clear" w:color="auto" w:fill="C6EFCE"/>
            <w:noWrap/>
          </w:tcPr>
          <w:p w14:paraId="06BD1A97"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072" w:type="dxa"/>
            <w:tcBorders>
              <w:top w:val="nil"/>
              <w:left w:val="nil"/>
              <w:bottom w:val="single" w:sz="4" w:space="0" w:color="auto"/>
              <w:right w:val="single" w:sz="4" w:space="0" w:color="auto"/>
            </w:tcBorders>
            <w:shd w:val="clear" w:color="auto" w:fill="C6EFCE"/>
            <w:noWrap/>
          </w:tcPr>
          <w:p w14:paraId="1FB1C90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1231" w:type="dxa"/>
            <w:tcBorders>
              <w:top w:val="nil"/>
              <w:left w:val="nil"/>
              <w:bottom w:val="single" w:sz="4" w:space="0" w:color="auto"/>
              <w:right w:val="single" w:sz="4" w:space="0" w:color="auto"/>
            </w:tcBorders>
            <w:shd w:val="clear" w:color="auto" w:fill="C6EFCE"/>
            <w:noWrap/>
          </w:tcPr>
          <w:p w14:paraId="0279F7E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803" w:type="dxa"/>
            <w:tcBorders>
              <w:top w:val="nil"/>
              <w:left w:val="nil"/>
              <w:bottom w:val="single" w:sz="4" w:space="0" w:color="auto"/>
              <w:right w:val="single" w:sz="4" w:space="0" w:color="auto"/>
            </w:tcBorders>
            <w:shd w:val="clear" w:color="auto" w:fill="C6EFCE"/>
            <w:noWrap/>
          </w:tcPr>
          <w:p w14:paraId="1C27EAAE"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35</w:t>
            </w:r>
          </w:p>
        </w:tc>
        <w:tc>
          <w:tcPr>
            <w:tcW w:w="1120" w:type="dxa"/>
            <w:tcBorders>
              <w:top w:val="nil"/>
              <w:left w:val="nil"/>
              <w:bottom w:val="single" w:sz="4" w:space="0" w:color="auto"/>
              <w:right w:val="single" w:sz="4" w:space="0" w:color="auto"/>
            </w:tcBorders>
            <w:shd w:val="clear" w:color="auto" w:fill="C6EFCE"/>
            <w:noWrap/>
          </w:tcPr>
          <w:p w14:paraId="4262CA90"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1574" w:type="dxa"/>
            <w:tcBorders>
              <w:top w:val="nil"/>
              <w:left w:val="nil"/>
              <w:bottom w:val="single" w:sz="4" w:space="0" w:color="auto"/>
              <w:right w:val="single" w:sz="4" w:space="0" w:color="auto"/>
            </w:tcBorders>
            <w:shd w:val="clear" w:color="auto" w:fill="C6EFCE"/>
            <w:noWrap/>
          </w:tcPr>
          <w:p w14:paraId="6301CD61"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2025</w:t>
            </w:r>
          </w:p>
        </w:tc>
        <w:tc>
          <w:tcPr>
            <w:tcW w:w="2737" w:type="dxa"/>
            <w:tcBorders>
              <w:top w:val="nil"/>
              <w:left w:val="nil"/>
              <w:bottom w:val="single" w:sz="4" w:space="0" w:color="auto"/>
              <w:right w:val="single" w:sz="4" w:space="0" w:color="auto"/>
            </w:tcBorders>
            <w:shd w:val="clear" w:color="auto" w:fill="C6EFCE"/>
            <w:noWrap/>
          </w:tcPr>
          <w:p w14:paraId="5730DEA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Dokončanje naložbenih projektov v javno in skupno turistično infrastrukturo.</w:t>
            </w:r>
          </w:p>
          <w:p w14:paraId="08D9788B"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Projekti bodo dajali prednost uporabi obnovljivih virov energije in izboljšanju energetske učinkovitosti, njihov cilj pa bo čim bolj zmanjšati vpliv na okolje. </w:t>
            </w:r>
          </w:p>
          <w:p w14:paraId="19F22CD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Skupni znesek financiranja bo najmanj 10 000 000 EUR.</w:t>
            </w:r>
          </w:p>
        </w:tc>
      </w:tr>
      <w:tr w:rsidR="00FE2B45" w:rsidRPr="00DD6A04" w14:paraId="09E31F4D" w14:textId="77777777" w:rsidTr="00A70F67">
        <w:trPr>
          <w:trHeight w:val="299"/>
          <w:jc w:val="center"/>
        </w:trPr>
        <w:tc>
          <w:tcPr>
            <w:tcW w:w="1350" w:type="dxa"/>
            <w:tcBorders>
              <w:top w:val="nil"/>
              <w:left w:val="single" w:sz="4" w:space="0" w:color="auto"/>
              <w:bottom w:val="single" w:sz="4" w:space="0" w:color="auto"/>
              <w:right w:val="single" w:sz="4" w:space="0" w:color="auto"/>
            </w:tcBorders>
            <w:shd w:val="clear" w:color="auto" w:fill="C6EFCE"/>
            <w:noWrap/>
          </w:tcPr>
          <w:p w14:paraId="45A0A192"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154</w:t>
            </w:r>
          </w:p>
        </w:tc>
        <w:tc>
          <w:tcPr>
            <w:tcW w:w="1538" w:type="dxa"/>
            <w:tcBorders>
              <w:top w:val="nil"/>
              <w:left w:val="nil"/>
              <w:bottom w:val="single" w:sz="4" w:space="0" w:color="auto"/>
              <w:right w:val="single" w:sz="4" w:space="0" w:color="auto"/>
            </w:tcBorders>
            <w:shd w:val="clear" w:color="auto" w:fill="C6EFCE"/>
            <w:noWrap/>
          </w:tcPr>
          <w:p w14:paraId="3E63466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xml:space="preserve">D: Trajnostna obnova in oživljanje kulturne dediščine in javne kulturne infrastrukture </w:t>
            </w:r>
          </w:p>
        </w:tc>
        <w:tc>
          <w:tcPr>
            <w:tcW w:w="1018" w:type="dxa"/>
            <w:tcBorders>
              <w:top w:val="nil"/>
              <w:left w:val="nil"/>
              <w:bottom w:val="single" w:sz="4" w:space="0" w:color="auto"/>
              <w:right w:val="single" w:sz="4" w:space="0" w:color="auto"/>
            </w:tcBorders>
            <w:shd w:val="clear" w:color="auto" w:fill="C6EFCE"/>
            <w:noWrap/>
          </w:tcPr>
          <w:p w14:paraId="01912B53"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Mejnik</w:t>
            </w:r>
          </w:p>
        </w:tc>
        <w:tc>
          <w:tcPr>
            <w:tcW w:w="1638" w:type="dxa"/>
            <w:tcBorders>
              <w:top w:val="nil"/>
              <w:left w:val="nil"/>
              <w:bottom w:val="single" w:sz="4" w:space="0" w:color="auto"/>
              <w:right w:val="single" w:sz="4" w:space="0" w:color="auto"/>
            </w:tcBorders>
            <w:shd w:val="clear" w:color="auto" w:fill="C6EFCE"/>
            <w:noWrap/>
          </w:tcPr>
          <w:p w14:paraId="3937C853" w14:textId="4380F560" w:rsidR="003C6015" w:rsidRPr="00DD6A04" w:rsidRDefault="003C6015" w:rsidP="003C6015">
            <w:pPr>
              <w:spacing w:before="0" w:after="0" w:line="240" w:lineRule="auto"/>
              <w:rPr>
                <w:rFonts w:eastAsia="Times New Roman"/>
                <w:noProof/>
                <w:color w:val="006100"/>
                <w:sz w:val="22"/>
              </w:rPr>
            </w:pPr>
            <w:r>
              <w:rPr>
                <w:noProof/>
                <w:color w:val="006100"/>
                <w:sz w:val="22"/>
              </w:rPr>
              <w:t>Izbor projektov za obnovo objektov kulturne dediščine</w:t>
            </w:r>
          </w:p>
        </w:tc>
        <w:tc>
          <w:tcPr>
            <w:tcW w:w="1731" w:type="dxa"/>
            <w:tcBorders>
              <w:top w:val="nil"/>
              <w:left w:val="nil"/>
              <w:bottom w:val="single" w:sz="4" w:space="0" w:color="auto"/>
              <w:right w:val="single" w:sz="4" w:space="0" w:color="auto"/>
            </w:tcBorders>
            <w:shd w:val="clear" w:color="auto" w:fill="C6EFCE"/>
            <w:noWrap/>
          </w:tcPr>
          <w:p w14:paraId="2C0CE256"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Objava rezultatov razpisa</w:t>
            </w:r>
          </w:p>
        </w:tc>
        <w:tc>
          <w:tcPr>
            <w:tcW w:w="1072" w:type="dxa"/>
            <w:tcBorders>
              <w:top w:val="nil"/>
              <w:left w:val="nil"/>
              <w:bottom w:val="single" w:sz="4" w:space="0" w:color="auto"/>
              <w:right w:val="single" w:sz="4" w:space="0" w:color="auto"/>
            </w:tcBorders>
            <w:shd w:val="clear" w:color="auto" w:fill="C6EFCE"/>
            <w:noWrap/>
          </w:tcPr>
          <w:p w14:paraId="0553B57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231" w:type="dxa"/>
            <w:tcBorders>
              <w:top w:val="nil"/>
              <w:left w:val="nil"/>
              <w:bottom w:val="single" w:sz="4" w:space="0" w:color="auto"/>
              <w:right w:val="single" w:sz="4" w:space="0" w:color="auto"/>
            </w:tcBorders>
            <w:shd w:val="clear" w:color="auto" w:fill="C6EFCE"/>
            <w:noWrap/>
          </w:tcPr>
          <w:p w14:paraId="77646C5D"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803" w:type="dxa"/>
            <w:tcBorders>
              <w:top w:val="nil"/>
              <w:left w:val="nil"/>
              <w:bottom w:val="single" w:sz="4" w:space="0" w:color="auto"/>
              <w:right w:val="single" w:sz="4" w:space="0" w:color="auto"/>
            </w:tcBorders>
            <w:shd w:val="clear" w:color="auto" w:fill="C6EFCE"/>
            <w:noWrap/>
          </w:tcPr>
          <w:p w14:paraId="629E3474"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120" w:type="dxa"/>
            <w:tcBorders>
              <w:top w:val="nil"/>
              <w:left w:val="nil"/>
              <w:bottom w:val="single" w:sz="4" w:space="0" w:color="auto"/>
              <w:right w:val="single" w:sz="4" w:space="0" w:color="auto"/>
            </w:tcBorders>
            <w:shd w:val="clear" w:color="auto" w:fill="C6EFCE"/>
            <w:noWrap/>
          </w:tcPr>
          <w:p w14:paraId="6A4F2BF7"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Q4</w:t>
            </w:r>
          </w:p>
        </w:tc>
        <w:tc>
          <w:tcPr>
            <w:tcW w:w="1574" w:type="dxa"/>
            <w:tcBorders>
              <w:top w:val="nil"/>
              <w:left w:val="nil"/>
              <w:bottom w:val="single" w:sz="4" w:space="0" w:color="auto"/>
              <w:right w:val="single" w:sz="4" w:space="0" w:color="auto"/>
            </w:tcBorders>
            <w:shd w:val="clear" w:color="auto" w:fill="C6EFCE"/>
            <w:noWrap/>
          </w:tcPr>
          <w:p w14:paraId="7A569D29"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2022</w:t>
            </w:r>
          </w:p>
        </w:tc>
        <w:tc>
          <w:tcPr>
            <w:tcW w:w="2737" w:type="dxa"/>
            <w:tcBorders>
              <w:top w:val="nil"/>
              <w:left w:val="nil"/>
              <w:bottom w:val="single" w:sz="4" w:space="0" w:color="auto"/>
              <w:right w:val="single" w:sz="4" w:space="0" w:color="auto"/>
            </w:tcBorders>
            <w:shd w:val="clear" w:color="auto" w:fill="C6EFCE"/>
            <w:noWrap/>
          </w:tcPr>
          <w:p w14:paraId="6A34E286" w14:textId="7E05D7E9" w:rsidR="003C6015" w:rsidRPr="00DD6A04" w:rsidRDefault="08400BF6" w:rsidP="003C6015">
            <w:pPr>
              <w:spacing w:before="0" w:after="0" w:line="240" w:lineRule="auto"/>
              <w:rPr>
                <w:rFonts w:eastAsia="Times New Roman"/>
                <w:noProof/>
                <w:color w:val="006100"/>
                <w:sz w:val="22"/>
              </w:rPr>
            </w:pPr>
            <w:r>
              <w:rPr>
                <w:noProof/>
                <w:color w:val="006100"/>
                <w:sz w:val="22"/>
              </w:rPr>
              <w:t>Izbor projektov za obnovo 15 objektov kulturne dediščine v lasti občin in države.</w:t>
            </w:r>
          </w:p>
        </w:tc>
      </w:tr>
      <w:tr w:rsidR="00FE2B45" w:rsidRPr="00DD6A04" w14:paraId="4696CFA7" w14:textId="77777777" w:rsidTr="00A70F67">
        <w:trPr>
          <w:trHeight w:val="299"/>
          <w:jc w:val="center"/>
        </w:trPr>
        <w:tc>
          <w:tcPr>
            <w:tcW w:w="1350" w:type="dxa"/>
            <w:tcBorders>
              <w:top w:val="nil"/>
              <w:left w:val="single" w:sz="4" w:space="0" w:color="auto"/>
              <w:bottom w:val="single" w:sz="4" w:space="0" w:color="auto"/>
              <w:right w:val="single" w:sz="4" w:space="0" w:color="auto"/>
            </w:tcBorders>
            <w:shd w:val="clear" w:color="auto" w:fill="C6EFCE"/>
            <w:noWrap/>
          </w:tcPr>
          <w:p w14:paraId="693480AC" w14:textId="77777777" w:rsidR="003C6015" w:rsidRPr="00DD6A04" w:rsidRDefault="003C6015" w:rsidP="00A144BE">
            <w:pPr>
              <w:spacing w:before="0" w:after="0" w:line="240" w:lineRule="auto"/>
              <w:rPr>
                <w:rFonts w:eastAsia="Times New Roman"/>
                <w:noProof/>
                <w:color w:val="006100"/>
                <w:sz w:val="22"/>
              </w:rPr>
            </w:pPr>
            <w:r>
              <w:rPr>
                <w:noProof/>
                <w:color w:val="006100"/>
                <w:sz w:val="22"/>
              </w:rPr>
              <w:t>155</w:t>
            </w:r>
          </w:p>
        </w:tc>
        <w:tc>
          <w:tcPr>
            <w:tcW w:w="1538" w:type="dxa"/>
            <w:tcBorders>
              <w:top w:val="nil"/>
              <w:left w:val="nil"/>
              <w:bottom w:val="single" w:sz="4" w:space="0" w:color="auto"/>
              <w:right w:val="single" w:sz="4" w:space="0" w:color="auto"/>
            </w:tcBorders>
            <w:shd w:val="clear" w:color="auto" w:fill="C6EFCE"/>
            <w:noWrap/>
          </w:tcPr>
          <w:p w14:paraId="1E392D10" w14:textId="7B4BC236" w:rsidR="003C6015" w:rsidRPr="00DD6A04" w:rsidRDefault="003C6015" w:rsidP="003C6015">
            <w:pPr>
              <w:spacing w:before="0" w:after="0" w:line="240" w:lineRule="auto"/>
              <w:rPr>
                <w:rFonts w:eastAsia="Times New Roman"/>
                <w:noProof/>
                <w:color w:val="006100"/>
                <w:sz w:val="22"/>
              </w:rPr>
            </w:pPr>
            <w:r>
              <w:rPr>
                <w:noProof/>
                <w:color w:val="006100"/>
                <w:sz w:val="22"/>
              </w:rPr>
              <w:t>D: Trajnostna obnova in oživljanje kulturne dediščine in javne kulturne infrastrukture</w:t>
            </w:r>
            <w:r w:rsidR="00037751">
              <w:rPr>
                <w:noProof/>
                <w:color w:val="006100"/>
                <w:sz w:val="22"/>
              </w:rPr>
              <w:t xml:space="preserve"> </w:t>
            </w:r>
          </w:p>
        </w:tc>
        <w:tc>
          <w:tcPr>
            <w:tcW w:w="1018" w:type="dxa"/>
            <w:tcBorders>
              <w:top w:val="nil"/>
              <w:left w:val="nil"/>
              <w:bottom w:val="single" w:sz="4" w:space="0" w:color="auto"/>
              <w:right w:val="single" w:sz="4" w:space="0" w:color="auto"/>
            </w:tcBorders>
            <w:shd w:val="clear" w:color="auto" w:fill="C6EFCE"/>
            <w:noWrap/>
          </w:tcPr>
          <w:p w14:paraId="12828BD8"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Cilj</w:t>
            </w:r>
          </w:p>
        </w:tc>
        <w:tc>
          <w:tcPr>
            <w:tcW w:w="1638" w:type="dxa"/>
            <w:tcBorders>
              <w:top w:val="nil"/>
              <w:left w:val="nil"/>
              <w:bottom w:val="single" w:sz="4" w:space="0" w:color="auto"/>
              <w:right w:val="single" w:sz="4" w:space="0" w:color="auto"/>
            </w:tcBorders>
            <w:shd w:val="clear" w:color="auto" w:fill="C6EFCE"/>
            <w:noWrap/>
          </w:tcPr>
          <w:p w14:paraId="353B8675"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Obnovljeni objekti kulturne dediščine</w:t>
            </w:r>
          </w:p>
        </w:tc>
        <w:tc>
          <w:tcPr>
            <w:tcW w:w="1731" w:type="dxa"/>
            <w:tcBorders>
              <w:top w:val="nil"/>
              <w:left w:val="nil"/>
              <w:bottom w:val="single" w:sz="4" w:space="0" w:color="auto"/>
              <w:right w:val="single" w:sz="4" w:space="0" w:color="auto"/>
            </w:tcBorders>
            <w:shd w:val="clear" w:color="auto" w:fill="C6EFCE"/>
            <w:noWrap/>
          </w:tcPr>
          <w:p w14:paraId="47A1F7B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 </w:t>
            </w:r>
          </w:p>
        </w:tc>
        <w:tc>
          <w:tcPr>
            <w:tcW w:w="1072" w:type="dxa"/>
            <w:tcBorders>
              <w:top w:val="nil"/>
              <w:left w:val="nil"/>
              <w:bottom w:val="single" w:sz="4" w:space="0" w:color="auto"/>
              <w:right w:val="single" w:sz="4" w:space="0" w:color="auto"/>
            </w:tcBorders>
            <w:shd w:val="clear" w:color="auto" w:fill="C6EFCE"/>
            <w:noWrap/>
          </w:tcPr>
          <w:p w14:paraId="2BA81C31"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Število</w:t>
            </w:r>
          </w:p>
        </w:tc>
        <w:tc>
          <w:tcPr>
            <w:tcW w:w="1231" w:type="dxa"/>
            <w:tcBorders>
              <w:top w:val="nil"/>
              <w:left w:val="nil"/>
              <w:bottom w:val="single" w:sz="4" w:space="0" w:color="auto"/>
              <w:right w:val="single" w:sz="4" w:space="0" w:color="auto"/>
            </w:tcBorders>
            <w:shd w:val="clear" w:color="auto" w:fill="C6EFCE"/>
            <w:noWrap/>
          </w:tcPr>
          <w:p w14:paraId="6B4E43F0"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0</w:t>
            </w:r>
          </w:p>
        </w:tc>
        <w:tc>
          <w:tcPr>
            <w:tcW w:w="803" w:type="dxa"/>
            <w:tcBorders>
              <w:top w:val="nil"/>
              <w:left w:val="nil"/>
              <w:bottom w:val="single" w:sz="4" w:space="0" w:color="auto"/>
              <w:right w:val="single" w:sz="4" w:space="0" w:color="auto"/>
            </w:tcBorders>
            <w:shd w:val="clear" w:color="auto" w:fill="C6EFCE"/>
            <w:noWrap/>
          </w:tcPr>
          <w:p w14:paraId="34913A9C"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15</w:t>
            </w:r>
          </w:p>
        </w:tc>
        <w:tc>
          <w:tcPr>
            <w:tcW w:w="1120" w:type="dxa"/>
            <w:tcBorders>
              <w:top w:val="nil"/>
              <w:left w:val="nil"/>
              <w:bottom w:val="single" w:sz="4" w:space="0" w:color="auto"/>
              <w:right w:val="single" w:sz="4" w:space="0" w:color="auto"/>
            </w:tcBorders>
            <w:shd w:val="clear" w:color="auto" w:fill="C6EFCE"/>
            <w:noWrap/>
          </w:tcPr>
          <w:p w14:paraId="42824638"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Q2</w:t>
            </w:r>
          </w:p>
        </w:tc>
        <w:tc>
          <w:tcPr>
            <w:tcW w:w="1574" w:type="dxa"/>
            <w:tcBorders>
              <w:top w:val="nil"/>
              <w:left w:val="nil"/>
              <w:bottom w:val="single" w:sz="4" w:space="0" w:color="auto"/>
              <w:right w:val="single" w:sz="4" w:space="0" w:color="auto"/>
            </w:tcBorders>
            <w:shd w:val="clear" w:color="auto" w:fill="C6EFCE"/>
            <w:noWrap/>
          </w:tcPr>
          <w:p w14:paraId="1ACC9A21" w14:textId="77777777" w:rsidR="003C6015" w:rsidRPr="00DD6A04" w:rsidRDefault="003C6015" w:rsidP="003C6015">
            <w:pPr>
              <w:spacing w:before="0" w:after="0" w:line="240" w:lineRule="auto"/>
              <w:jc w:val="center"/>
              <w:rPr>
                <w:rFonts w:eastAsia="Times New Roman"/>
                <w:noProof/>
                <w:color w:val="006100"/>
                <w:sz w:val="22"/>
              </w:rPr>
            </w:pPr>
            <w:r>
              <w:rPr>
                <w:noProof/>
                <w:color w:val="006100"/>
                <w:sz w:val="22"/>
              </w:rPr>
              <w:t>2026</w:t>
            </w:r>
          </w:p>
        </w:tc>
        <w:tc>
          <w:tcPr>
            <w:tcW w:w="2737" w:type="dxa"/>
            <w:tcBorders>
              <w:top w:val="nil"/>
              <w:left w:val="nil"/>
              <w:bottom w:val="single" w:sz="4" w:space="0" w:color="auto"/>
              <w:right w:val="single" w:sz="4" w:space="0" w:color="auto"/>
            </w:tcBorders>
            <w:shd w:val="clear" w:color="auto" w:fill="C6EFCE"/>
            <w:noWrap/>
          </w:tcPr>
          <w:p w14:paraId="364197EA" w14:textId="77777777" w:rsidR="003C6015" w:rsidRPr="00DD6A04" w:rsidRDefault="003C6015" w:rsidP="003C6015">
            <w:pPr>
              <w:spacing w:before="0" w:after="0" w:line="240" w:lineRule="auto"/>
              <w:rPr>
                <w:rFonts w:eastAsia="Times New Roman"/>
                <w:noProof/>
                <w:color w:val="006100"/>
                <w:sz w:val="22"/>
              </w:rPr>
            </w:pPr>
            <w:r>
              <w:rPr>
                <w:noProof/>
                <w:color w:val="006100"/>
                <w:sz w:val="22"/>
              </w:rPr>
              <w:t>Projekti, dokončani v skladu z zahtevami iz mejnika 154.</w:t>
            </w:r>
          </w:p>
          <w:p w14:paraId="0D6DC121" w14:textId="41390E3D" w:rsidR="003C6015" w:rsidRPr="00DD6A04" w:rsidRDefault="003C6015" w:rsidP="003C6015">
            <w:pPr>
              <w:spacing w:before="0" w:after="0" w:line="240" w:lineRule="auto"/>
              <w:rPr>
                <w:rFonts w:eastAsia="Times New Roman"/>
                <w:noProof/>
                <w:color w:val="006100"/>
                <w:sz w:val="22"/>
              </w:rPr>
            </w:pPr>
            <w:r>
              <w:rPr>
                <w:noProof/>
                <w:color w:val="006100"/>
                <w:sz w:val="22"/>
              </w:rPr>
              <w:t>Skupni znesek financiranja bo najmanj 42 000 000 EUR.</w:t>
            </w:r>
          </w:p>
        </w:tc>
      </w:tr>
    </w:tbl>
    <w:p w14:paraId="22A90A25"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192"/>
          <w:headerReference w:type="default" r:id="rId193"/>
          <w:footerReference w:type="even" r:id="rId194"/>
          <w:footerReference w:type="default" r:id="rId195"/>
          <w:headerReference w:type="first" r:id="rId196"/>
          <w:footerReference w:type="first" r:id="rId197"/>
          <w:pgSz w:w="16839" w:h="11907" w:orient="landscape"/>
          <w:pgMar w:top="1134" w:right="1134" w:bottom="1134" w:left="1134" w:header="567" w:footer="567" w:gutter="0"/>
          <w:cols w:space="720"/>
          <w:docGrid w:linePitch="326"/>
        </w:sectPr>
      </w:pPr>
    </w:p>
    <w:p w14:paraId="49F6E410" w14:textId="77777777" w:rsidR="003C6015" w:rsidRPr="00DD6A04" w:rsidRDefault="003C6015" w:rsidP="003C6015">
      <w:pPr>
        <w:keepNext/>
        <w:tabs>
          <w:tab w:val="left" w:pos="284"/>
        </w:tabs>
        <w:spacing w:line="240" w:lineRule="auto"/>
        <w:ind w:left="284" w:hanging="284"/>
        <w:jc w:val="both"/>
        <w:outlineLvl w:val="0"/>
        <w:rPr>
          <w:b/>
          <w:smallCaps/>
          <w:noProof/>
        </w:rPr>
      </w:pPr>
      <w:r>
        <w:rPr>
          <w:b/>
          <w:smallCaps/>
          <w:noProof/>
        </w:rPr>
        <w:t>I. KOMPONENTA 12: KREPITEV KOMPETENC, ZLASTI DIGITALNIH IN TISTIH, KI JIH ZAHTEVAJO NOVI POKLICI IN ZELENI PREHOD</w:t>
      </w:r>
    </w:p>
    <w:p w14:paraId="1F98239D" w14:textId="77777777" w:rsidR="003C6015" w:rsidRPr="00DD6A04" w:rsidRDefault="003C6015" w:rsidP="003C6015">
      <w:pPr>
        <w:spacing w:line="240" w:lineRule="auto"/>
        <w:jc w:val="both"/>
        <w:rPr>
          <w:noProof/>
        </w:rPr>
      </w:pPr>
      <w:r>
        <w:rPr>
          <w:noProof/>
        </w:rPr>
        <w:t>Ta komponenta slovenskega načrta za okrevanje in odpornost obravnava raven digitalnih kompetenc učečih, odraslih in strokovnih delavcev v izobraževalnem sistemu, zeleni prehod v njem, izobraževalno infrastrukturo in ustreznost izobrazbe za potrebe trga dela.</w:t>
      </w:r>
    </w:p>
    <w:p w14:paraId="2A9B03CC" w14:textId="77777777" w:rsidR="003C6015" w:rsidRPr="00DD6A04" w:rsidRDefault="003C6015" w:rsidP="003C6015">
      <w:pPr>
        <w:spacing w:line="240" w:lineRule="auto"/>
        <w:jc w:val="both"/>
        <w:rPr>
          <w:noProof/>
        </w:rPr>
      </w:pPr>
      <w:r>
        <w:rPr>
          <w:noProof/>
        </w:rPr>
        <w:t xml:space="preserve">Cilji komponente so krepitev kompetenc, zlasti za digitalni in zeleni prehod ter finančno pismenost, hitrejše odzivanje na potrebe gospodarstva in družbe, olajšanje prehoda iz izobraževanja na trg dela, krepitev odpornosti izobraževalnega sistema in vseživljenjskega učenja. </w:t>
      </w:r>
    </w:p>
    <w:p w14:paraId="17ED60B5" w14:textId="762F1D65" w:rsidR="003C6015" w:rsidRPr="00DD6A04" w:rsidRDefault="003C6015" w:rsidP="003C6015">
      <w:pPr>
        <w:spacing w:line="240" w:lineRule="auto"/>
        <w:jc w:val="both"/>
        <w:rPr>
          <w:noProof/>
        </w:rPr>
      </w:pPr>
      <w:r>
        <w:rPr>
          <w:noProof/>
        </w:rPr>
        <w:t>Te investicije in reforme obravnavajo specifična priporočila za Slovenijo v letih 2019 in 2020, in sicer naj „[p]oveča zaposljivost nizko usposobljenih in starejših delavcev z izboljšanjem ustreznosti izobraževanja in usposabljanja za potrebe trga dela ter z ukrepi vseživljenjskega učenja in aktivacijskimi ukrepi, vključno z izboljšanjem digitalne pismenosti“ (specifično priporočilo št. 1 iz leta 2019) ter „krepi digitalna znanja in spretnosti“ (specifično priporočilo št. 3 iz leta 2020).</w:t>
      </w:r>
    </w:p>
    <w:p w14:paraId="08A3D10E" w14:textId="0FC0E259"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0F97BCA3" w14:textId="77777777" w:rsidR="003C6015" w:rsidRPr="00DD6A04" w:rsidRDefault="003C6015" w:rsidP="003C6015">
      <w:pPr>
        <w:spacing w:line="240" w:lineRule="auto"/>
        <w:jc w:val="both"/>
        <w:rPr>
          <w:b/>
          <w:i/>
          <w:noProof/>
          <w:color w:val="4F81BD"/>
        </w:rPr>
      </w:pPr>
      <w:bookmarkStart w:id="14" w:name="_Hlk72592250"/>
      <w:r>
        <w:rPr>
          <w:b/>
          <w:noProof/>
          <w:u w:val="single"/>
        </w:rPr>
        <w:t xml:space="preserve">L.1 </w:t>
      </w:r>
      <w:r>
        <w:rPr>
          <w:b/>
          <w:noProof/>
          <w:u w:val="single"/>
        </w:rPr>
        <w:tab/>
        <w:t>Opis reform in naložb za nepovratno finančno podporo</w:t>
      </w:r>
    </w:p>
    <w:p w14:paraId="4B2C75AE" w14:textId="77777777" w:rsidR="003C6015" w:rsidRPr="00DD6A04" w:rsidRDefault="003C6015" w:rsidP="003C6015">
      <w:pPr>
        <w:spacing w:line="240" w:lineRule="auto"/>
        <w:jc w:val="both"/>
        <w:rPr>
          <w:noProof/>
        </w:rPr>
      </w:pPr>
      <w:r>
        <w:rPr>
          <w:noProof/>
          <w:u w:val="single"/>
        </w:rPr>
        <w:t>Reforma A. Prenova vzgojno izobraževalnega sistema za zeleni in digitalni prehod</w:t>
      </w:r>
    </w:p>
    <w:p w14:paraId="03AB8475" w14:textId="77777777" w:rsidR="003C6015" w:rsidRPr="00DD6A04" w:rsidRDefault="003C6015" w:rsidP="003C6015">
      <w:pPr>
        <w:spacing w:line="240" w:lineRule="auto"/>
        <w:jc w:val="both"/>
        <w:rPr>
          <w:noProof/>
        </w:rPr>
      </w:pPr>
      <w:r>
        <w:rPr>
          <w:noProof/>
        </w:rPr>
        <w:t>Cilj reforme je učencem in učiteljem zagotoviti nove kompetence, zlasti na področju digitalizacije, trajnostnega razvoja in finančne pismenosti. To bo okrepilo odpornost izobraževalnega sistema in izboljšalo usklajevanje kompetenc z zahtevami trga dela.</w:t>
      </w:r>
    </w:p>
    <w:p w14:paraId="660533B9" w14:textId="77777777" w:rsidR="003C6015" w:rsidRPr="00DD6A04" w:rsidRDefault="003C6015" w:rsidP="003C6015">
      <w:pPr>
        <w:spacing w:line="240" w:lineRule="auto"/>
        <w:jc w:val="both"/>
        <w:rPr>
          <w:noProof/>
        </w:rPr>
      </w:pPr>
      <w:r>
        <w:rPr>
          <w:noProof/>
        </w:rPr>
        <w:t>Reforma obsega posodobitev izobraževalnih programov s spremembo učnih načrtov in programskih dokumentov na področju vzgoje in varstva predšolskih otrok, osnovnošolskega in srednješolskega izobraževanja ter izobraževanja odraslih na zadevnih tematskih področjih. Spremenjeni učni načrti med drugim vključujejo digitalne kompetence, osnovno računalništvo in informatiko, kompetence za trajnostni razvoj in finančno pismenost.</w:t>
      </w:r>
    </w:p>
    <w:p w14:paraId="709E3B63" w14:textId="77777777" w:rsidR="003C6015" w:rsidRPr="00DD6A04" w:rsidRDefault="003C6015" w:rsidP="003C6015">
      <w:pPr>
        <w:spacing w:line="240" w:lineRule="auto"/>
        <w:jc w:val="both"/>
        <w:rPr>
          <w:noProof/>
        </w:rPr>
      </w:pPr>
      <w:r>
        <w:rPr>
          <w:noProof/>
        </w:rPr>
        <w:t>Cilj v zvezi z izvedbo reforme bo dosežen do 31. decembra 2025.</w:t>
      </w:r>
    </w:p>
    <w:p w14:paraId="0159367C" w14:textId="77777777" w:rsidR="003C6015" w:rsidRPr="00DD6A04" w:rsidRDefault="003C6015" w:rsidP="003C6015">
      <w:pPr>
        <w:spacing w:line="240" w:lineRule="auto"/>
        <w:jc w:val="both"/>
        <w:rPr>
          <w:noProof/>
        </w:rPr>
      </w:pPr>
      <w:r>
        <w:rPr>
          <w:noProof/>
          <w:u w:val="single"/>
        </w:rPr>
        <w:t xml:space="preserve">Reforma B. Reforma visokega šolstva za zelen in odporen prehod </w:t>
      </w:r>
    </w:p>
    <w:p w14:paraId="568BEDB7" w14:textId="77777777" w:rsidR="003C6015" w:rsidRPr="00DD6A04" w:rsidRDefault="003C6015" w:rsidP="003C6015">
      <w:pPr>
        <w:spacing w:line="240" w:lineRule="auto"/>
        <w:jc w:val="both"/>
        <w:rPr>
          <w:noProof/>
        </w:rPr>
      </w:pPr>
      <w:r>
        <w:rPr>
          <w:noProof/>
        </w:rPr>
        <w:t>Cilj reforme je posodobiti visokošolsko strokovno izobraževanje zaradi zelenega in digitalnega prehoda ter uskladiti programe s potrebami trga dela in družbe.</w:t>
      </w:r>
    </w:p>
    <w:p w14:paraId="512B67F0" w14:textId="77777777" w:rsidR="003C6015" w:rsidRPr="00DD6A04" w:rsidRDefault="003C6015" w:rsidP="003C6015">
      <w:pPr>
        <w:spacing w:line="240" w:lineRule="auto"/>
        <w:jc w:val="both"/>
        <w:rPr>
          <w:noProof/>
        </w:rPr>
      </w:pPr>
      <w:r>
        <w:rPr>
          <w:noProof/>
        </w:rPr>
        <w:t>Reforma vključuje posodobitev visokošolskih strokovnih študijskih programov s spremembo učnih načrtov in praktičnega izobraževanja v delovnem okolju. Spremenjeni učni načrti bodo med drugim vključevali digitalne kompetence in kompetence za trajnostni razvoj ter bodo odražali digitalizacijo učnega okolja.</w:t>
      </w:r>
    </w:p>
    <w:p w14:paraId="093F3B0E" w14:textId="77777777" w:rsidR="003C6015" w:rsidRPr="00DD6A04" w:rsidRDefault="003C6015" w:rsidP="003C6015">
      <w:pPr>
        <w:spacing w:line="240" w:lineRule="auto"/>
        <w:jc w:val="both"/>
        <w:rPr>
          <w:noProof/>
        </w:rPr>
      </w:pPr>
      <w:r>
        <w:rPr>
          <w:noProof/>
        </w:rPr>
        <w:t>Poleg tega bodo sprejete Smernice za prenovo visokošolskega strokovnega izobraževanja, vključno z izhodišči za vlaganje v zeleno, odporno, vzdržno in digitalno povezano visoko šolstvo.</w:t>
      </w:r>
    </w:p>
    <w:p w14:paraId="59C94BE5" w14:textId="77777777" w:rsidR="003C6015" w:rsidRPr="00DD6A04" w:rsidRDefault="003C6015" w:rsidP="003C6015">
      <w:pPr>
        <w:spacing w:line="240" w:lineRule="auto"/>
        <w:jc w:val="both"/>
        <w:rPr>
          <w:noProof/>
        </w:rPr>
      </w:pPr>
      <w:r>
        <w:rPr>
          <w:noProof/>
        </w:rPr>
        <w:t>Reforma bo dokončana do 30. junija 2026.</w:t>
      </w:r>
    </w:p>
    <w:p w14:paraId="1A7178CB" w14:textId="35A787F8" w:rsidR="003C6015" w:rsidRPr="00DD6A04" w:rsidRDefault="003C6015" w:rsidP="00B8599B">
      <w:pPr>
        <w:spacing w:line="240" w:lineRule="auto"/>
        <w:jc w:val="both"/>
        <w:rPr>
          <w:noProof/>
          <w:u w:val="single"/>
        </w:rPr>
      </w:pPr>
      <w:r>
        <w:rPr>
          <w:noProof/>
          <w:u w:val="single"/>
        </w:rPr>
        <w:t>Reforma C. Modernizacija srednjega poklicnega in strokovnega izobraževanja vključno z vajeništvom</w:t>
      </w:r>
    </w:p>
    <w:p w14:paraId="0E33CD1B" w14:textId="77777777" w:rsidR="003C6015" w:rsidRPr="00DD6A04" w:rsidRDefault="003C6015" w:rsidP="003C6015">
      <w:pPr>
        <w:spacing w:line="240" w:lineRule="auto"/>
        <w:jc w:val="both"/>
        <w:rPr>
          <w:noProof/>
        </w:rPr>
      </w:pPr>
      <w:r>
        <w:rPr>
          <w:noProof/>
        </w:rPr>
        <w:t>Cilj reforme je olajšati prehod iz poklicnega izobraževanja na trg dela.</w:t>
      </w:r>
    </w:p>
    <w:p w14:paraId="7450319D" w14:textId="77777777" w:rsidR="003C6015" w:rsidRPr="00DD6A04" w:rsidRDefault="003C6015" w:rsidP="003C6015">
      <w:pPr>
        <w:spacing w:line="240" w:lineRule="auto"/>
        <w:jc w:val="both"/>
        <w:rPr>
          <w:noProof/>
        </w:rPr>
      </w:pPr>
      <w:r>
        <w:rPr>
          <w:noProof/>
        </w:rPr>
        <w:t xml:space="preserve">Reforma zajema prenovo izobraževalnih programov poklicnega in strokovnega izobraževanja ter višješolskih študijskih programov, med drugim tudi z boljšo uporabo možnosti odprtega dela učnega načrta, uporabo podatkov o zaposljivosti diplomantov ter večjim poudarkom na digitalnih, zelenih in drugih kompetencah, ki jih bodo bodoči diplomanti potrebovali pri delu v tehnološko naprednih okoljih. V okviru reforme se bodo tudi razvijali novi in spodbujali obstoječi modeli sodelovanja med sektorjem izobraževanja in usposabljanja ter delodajalci pri izvajanju izobraževalnih programov ter podpirala digitalno opremljena učna mesta za študente v pilotnih programih (s poudarkom na zdravstvenem varstvu, socialnem varstvu in predšolski vzgoji). </w:t>
      </w:r>
    </w:p>
    <w:p w14:paraId="438C45B4" w14:textId="77777777" w:rsidR="003C6015" w:rsidRPr="00DD6A04" w:rsidRDefault="003C6015" w:rsidP="003C6015">
      <w:pPr>
        <w:spacing w:line="240" w:lineRule="auto"/>
        <w:jc w:val="both"/>
        <w:rPr>
          <w:noProof/>
        </w:rPr>
      </w:pPr>
      <w:r>
        <w:rPr>
          <w:noProof/>
        </w:rPr>
        <w:t>Reforma bo dokončana do 30. junija 2026.</w:t>
      </w:r>
    </w:p>
    <w:p w14:paraId="725D5AD9" w14:textId="77777777" w:rsidR="003C6015" w:rsidRPr="00DD6A04" w:rsidRDefault="003C6015" w:rsidP="003C6015">
      <w:pPr>
        <w:spacing w:line="240" w:lineRule="auto"/>
        <w:jc w:val="both"/>
        <w:rPr>
          <w:noProof/>
          <w:u w:val="single"/>
        </w:rPr>
      </w:pPr>
      <w:r>
        <w:rPr>
          <w:noProof/>
          <w:u w:val="single"/>
        </w:rPr>
        <w:t xml:space="preserve">Investicija E. Celovita transformacija zelenega in digitalnega izobraževanja </w:t>
      </w:r>
    </w:p>
    <w:p w14:paraId="02732B5A" w14:textId="77777777" w:rsidR="003C6015" w:rsidRPr="00DD6A04" w:rsidRDefault="003C6015" w:rsidP="003C6015">
      <w:pPr>
        <w:spacing w:line="240" w:lineRule="auto"/>
        <w:jc w:val="both"/>
        <w:rPr>
          <w:noProof/>
        </w:rPr>
      </w:pPr>
      <w:r>
        <w:rPr>
          <w:noProof/>
        </w:rPr>
        <w:t>Cilj investicije je prispevati k ciljem reforme A, in sicer okrepiti digitalne kompetence, kompetence za trajnostni razvoj in finančno pismenost učiteljev in šolajočih, izobraževalne sisteme uskladiti s potrebami trga dela ter olajšati prehod na trg dela.</w:t>
      </w:r>
    </w:p>
    <w:p w14:paraId="1752BA32" w14:textId="77777777" w:rsidR="003C6015" w:rsidRPr="00DD6A04" w:rsidRDefault="003C6015" w:rsidP="003C6015">
      <w:pPr>
        <w:spacing w:line="240" w:lineRule="auto"/>
        <w:jc w:val="both"/>
        <w:rPr>
          <w:noProof/>
        </w:rPr>
      </w:pPr>
      <w:r>
        <w:rPr>
          <w:noProof/>
        </w:rPr>
        <w:t>Investicija zajema usposabljanja na področju digitalnih in zelenih znanj in spretnosti ter finančne pismenosti za strokovnjake na področju izobraževanja in usposabljanja, projekte z izobraževalnimi ustanovami za podporo posodabljanju pedagoških praks in vključevanju novih znanj in spretnosti v redne študijske programe ter izvajanje programov izobraževanja odraslih na področju finančne pismenosti.</w:t>
      </w:r>
    </w:p>
    <w:p w14:paraId="5BBDC0DE" w14:textId="77777777" w:rsidR="003C6015" w:rsidRPr="00DD6A04" w:rsidRDefault="003C6015" w:rsidP="003C6015">
      <w:pPr>
        <w:spacing w:line="240" w:lineRule="auto"/>
        <w:jc w:val="both"/>
        <w:rPr>
          <w:noProof/>
        </w:rPr>
      </w:pPr>
      <w:r>
        <w:rPr>
          <w:noProof/>
        </w:rPr>
        <w:t>Investicija bo dokončana do 30. junija 2026.</w:t>
      </w:r>
    </w:p>
    <w:p w14:paraId="199CF80A" w14:textId="77777777" w:rsidR="003C6015" w:rsidRPr="00DD6A04" w:rsidRDefault="003C6015" w:rsidP="003C6015">
      <w:pPr>
        <w:spacing w:line="240" w:lineRule="auto"/>
        <w:jc w:val="both"/>
        <w:rPr>
          <w:noProof/>
          <w:u w:val="single"/>
        </w:rPr>
      </w:pPr>
      <w:r>
        <w:rPr>
          <w:noProof/>
          <w:u w:val="single"/>
        </w:rPr>
        <w:t xml:space="preserve">Investicija F. Pilotni projekti za reformo visokega šolstva za zelen in odporen prehod </w:t>
      </w:r>
    </w:p>
    <w:p w14:paraId="35E466FC" w14:textId="77777777" w:rsidR="003C6015" w:rsidRPr="00DD6A04" w:rsidRDefault="003C6015" w:rsidP="003C6015">
      <w:pPr>
        <w:spacing w:line="240" w:lineRule="auto"/>
        <w:jc w:val="both"/>
        <w:rPr>
          <w:noProof/>
        </w:rPr>
      </w:pPr>
      <w:r>
        <w:rPr>
          <w:noProof/>
        </w:rPr>
        <w:t>Cilj investicije je pripraviti visokošolsko izobraževanje na povečano povpraševanje po znanjih in spretnostih, ki odražajo nove družbene potrebe, z razvojem in izvajanjem bolj vključujočih in prilagodljivih učnih pristopov.</w:t>
      </w:r>
    </w:p>
    <w:p w14:paraId="164F92BD" w14:textId="77777777" w:rsidR="003C6015" w:rsidRPr="00DD6A04" w:rsidRDefault="003C6015" w:rsidP="003C6015">
      <w:pPr>
        <w:spacing w:line="240" w:lineRule="auto"/>
        <w:jc w:val="both"/>
        <w:rPr>
          <w:noProof/>
        </w:rPr>
      </w:pPr>
      <w:r>
        <w:rPr>
          <w:noProof/>
        </w:rPr>
        <w:t>Investicija bo vključevala izvajanje pilotnih projektov za vključevanje zelenih in digitalnih znanj in spretnosti v visokošolsko izobraževanje. Investicija bo tudi podpirala prilagajanje poklicnih študijskih programov poklicem prihodnosti in potrebam trga dela.</w:t>
      </w:r>
    </w:p>
    <w:p w14:paraId="05BD1130" w14:textId="77777777" w:rsidR="003C6015" w:rsidRPr="00DD6A04" w:rsidRDefault="003C6015" w:rsidP="003C6015">
      <w:pPr>
        <w:spacing w:line="240" w:lineRule="auto"/>
        <w:jc w:val="both"/>
        <w:rPr>
          <w:noProof/>
        </w:rPr>
      </w:pPr>
      <w:r>
        <w:rPr>
          <w:noProof/>
        </w:rPr>
        <w:t>Mejnik in cilji v zvezi z izvedbo investicije bodo doseženi do 31. decembra 2025.</w:t>
      </w:r>
    </w:p>
    <w:p w14:paraId="41491E94" w14:textId="77777777" w:rsidR="003C6015" w:rsidRPr="00DD6A04" w:rsidRDefault="003C6015" w:rsidP="003C6015">
      <w:pPr>
        <w:spacing w:line="240" w:lineRule="auto"/>
        <w:jc w:val="both"/>
        <w:rPr>
          <w:noProof/>
        </w:rPr>
      </w:pPr>
      <w:r>
        <w:rPr>
          <w:noProof/>
          <w:u w:val="single"/>
        </w:rPr>
        <w:t>Investicija G. Krepitev sodelovanja med izobraževalnim sistemom in trgom dela</w:t>
      </w:r>
    </w:p>
    <w:p w14:paraId="467F471F" w14:textId="3C747682" w:rsidR="003C6015" w:rsidRPr="00DD6A04" w:rsidRDefault="003C6015" w:rsidP="003C6015">
      <w:pPr>
        <w:spacing w:line="240" w:lineRule="auto"/>
        <w:jc w:val="both"/>
        <w:rPr>
          <w:noProof/>
        </w:rPr>
      </w:pPr>
      <w:r>
        <w:rPr>
          <w:noProof/>
        </w:rPr>
        <w:t>Cilj investicije je uskladiti kompetence, pridobljene v srednjem poklicnem in strokovnem izobraževanju, s potrebami trga dela. Investicija je sestavljena iz promocije poklicnega izobraževanja in vajeništva za spodbujanje odličnosti v poklicnem in strokovnem izobraževanju, usposabljanja mentorjev v podjetjih za izboljšanje kakovosti praktičnega usposabljanja in krepitve sodelovanja socialnega partnerstva z izvedbo različnih dogodkov.</w:t>
      </w:r>
    </w:p>
    <w:p w14:paraId="1BD85771" w14:textId="31DED02E" w:rsidR="003C6015" w:rsidRPr="00DD6A04" w:rsidRDefault="003C6015" w:rsidP="003C6015">
      <w:pPr>
        <w:spacing w:line="240" w:lineRule="auto"/>
        <w:jc w:val="both"/>
        <w:rPr>
          <w:noProof/>
        </w:rPr>
      </w:pPr>
      <w:r>
        <w:rPr>
          <w:noProof/>
        </w:rPr>
        <w:t>Investicija bo dokončana do 30. junija 2026.</w:t>
      </w:r>
    </w:p>
    <w:p w14:paraId="559F4219" w14:textId="77777777" w:rsidR="003C6015" w:rsidRPr="00DD6A04" w:rsidRDefault="003C6015" w:rsidP="003C6015">
      <w:pPr>
        <w:spacing w:line="240" w:lineRule="auto"/>
        <w:jc w:val="both"/>
        <w:rPr>
          <w:noProof/>
        </w:rPr>
      </w:pPr>
      <w:r>
        <w:rPr>
          <w:noProof/>
          <w:u w:val="single"/>
        </w:rPr>
        <w:t>Investicija H. Ozelenitev izobraževalne infrastrukture v Sloveniji</w:t>
      </w:r>
    </w:p>
    <w:p w14:paraId="59B78DD3" w14:textId="77777777" w:rsidR="003C6015" w:rsidRPr="00DD6A04" w:rsidRDefault="003C6015" w:rsidP="003C6015">
      <w:pPr>
        <w:spacing w:line="240" w:lineRule="auto"/>
        <w:jc w:val="both"/>
        <w:rPr>
          <w:noProof/>
        </w:rPr>
      </w:pPr>
      <w:r>
        <w:rPr>
          <w:noProof/>
        </w:rPr>
        <w:t>Cilj investicije je prispevati k zagotavljanju sodobnejše in okolju prijaznejše izobraževalne infrastrukture.</w:t>
      </w:r>
    </w:p>
    <w:p w14:paraId="71C8C233" w14:textId="33713205" w:rsidR="003C6015" w:rsidRPr="00DD6A04" w:rsidRDefault="003C6015" w:rsidP="003C6015">
      <w:pPr>
        <w:spacing w:line="240" w:lineRule="auto"/>
        <w:jc w:val="both"/>
        <w:rPr>
          <w:noProof/>
        </w:rPr>
      </w:pPr>
      <w:r>
        <w:rPr>
          <w:noProof/>
        </w:rPr>
        <w:t>Investicija vključuje izgradnjo izobraževalne ustanove v skladu s ciljem izgradnje energetsko visoko učinkovitih stavb s potrebo po primarni energiji, ki je vsaj 20 % nižja od zahteve za skoraj nič-energijsko stavbo.</w:t>
      </w:r>
    </w:p>
    <w:p w14:paraId="3DCF039B" w14:textId="1898C95A" w:rsidR="003C6015" w:rsidRPr="00DD6A04" w:rsidRDefault="003C6015" w:rsidP="003C6015">
      <w:pPr>
        <w:spacing w:line="240" w:lineRule="auto"/>
        <w:rPr>
          <w:noProof/>
        </w:rPr>
        <w:sectPr w:rsidR="003C6015" w:rsidRPr="00DD6A04" w:rsidSect="00073927">
          <w:headerReference w:type="even" r:id="rId198"/>
          <w:headerReference w:type="default" r:id="rId199"/>
          <w:footerReference w:type="even" r:id="rId200"/>
          <w:footerReference w:type="default" r:id="rId201"/>
          <w:headerReference w:type="first" r:id="rId202"/>
          <w:footerReference w:type="first" r:id="rId203"/>
          <w:pgSz w:w="11907" w:h="16839"/>
          <w:pgMar w:top="1134" w:right="1134" w:bottom="1134" w:left="1134" w:header="567" w:footer="567" w:gutter="0"/>
          <w:cols w:space="720"/>
          <w:docGrid w:linePitch="326"/>
        </w:sectPr>
      </w:pPr>
      <w:r>
        <w:rPr>
          <w:noProof/>
        </w:rPr>
        <w:t>Investicija bo dokončana do 30. junija 2026.</w:t>
      </w:r>
    </w:p>
    <w:bookmarkEnd w:id="14"/>
    <w:p w14:paraId="49CA2C7F" w14:textId="77777777" w:rsidR="003C6015" w:rsidRPr="00DD6A04" w:rsidRDefault="003C6015" w:rsidP="003C6015">
      <w:pPr>
        <w:spacing w:line="240" w:lineRule="auto"/>
        <w:ind w:left="850"/>
        <w:jc w:val="both"/>
        <w:rPr>
          <w:b/>
          <w:noProof/>
          <w:u w:val="single"/>
        </w:rPr>
      </w:pPr>
      <w:r>
        <w:rPr>
          <w:b/>
          <w:noProof/>
          <w:u w:val="single"/>
        </w:rPr>
        <w:t xml:space="preserve">L.2 </w:t>
      </w:r>
      <w:r>
        <w:rPr>
          <w:b/>
          <w:noProof/>
          <w:u w:val="single"/>
        </w:rPr>
        <w:tab/>
        <w:t>Mejniki, cilji, kazalniki in časovni razpored za spremljanje in izvajanje nepovratne finančne podpore</w:t>
      </w:r>
    </w:p>
    <w:tbl>
      <w:tblPr>
        <w:tblW w:w="15607" w:type="dxa"/>
        <w:jc w:val="center"/>
        <w:tblLayout w:type="fixed"/>
        <w:tblCellMar>
          <w:left w:w="57" w:type="dxa"/>
          <w:right w:w="57" w:type="dxa"/>
        </w:tblCellMar>
        <w:tblLook w:val="04A0" w:firstRow="1" w:lastRow="0" w:firstColumn="1" w:lastColumn="0" w:noHBand="0" w:noVBand="1"/>
      </w:tblPr>
      <w:tblGrid>
        <w:gridCol w:w="1467"/>
        <w:gridCol w:w="1412"/>
        <w:gridCol w:w="900"/>
        <w:gridCol w:w="1842"/>
        <w:gridCol w:w="1701"/>
        <w:gridCol w:w="993"/>
        <w:gridCol w:w="992"/>
        <w:gridCol w:w="850"/>
        <w:gridCol w:w="709"/>
        <w:gridCol w:w="851"/>
        <w:gridCol w:w="3890"/>
      </w:tblGrid>
      <w:tr w:rsidR="003C6015" w:rsidRPr="00DD6A04" w14:paraId="6D1F2267" w14:textId="77777777" w:rsidTr="00A70F67">
        <w:trPr>
          <w:trHeight w:val="927"/>
          <w:tblHeader/>
          <w:jc w:val="center"/>
        </w:trPr>
        <w:tc>
          <w:tcPr>
            <w:tcW w:w="146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C19E025" w14:textId="77777777" w:rsidR="003C6015" w:rsidRPr="00DD6A04" w:rsidRDefault="003C6015" w:rsidP="003C6015">
            <w:pPr>
              <w:spacing w:before="0" w:after="0" w:line="256" w:lineRule="auto"/>
              <w:jc w:val="center"/>
              <w:rPr>
                <w:rFonts w:eastAsia="Times New Roman"/>
                <w:b/>
                <w:noProof/>
              </w:rPr>
            </w:pPr>
            <w:r>
              <w:rPr>
                <w:b/>
                <w:noProof/>
              </w:rPr>
              <w:t>Zaporedna številka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B8EDBE" w14:textId="77777777" w:rsidR="003C6015" w:rsidRPr="00DD6A04" w:rsidRDefault="003C6015" w:rsidP="003C6015">
            <w:pPr>
              <w:spacing w:before="0" w:after="0" w:line="256" w:lineRule="auto"/>
              <w:jc w:val="center"/>
              <w:rPr>
                <w:rFonts w:eastAsia="Times New Roman"/>
                <w:b/>
                <w:noProof/>
              </w:rPr>
            </w:pPr>
            <w:r>
              <w:rPr>
                <w:b/>
                <w:noProof/>
              </w:rPr>
              <w:t>Povezani ukrep (reforma ali naložba)</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856711" w14:textId="77777777" w:rsidR="003C6015" w:rsidRPr="00DD6A04" w:rsidRDefault="003C6015" w:rsidP="003C6015">
            <w:pPr>
              <w:spacing w:before="0" w:after="0" w:line="256" w:lineRule="auto"/>
              <w:jc w:val="center"/>
              <w:rPr>
                <w:rFonts w:eastAsia="Times New Roman"/>
                <w:b/>
                <w:noProof/>
              </w:rPr>
            </w:pPr>
            <w:r>
              <w:rPr>
                <w:b/>
                <w:noProof/>
              </w:rPr>
              <w:t>Mejnik/cilj</w:t>
            </w:r>
          </w:p>
        </w:tc>
        <w:tc>
          <w:tcPr>
            <w:tcW w:w="1842" w:type="dxa"/>
            <w:vMerge w:val="restart"/>
            <w:tcBorders>
              <w:top w:val="single" w:sz="4" w:space="0" w:color="auto"/>
              <w:left w:val="nil"/>
              <w:bottom w:val="single" w:sz="4" w:space="0" w:color="auto"/>
              <w:right w:val="single" w:sz="4" w:space="0" w:color="auto"/>
            </w:tcBorders>
            <w:shd w:val="clear" w:color="auto" w:fill="BDD7EE"/>
            <w:vAlign w:val="center"/>
            <w:hideMark/>
          </w:tcPr>
          <w:p w14:paraId="34CFD73C" w14:textId="77777777" w:rsidR="003C6015" w:rsidRPr="00DD6A04" w:rsidRDefault="003C6015" w:rsidP="003C6015">
            <w:pPr>
              <w:spacing w:before="0" w:after="0" w:line="256" w:lineRule="auto"/>
              <w:jc w:val="center"/>
              <w:rPr>
                <w:rFonts w:eastAsia="Times New Roman"/>
                <w:b/>
                <w:noProof/>
              </w:rPr>
            </w:pPr>
            <w:r>
              <w:rPr>
                <w:b/>
                <w:noProof/>
              </w:rPr>
              <w:t>Ime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480ED65" w14:textId="5E048F35" w:rsidR="003C6015" w:rsidRPr="00DD6A04" w:rsidRDefault="003C6015" w:rsidP="003C6015">
            <w:pPr>
              <w:spacing w:before="0" w:after="0" w:line="256" w:lineRule="auto"/>
              <w:jc w:val="center"/>
              <w:rPr>
                <w:rFonts w:eastAsia="Times New Roman"/>
                <w:b/>
                <w:noProof/>
              </w:rPr>
            </w:pPr>
            <w:r>
              <w:rPr>
                <w:b/>
                <w:noProof/>
              </w:rPr>
              <w:t>Kvalitativni kazalniki (za mejnike)</w:t>
            </w:r>
          </w:p>
        </w:tc>
        <w:tc>
          <w:tcPr>
            <w:tcW w:w="2835" w:type="dxa"/>
            <w:gridSpan w:val="3"/>
            <w:tcBorders>
              <w:top w:val="single" w:sz="4" w:space="0" w:color="auto"/>
              <w:left w:val="nil"/>
              <w:bottom w:val="single" w:sz="4" w:space="0" w:color="auto"/>
              <w:right w:val="single" w:sz="4" w:space="0" w:color="auto"/>
            </w:tcBorders>
            <w:shd w:val="clear" w:color="auto" w:fill="BDD7EE"/>
            <w:vAlign w:val="center"/>
            <w:hideMark/>
          </w:tcPr>
          <w:p w14:paraId="011FF1F2" w14:textId="77777777" w:rsidR="003C6015" w:rsidRPr="00DD6A04" w:rsidRDefault="003C6015" w:rsidP="003C6015">
            <w:pPr>
              <w:spacing w:before="0" w:after="0" w:line="256" w:lineRule="auto"/>
              <w:jc w:val="center"/>
              <w:rPr>
                <w:rFonts w:eastAsia="Times New Roman"/>
                <w:b/>
                <w:noProof/>
              </w:rPr>
            </w:pPr>
            <w:r>
              <w:rPr>
                <w:b/>
                <w:noProof/>
              </w:rPr>
              <w:t>Kvantitativni kazalniki</w:t>
            </w:r>
            <w:r>
              <w:rPr>
                <w:noProof/>
              </w:rPr>
              <w:t xml:space="preserve"> </w:t>
            </w:r>
            <w:r>
              <w:rPr>
                <w:b/>
                <w:noProof/>
              </w:rPr>
              <w:t>(za cilje)</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14:paraId="41917182" w14:textId="77777777" w:rsidR="003C6015" w:rsidRPr="00DD6A04" w:rsidRDefault="003C6015" w:rsidP="003C6015">
            <w:pPr>
              <w:spacing w:before="0" w:after="0" w:line="256" w:lineRule="auto"/>
              <w:jc w:val="center"/>
              <w:rPr>
                <w:rFonts w:eastAsia="Times New Roman"/>
                <w:b/>
                <w:noProof/>
              </w:rPr>
            </w:pPr>
            <w:r>
              <w:rPr>
                <w:b/>
                <w:noProof/>
              </w:rPr>
              <w:t xml:space="preserve">Okvirni časovni razpored za dokončanje </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BC6298" w14:textId="77777777" w:rsidR="003C6015" w:rsidRPr="00DD6A04" w:rsidRDefault="003C6015" w:rsidP="003C6015">
            <w:pPr>
              <w:spacing w:before="0" w:after="0" w:line="256" w:lineRule="auto"/>
              <w:jc w:val="center"/>
              <w:rPr>
                <w:rFonts w:eastAsia="Times New Roman"/>
                <w:b/>
                <w:noProof/>
              </w:rPr>
            </w:pPr>
            <w:r>
              <w:rPr>
                <w:b/>
                <w:noProof/>
              </w:rPr>
              <w:t>Opis vsakega mejnika in cilja</w:t>
            </w:r>
          </w:p>
        </w:tc>
      </w:tr>
      <w:tr w:rsidR="003C6015" w:rsidRPr="00DD6A04" w14:paraId="48A516A4" w14:textId="77777777" w:rsidTr="00A70F67">
        <w:trPr>
          <w:trHeight w:val="331"/>
          <w:tblHeader/>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14:paraId="5E77CAAB" w14:textId="77777777" w:rsidR="003C6015" w:rsidRPr="00DD6A04" w:rsidRDefault="003C6015" w:rsidP="003C6015">
            <w:pPr>
              <w:spacing w:before="0" w:after="0" w:line="256" w:lineRule="auto"/>
              <w:rPr>
                <w:rFonts w:eastAsia="Times New Roman"/>
                <w:b/>
                <w:noProof/>
                <w:sz w:val="22"/>
                <w:lang w:val="en-GB" w:eastAsia="en-GB"/>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34A6E8B3" w14:textId="77777777" w:rsidR="003C6015" w:rsidRPr="00DD6A04" w:rsidRDefault="003C6015" w:rsidP="003C6015">
            <w:pPr>
              <w:spacing w:before="0" w:after="0" w:line="256" w:lineRule="auto"/>
              <w:rPr>
                <w:rFonts w:eastAsia="Times New Roman"/>
                <w:b/>
                <w:noProof/>
                <w:sz w:val="22"/>
                <w:lang w:val="en-GB" w:eastAsia="en-G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239E80F" w14:textId="77777777" w:rsidR="003C6015" w:rsidRPr="00DD6A04" w:rsidRDefault="003C6015" w:rsidP="003C6015">
            <w:pPr>
              <w:spacing w:before="0" w:after="0" w:line="256" w:lineRule="auto"/>
              <w:rPr>
                <w:rFonts w:eastAsia="Times New Roman"/>
                <w:b/>
                <w:noProof/>
                <w:sz w:val="22"/>
                <w:lang w:val="en-GB" w:eastAsia="en-G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2883070" w14:textId="77777777" w:rsidR="003C6015" w:rsidRPr="00DD6A04" w:rsidRDefault="003C6015" w:rsidP="003C6015">
            <w:pPr>
              <w:spacing w:before="0" w:after="0" w:line="256" w:lineRule="auto"/>
              <w:rPr>
                <w:rFonts w:eastAsia="Times New Roman"/>
                <w:b/>
                <w:noProof/>
                <w:sz w:val="22"/>
                <w:lang w:val="en-GB" w:eastAsia="en-GB"/>
              </w:rPr>
            </w:pPr>
          </w:p>
        </w:tc>
        <w:tc>
          <w:tcPr>
            <w:tcW w:w="1701" w:type="dxa"/>
            <w:vMerge/>
            <w:tcBorders>
              <w:top w:val="single" w:sz="4" w:space="0" w:color="auto"/>
              <w:left w:val="single" w:sz="4" w:space="0" w:color="auto"/>
              <w:bottom w:val="single" w:sz="4" w:space="0" w:color="auto"/>
            </w:tcBorders>
            <w:vAlign w:val="center"/>
            <w:hideMark/>
          </w:tcPr>
          <w:p w14:paraId="3DB6F9E1" w14:textId="77777777" w:rsidR="003C6015" w:rsidRPr="00DD6A04" w:rsidRDefault="003C6015" w:rsidP="003C6015">
            <w:pPr>
              <w:spacing w:before="0" w:after="0" w:line="256" w:lineRule="auto"/>
              <w:rPr>
                <w:rFonts w:eastAsia="Times New Roman"/>
                <w:b/>
                <w:noProof/>
                <w:sz w:val="22"/>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F9CF843" w14:textId="77777777" w:rsidR="003C6015" w:rsidRPr="00DD6A04" w:rsidRDefault="003C6015" w:rsidP="003C6015">
            <w:pPr>
              <w:spacing w:before="0" w:after="0" w:line="256" w:lineRule="auto"/>
              <w:jc w:val="center"/>
              <w:rPr>
                <w:rFonts w:eastAsia="Times New Roman"/>
                <w:b/>
                <w:noProof/>
                <w:sz w:val="22"/>
              </w:rPr>
            </w:pPr>
            <w:r>
              <w:rPr>
                <w:b/>
                <w:noProof/>
                <w:sz w:val="22"/>
              </w:rPr>
              <w:t>Enota merjenja</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3ECF822"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Izhodiščna raven </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4F8095E"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Ciljna raven </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8C2CE5" w14:textId="77777777" w:rsidR="003C6015" w:rsidRPr="00DD6A04" w:rsidRDefault="003C6015" w:rsidP="003C6015">
            <w:pPr>
              <w:spacing w:before="0" w:after="0" w:line="256" w:lineRule="auto"/>
              <w:jc w:val="center"/>
              <w:rPr>
                <w:rFonts w:eastAsia="Times New Roman"/>
                <w:b/>
                <w:noProof/>
                <w:sz w:val="22"/>
              </w:rPr>
            </w:pPr>
            <w:r>
              <w:rPr>
                <w:b/>
                <w:noProof/>
                <w:sz w:val="22"/>
              </w:rPr>
              <w:t>Četrtletje</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EA32D8C" w14:textId="77777777" w:rsidR="003C6015" w:rsidRPr="00DD6A04" w:rsidRDefault="003C6015" w:rsidP="003C6015">
            <w:pPr>
              <w:spacing w:before="0" w:after="0" w:line="256" w:lineRule="auto"/>
              <w:jc w:val="center"/>
              <w:rPr>
                <w:rFonts w:eastAsia="Times New Roman"/>
                <w:b/>
                <w:noProof/>
                <w:sz w:val="22"/>
              </w:rPr>
            </w:pPr>
            <w:r>
              <w:rPr>
                <w:b/>
                <w:noProof/>
                <w:sz w:val="22"/>
              </w:rPr>
              <w:t>Leto</w:t>
            </w:r>
          </w:p>
        </w:tc>
        <w:tc>
          <w:tcPr>
            <w:tcW w:w="3890" w:type="dxa"/>
            <w:vMerge/>
            <w:tcBorders>
              <w:bottom w:val="single" w:sz="4" w:space="0" w:color="auto"/>
              <w:right w:val="single" w:sz="4" w:space="0" w:color="auto"/>
            </w:tcBorders>
            <w:vAlign w:val="center"/>
            <w:hideMark/>
          </w:tcPr>
          <w:p w14:paraId="65174453" w14:textId="77777777" w:rsidR="003C6015" w:rsidRPr="00DD6A04" w:rsidRDefault="003C6015" w:rsidP="003C6015">
            <w:pPr>
              <w:spacing w:before="0" w:after="0" w:line="256" w:lineRule="auto"/>
              <w:rPr>
                <w:rFonts w:eastAsia="Times New Roman"/>
                <w:b/>
                <w:noProof/>
                <w:sz w:val="22"/>
                <w:lang w:val="en-GB" w:eastAsia="en-GB"/>
              </w:rPr>
            </w:pPr>
          </w:p>
        </w:tc>
      </w:tr>
      <w:tr w:rsidR="00A70F67" w:rsidRPr="00DD6A04" w14:paraId="01E94732" w14:textId="77777777" w:rsidTr="00A70F67">
        <w:trPr>
          <w:trHeight w:val="309"/>
          <w:jc w:val="center"/>
        </w:trPr>
        <w:tc>
          <w:tcPr>
            <w:tcW w:w="1467" w:type="dxa"/>
            <w:tcBorders>
              <w:top w:val="single" w:sz="4" w:space="0" w:color="auto"/>
              <w:left w:val="single" w:sz="4" w:space="0" w:color="auto"/>
              <w:bottom w:val="single" w:sz="4" w:space="0" w:color="auto"/>
              <w:right w:val="single" w:sz="4" w:space="0" w:color="auto"/>
            </w:tcBorders>
            <w:shd w:val="clear" w:color="auto" w:fill="C6EFCE"/>
            <w:noWrap/>
          </w:tcPr>
          <w:p w14:paraId="00628067"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156</w:t>
            </w:r>
          </w:p>
        </w:tc>
        <w:tc>
          <w:tcPr>
            <w:tcW w:w="1412" w:type="dxa"/>
            <w:tcBorders>
              <w:top w:val="single" w:sz="4" w:space="0" w:color="auto"/>
              <w:left w:val="nil"/>
              <w:bottom w:val="single" w:sz="4" w:space="0" w:color="auto"/>
              <w:right w:val="single" w:sz="4" w:space="0" w:color="auto"/>
            </w:tcBorders>
            <w:shd w:val="clear" w:color="auto" w:fill="C6EFCE"/>
            <w:noWrap/>
          </w:tcPr>
          <w:p w14:paraId="5DE4955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A: Prenova vzgojno izobraževalnega sistema za zeleni in digitalni prehod</w:t>
            </w:r>
          </w:p>
        </w:tc>
        <w:tc>
          <w:tcPr>
            <w:tcW w:w="900" w:type="dxa"/>
            <w:tcBorders>
              <w:top w:val="single" w:sz="4" w:space="0" w:color="auto"/>
              <w:left w:val="nil"/>
              <w:bottom w:val="single" w:sz="4" w:space="0" w:color="auto"/>
              <w:right w:val="single" w:sz="4" w:space="0" w:color="auto"/>
            </w:tcBorders>
            <w:shd w:val="clear" w:color="auto" w:fill="C6EFCE"/>
            <w:noWrap/>
          </w:tcPr>
          <w:p w14:paraId="2541B44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single" w:sz="4" w:space="0" w:color="auto"/>
              <w:left w:val="nil"/>
              <w:bottom w:val="single" w:sz="4" w:space="0" w:color="auto"/>
              <w:right w:val="single" w:sz="4" w:space="0" w:color="auto"/>
            </w:tcBorders>
            <w:shd w:val="clear" w:color="auto" w:fill="C6EFCE"/>
            <w:noWrap/>
          </w:tcPr>
          <w:p w14:paraId="64ADB3D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Posodobljeni učni načrti za vzgojo in varstvo predšolskih otrok ter osnovne in srednje šole</w:t>
            </w:r>
          </w:p>
        </w:tc>
        <w:tc>
          <w:tcPr>
            <w:tcW w:w="1701" w:type="dxa"/>
            <w:tcBorders>
              <w:top w:val="single" w:sz="4" w:space="0" w:color="auto"/>
              <w:left w:val="nil"/>
              <w:bottom w:val="single" w:sz="4" w:space="0" w:color="auto"/>
              <w:right w:val="single" w:sz="4" w:space="0" w:color="auto"/>
            </w:tcBorders>
            <w:shd w:val="clear" w:color="auto" w:fill="C6EFCE"/>
            <w:noWrap/>
          </w:tcPr>
          <w:p w14:paraId="76D9848A" w14:textId="77777777" w:rsidR="003C6015" w:rsidRPr="00DD6A04" w:rsidRDefault="003C6015" w:rsidP="003C6015">
            <w:pPr>
              <w:spacing w:line="240" w:lineRule="auto"/>
              <w:jc w:val="both"/>
              <w:rPr>
                <w:rFonts w:eastAsia="Times New Roman"/>
                <w:noProof/>
                <w:color w:val="006100"/>
                <w:sz w:val="22"/>
              </w:rPr>
            </w:pPr>
            <w:r>
              <w:rPr>
                <w:noProof/>
                <w:color w:val="006100"/>
                <w:sz w:val="22"/>
              </w:rPr>
              <w:t> </w:t>
            </w:r>
          </w:p>
        </w:tc>
        <w:tc>
          <w:tcPr>
            <w:tcW w:w="993" w:type="dxa"/>
            <w:tcBorders>
              <w:top w:val="single" w:sz="4" w:space="0" w:color="auto"/>
              <w:left w:val="nil"/>
              <w:bottom w:val="single" w:sz="4" w:space="0" w:color="auto"/>
              <w:right w:val="single" w:sz="4" w:space="0" w:color="auto"/>
            </w:tcBorders>
            <w:shd w:val="clear" w:color="auto" w:fill="C6EFCE"/>
            <w:noWrap/>
          </w:tcPr>
          <w:p w14:paraId="11BE93E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single" w:sz="4" w:space="0" w:color="auto"/>
              <w:left w:val="nil"/>
              <w:bottom w:val="single" w:sz="4" w:space="0" w:color="auto"/>
              <w:right w:val="single" w:sz="4" w:space="0" w:color="auto"/>
            </w:tcBorders>
            <w:shd w:val="clear" w:color="auto" w:fill="C6EFCE"/>
            <w:noWrap/>
          </w:tcPr>
          <w:p w14:paraId="573BC80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850" w:type="dxa"/>
            <w:tcBorders>
              <w:top w:val="single" w:sz="4" w:space="0" w:color="auto"/>
              <w:left w:val="nil"/>
              <w:bottom w:val="single" w:sz="4" w:space="0" w:color="auto"/>
              <w:right w:val="single" w:sz="4" w:space="0" w:color="auto"/>
            </w:tcBorders>
            <w:shd w:val="clear" w:color="auto" w:fill="C6EFCE"/>
            <w:noWrap/>
          </w:tcPr>
          <w:p w14:paraId="2B756B3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216</w:t>
            </w:r>
          </w:p>
        </w:tc>
        <w:tc>
          <w:tcPr>
            <w:tcW w:w="709" w:type="dxa"/>
            <w:tcBorders>
              <w:top w:val="single" w:sz="4" w:space="0" w:color="auto"/>
              <w:left w:val="nil"/>
              <w:bottom w:val="single" w:sz="4" w:space="0" w:color="auto"/>
              <w:right w:val="single" w:sz="4" w:space="0" w:color="auto"/>
            </w:tcBorders>
            <w:shd w:val="clear" w:color="auto" w:fill="C6EFCE"/>
            <w:noWrap/>
          </w:tcPr>
          <w:p w14:paraId="529FF3E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851" w:type="dxa"/>
            <w:tcBorders>
              <w:top w:val="single" w:sz="4" w:space="0" w:color="auto"/>
              <w:left w:val="nil"/>
              <w:bottom w:val="single" w:sz="4" w:space="0" w:color="auto"/>
              <w:right w:val="single" w:sz="4" w:space="0" w:color="auto"/>
            </w:tcBorders>
            <w:shd w:val="clear" w:color="auto" w:fill="C6EFCE"/>
            <w:noWrap/>
          </w:tcPr>
          <w:p w14:paraId="5D5DB31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2025</w:t>
            </w:r>
          </w:p>
        </w:tc>
        <w:tc>
          <w:tcPr>
            <w:tcW w:w="3890" w:type="dxa"/>
            <w:tcBorders>
              <w:top w:val="single" w:sz="4" w:space="0" w:color="auto"/>
              <w:left w:val="nil"/>
              <w:bottom w:val="single" w:sz="4" w:space="0" w:color="auto"/>
              <w:right w:val="single" w:sz="4" w:space="0" w:color="auto"/>
            </w:tcBorders>
            <w:shd w:val="clear" w:color="auto" w:fill="C6EFCE"/>
            <w:noWrap/>
          </w:tcPr>
          <w:p w14:paraId="6EACA46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 se nanaša na število učnih načrtov, ki bodo posodobljeni, da bodo med drugim vključevali digitalne kompetence, kompetence za trajnostni razvoj in finančno pismenost.</w:t>
            </w:r>
          </w:p>
          <w:p w14:paraId="702C6AA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Učni načrti, ki jih je treba posodobiti, so učni načrti za vzgojo in varstvo predšolskih otrok ter osnovne in srednje šole.</w:t>
            </w:r>
          </w:p>
          <w:p w14:paraId="73042AC2" w14:textId="62E54FD1" w:rsidR="003C6015" w:rsidRPr="00DD6A04" w:rsidRDefault="003C6015" w:rsidP="003C6015">
            <w:pPr>
              <w:spacing w:before="0" w:after="0" w:line="256" w:lineRule="auto"/>
              <w:rPr>
                <w:rFonts w:eastAsia="Times New Roman"/>
                <w:noProof/>
                <w:color w:val="006100"/>
                <w:sz w:val="22"/>
              </w:rPr>
            </w:pPr>
            <w:r>
              <w:rPr>
                <w:noProof/>
                <w:color w:val="006100"/>
                <w:sz w:val="22"/>
              </w:rPr>
              <w:t>Cilj reforme je šolajočim in učiteljskemu osebju zagotoviti kompetence, pomembne za soočanje s sedanjimi in prihodnjimi izzivi, da se okrepi odpornost izobraževalnega sistema, izboljša usklajenost kompetenc z zahtevami trga dela in šolajočim olajša prehod na trg dela. Posodobljene učne načrte bo odobrilo Ministrstvo za izobraževanje, znanost in šport.</w:t>
            </w:r>
          </w:p>
        </w:tc>
      </w:tr>
      <w:tr w:rsidR="00A70F67" w:rsidRPr="00DD6A04" w14:paraId="4DF07A45"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6D5D003C"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157</w:t>
            </w:r>
          </w:p>
        </w:tc>
        <w:tc>
          <w:tcPr>
            <w:tcW w:w="1412" w:type="dxa"/>
            <w:tcBorders>
              <w:top w:val="nil"/>
              <w:left w:val="nil"/>
              <w:bottom w:val="single" w:sz="4" w:space="0" w:color="auto"/>
              <w:right w:val="single" w:sz="4" w:space="0" w:color="auto"/>
            </w:tcBorders>
            <w:shd w:val="clear" w:color="auto" w:fill="C6EFCE"/>
            <w:noWrap/>
          </w:tcPr>
          <w:p w14:paraId="23DEEB0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E: Celovita transformacija zelenega in digitalnega izobraževanja</w:t>
            </w:r>
          </w:p>
        </w:tc>
        <w:tc>
          <w:tcPr>
            <w:tcW w:w="900" w:type="dxa"/>
            <w:tcBorders>
              <w:top w:val="nil"/>
              <w:left w:val="nil"/>
              <w:bottom w:val="single" w:sz="4" w:space="0" w:color="auto"/>
              <w:right w:val="single" w:sz="4" w:space="0" w:color="auto"/>
            </w:tcBorders>
            <w:shd w:val="clear" w:color="auto" w:fill="C6EFCE"/>
            <w:noWrap/>
          </w:tcPr>
          <w:p w14:paraId="39EBEF7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nil"/>
              <w:left w:val="nil"/>
              <w:bottom w:val="single" w:sz="4" w:space="0" w:color="auto"/>
              <w:right w:val="single" w:sz="4" w:space="0" w:color="auto"/>
            </w:tcBorders>
            <w:shd w:val="clear" w:color="auto" w:fill="C6EFCE"/>
            <w:noWrap/>
          </w:tcPr>
          <w:p w14:paraId="2B4EACB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Strokovni in vodstveni delavci z opravljenim usposabljanjem za pridobitev digitalnih kompetenc in kompetenc za trajnostni razvoj</w:t>
            </w:r>
          </w:p>
        </w:tc>
        <w:tc>
          <w:tcPr>
            <w:tcW w:w="1701" w:type="dxa"/>
            <w:tcBorders>
              <w:top w:val="nil"/>
              <w:left w:val="nil"/>
              <w:bottom w:val="single" w:sz="4" w:space="0" w:color="auto"/>
              <w:right w:val="single" w:sz="4" w:space="0" w:color="auto"/>
            </w:tcBorders>
            <w:shd w:val="clear" w:color="auto" w:fill="C6EFCE"/>
            <w:noWrap/>
          </w:tcPr>
          <w:p w14:paraId="044454A1" w14:textId="77777777" w:rsidR="003C6015" w:rsidRPr="00DD6A04" w:rsidRDefault="003C6015" w:rsidP="003C6015">
            <w:pPr>
              <w:spacing w:line="240" w:lineRule="auto"/>
              <w:jc w:val="both"/>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4C6F52C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nil"/>
              <w:left w:val="nil"/>
              <w:bottom w:val="single" w:sz="4" w:space="0" w:color="auto"/>
              <w:right w:val="single" w:sz="4" w:space="0" w:color="auto"/>
            </w:tcBorders>
            <w:shd w:val="clear" w:color="auto" w:fill="C6EFCE"/>
            <w:noWrap/>
          </w:tcPr>
          <w:p w14:paraId="65C8195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850" w:type="dxa"/>
            <w:tcBorders>
              <w:top w:val="nil"/>
              <w:left w:val="nil"/>
              <w:bottom w:val="single" w:sz="4" w:space="0" w:color="auto"/>
              <w:right w:val="single" w:sz="4" w:space="0" w:color="auto"/>
            </w:tcBorders>
            <w:shd w:val="clear" w:color="auto" w:fill="C6EFCE"/>
            <w:noWrap/>
          </w:tcPr>
          <w:p w14:paraId="48806E5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9500</w:t>
            </w:r>
          </w:p>
        </w:tc>
        <w:tc>
          <w:tcPr>
            <w:tcW w:w="709" w:type="dxa"/>
            <w:tcBorders>
              <w:top w:val="nil"/>
              <w:left w:val="nil"/>
              <w:bottom w:val="single" w:sz="4" w:space="0" w:color="auto"/>
              <w:right w:val="single" w:sz="4" w:space="0" w:color="auto"/>
            </w:tcBorders>
            <w:shd w:val="clear" w:color="auto" w:fill="C6EFCE"/>
            <w:noWrap/>
          </w:tcPr>
          <w:p w14:paraId="02164D70"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nil"/>
              <w:left w:val="nil"/>
              <w:bottom w:val="single" w:sz="4" w:space="0" w:color="auto"/>
              <w:right w:val="single" w:sz="4" w:space="0" w:color="auto"/>
            </w:tcBorders>
            <w:shd w:val="clear" w:color="auto" w:fill="C6EFCE"/>
            <w:noWrap/>
          </w:tcPr>
          <w:p w14:paraId="2CA573E4"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3890" w:type="dxa"/>
            <w:tcBorders>
              <w:top w:val="nil"/>
              <w:left w:val="nil"/>
              <w:bottom w:val="single" w:sz="4" w:space="0" w:color="auto"/>
              <w:right w:val="single" w:sz="4" w:space="0" w:color="auto"/>
            </w:tcBorders>
            <w:shd w:val="clear" w:color="auto" w:fill="C6EFCE"/>
            <w:noWrap/>
          </w:tcPr>
          <w:p w14:paraId="625BC021" w14:textId="4CB7EE8D" w:rsidR="003C6015" w:rsidRPr="00DD6A04" w:rsidRDefault="34058E0A" w:rsidP="150EC00E">
            <w:pPr>
              <w:spacing w:before="0" w:after="0" w:line="256" w:lineRule="auto"/>
              <w:rPr>
                <w:rFonts w:eastAsia="Times New Roman"/>
                <w:noProof/>
                <w:color w:val="006100"/>
                <w:sz w:val="22"/>
              </w:rPr>
            </w:pPr>
            <w:r>
              <w:rPr>
                <w:noProof/>
                <w:color w:val="006100"/>
                <w:sz w:val="22"/>
              </w:rPr>
              <w:t xml:space="preserve">Usposabljanje strokovnih in vodstvenih delavcev na področju vzgoje in izobraževanja, ki ga izvajajo zunanji izvajalci, izbrani na podlagi odprtega javnega razpisa, bo krepilo digitalne kompetence, kompetence za trajnostni razvoj in finančno pismenost. Usposabljanje naj bi trajalo 13 izobraževalnih dni. </w:t>
            </w:r>
          </w:p>
          <w:p w14:paraId="74E69BB6"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A70F67" w:rsidRPr="00DD6A04" w14:paraId="1999ADCA"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1D8F8B4D"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158</w:t>
            </w:r>
          </w:p>
        </w:tc>
        <w:tc>
          <w:tcPr>
            <w:tcW w:w="1412" w:type="dxa"/>
            <w:tcBorders>
              <w:top w:val="nil"/>
              <w:left w:val="nil"/>
              <w:bottom w:val="single" w:sz="4" w:space="0" w:color="auto"/>
              <w:right w:val="single" w:sz="4" w:space="0" w:color="auto"/>
            </w:tcBorders>
            <w:shd w:val="clear" w:color="auto" w:fill="C6EFCE"/>
            <w:noWrap/>
          </w:tcPr>
          <w:p w14:paraId="26DFC17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E: Celovita transformacija zelenega in digitalnega izobraževanja</w:t>
            </w:r>
          </w:p>
        </w:tc>
        <w:tc>
          <w:tcPr>
            <w:tcW w:w="900" w:type="dxa"/>
            <w:tcBorders>
              <w:top w:val="nil"/>
              <w:left w:val="nil"/>
              <w:bottom w:val="single" w:sz="4" w:space="0" w:color="auto"/>
              <w:right w:val="single" w:sz="4" w:space="0" w:color="auto"/>
            </w:tcBorders>
            <w:shd w:val="clear" w:color="auto" w:fill="C6EFCE"/>
            <w:noWrap/>
          </w:tcPr>
          <w:p w14:paraId="710DF0C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nil"/>
              <w:left w:val="nil"/>
              <w:bottom w:val="single" w:sz="4" w:space="0" w:color="auto"/>
              <w:right w:val="single" w:sz="4" w:space="0" w:color="auto"/>
            </w:tcBorders>
            <w:shd w:val="clear" w:color="auto" w:fill="C6EFCE"/>
            <w:noWrap/>
          </w:tcPr>
          <w:p w14:paraId="3EDB20D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Strokovni in vodstveni delavci z opravljenim usposabljanjem za pridobitev digitalnih kompetenc in kompetenc za trajnostni razvoj</w:t>
            </w:r>
          </w:p>
        </w:tc>
        <w:tc>
          <w:tcPr>
            <w:tcW w:w="1701" w:type="dxa"/>
            <w:tcBorders>
              <w:top w:val="nil"/>
              <w:left w:val="nil"/>
              <w:bottom w:val="single" w:sz="4" w:space="0" w:color="auto"/>
              <w:right w:val="single" w:sz="4" w:space="0" w:color="auto"/>
            </w:tcBorders>
            <w:shd w:val="clear" w:color="auto" w:fill="C6EFCE"/>
            <w:noWrap/>
          </w:tcPr>
          <w:p w14:paraId="7787BF6E" w14:textId="77777777" w:rsidR="003C6015" w:rsidRPr="00DD6A04" w:rsidRDefault="003C6015" w:rsidP="003C6015">
            <w:pPr>
              <w:spacing w:line="240" w:lineRule="auto"/>
              <w:jc w:val="both"/>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2DC7CB4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nil"/>
              <w:left w:val="nil"/>
              <w:bottom w:val="single" w:sz="4" w:space="0" w:color="auto"/>
              <w:right w:val="single" w:sz="4" w:space="0" w:color="auto"/>
            </w:tcBorders>
            <w:shd w:val="clear" w:color="auto" w:fill="C6EFCE"/>
            <w:noWrap/>
          </w:tcPr>
          <w:p w14:paraId="64CF625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9500</w:t>
            </w:r>
          </w:p>
        </w:tc>
        <w:tc>
          <w:tcPr>
            <w:tcW w:w="850" w:type="dxa"/>
            <w:tcBorders>
              <w:top w:val="nil"/>
              <w:left w:val="nil"/>
              <w:bottom w:val="single" w:sz="4" w:space="0" w:color="auto"/>
              <w:right w:val="single" w:sz="4" w:space="0" w:color="auto"/>
            </w:tcBorders>
            <w:shd w:val="clear" w:color="auto" w:fill="C6EFCE"/>
            <w:noWrap/>
          </w:tcPr>
          <w:p w14:paraId="02FCE99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20000</w:t>
            </w:r>
          </w:p>
        </w:tc>
        <w:tc>
          <w:tcPr>
            <w:tcW w:w="709" w:type="dxa"/>
            <w:tcBorders>
              <w:top w:val="nil"/>
              <w:left w:val="nil"/>
              <w:bottom w:val="single" w:sz="4" w:space="0" w:color="auto"/>
              <w:right w:val="single" w:sz="4" w:space="0" w:color="auto"/>
            </w:tcBorders>
            <w:shd w:val="clear" w:color="auto" w:fill="C6EFCE"/>
            <w:noWrap/>
          </w:tcPr>
          <w:p w14:paraId="3B993578"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nil"/>
              <w:left w:val="nil"/>
              <w:bottom w:val="single" w:sz="4" w:space="0" w:color="auto"/>
              <w:right w:val="single" w:sz="4" w:space="0" w:color="auto"/>
            </w:tcBorders>
            <w:shd w:val="clear" w:color="auto" w:fill="C6EFCE"/>
            <w:noWrap/>
          </w:tcPr>
          <w:p w14:paraId="7FA5159B"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890" w:type="dxa"/>
            <w:tcBorders>
              <w:top w:val="nil"/>
              <w:left w:val="nil"/>
              <w:bottom w:val="single" w:sz="4" w:space="0" w:color="auto"/>
              <w:right w:val="single" w:sz="4" w:space="0" w:color="auto"/>
            </w:tcBorders>
            <w:shd w:val="clear" w:color="auto" w:fill="C6EFCE"/>
            <w:noWrap/>
          </w:tcPr>
          <w:p w14:paraId="7B3AEA6B" w14:textId="4747697E" w:rsidR="003C6015" w:rsidRPr="00DD6A04" w:rsidRDefault="34058E0A" w:rsidP="150EC00E">
            <w:pPr>
              <w:spacing w:before="0" w:after="0" w:line="256" w:lineRule="auto"/>
              <w:rPr>
                <w:rFonts w:eastAsia="Times New Roman"/>
                <w:noProof/>
                <w:color w:val="006100"/>
                <w:sz w:val="22"/>
              </w:rPr>
            </w:pPr>
            <w:r>
              <w:rPr>
                <w:noProof/>
                <w:color w:val="006100"/>
                <w:sz w:val="22"/>
              </w:rPr>
              <w:t xml:space="preserve">Usposabljanje strokovnih in vodstvenih delavcev na področju vzgoje in izobraževanja, ki ga izvajajo zunanji izvajalci, izbrani na podlagi odprtega javnega razpisa, bo krepilo digitalne kompetence, kompetence za trajnostni razvoj in finančno pismenost. Usposabljanje naj bi trajalo 13 izobraževalnih dni. </w:t>
            </w:r>
          </w:p>
          <w:p w14:paraId="1E4008AE"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A70F67" w:rsidRPr="00DD6A04" w14:paraId="51EA788E"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37ACE929"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159</w:t>
            </w:r>
          </w:p>
        </w:tc>
        <w:tc>
          <w:tcPr>
            <w:tcW w:w="1412" w:type="dxa"/>
            <w:tcBorders>
              <w:top w:val="nil"/>
              <w:left w:val="nil"/>
              <w:bottom w:val="single" w:sz="4" w:space="0" w:color="auto"/>
              <w:right w:val="single" w:sz="4" w:space="0" w:color="auto"/>
            </w:tcBorders>
            <w:shd w:val="clear" w:color="auto" w:fill="C6EFCE"/>
            <w:noWrap/>
          </w:tcPr>
          <w:p w14:paraId="7F79AE5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B: Reforma visokega šolstva za zelen in odporen prehod </w:t>
            </w:r>
          </w:p>
        </w:tc>
        <w:tc>
          <w:tcPr>
            <w:tcW w:w="900" w:type="dxa"/>
            <w:tcBorders>
              <w:top w:val="nil"/>
              <w:left w:val="nil"/>
              <w:bottom w:val="single" w:sz="4" w:space="0" w:color="auto"/>
              <w:right w:val="single" w:sz="4" w:space="0" w:color="auto"/>
            </w:tcBorders>
            <w:shd w:val="clear" w:color="auto" w:fill="C6EFCE"/>
            <w:noWrap/>
          </w:tcPr>
          <w:p w14:paraId="7A23629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nil"/>
              <w:left w:val="nil"/>
              <w:bottom w:val="single" w:sz="4" w:space="0" w:color="auto"/>
              <w:right w:val="single" w:sz="4" w:space="0" w:color="auto"/>
            </w:tcBorders>
            <w:shd w:val="clear" w:color="auto" w:fill="C6EFCE"/>
            <w:noWrap/>
          </w:tcPr>
          <w:p w14:paraId="3A8AA3F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Posodobljeni visokošolski učni načrti</w:t>
            </w:r>
          </w:p>
        </w:tc>
        <w:tc>
          <w:tcPr>
            <w:tcW w:w="1701" w:type="dxa"/>
            <w:tcBorders>
              <w:top w:val="nil"/>
              <w:left w:val="nil"/>
              <w:bottom w:val="single" w:sz="4" w:space="0" w:color="auto"/>
              <w:right w:val="single" w:sz="4" w:space="0" w:color="auto"/>
            </w:tcBorders>
            <w:shd w:val="clear" w:color="auto" w:fill="C6EFCE"/>
            <w:noWrap/>
          </w:tcPr>
          <w:p w14:paraId="73C0CB23" w14:textId="77777777" w:rsidR="003C6015" w:rsidRPr="00DD6A04" w:rsidRDefault="003C6015" w:rsidP="003C6015">
            <w:pPr>
              <w:spacing w:line="240" w:lineRule="auto"/>
              <w:jc w:val="both"/>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463DF57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nil"/>
              <w:left w:val="nil"/>
              <w:bottom w:val="single" w:sz="4" w:space="0" w:color="auto"/>
              <w:right w:val="single" w:sz="4" w:space="0" w:color="auto"/>
            </w:tcBorders>
            <w:shd w:val="clear" w:color="auto" w:fill="C6EFCE"/>
            <w:noWrap/>
          </w:tcPr>
          <w:p w14:paraId="51FE20C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850" w:type="dxa"/>
            <w:tcBorders>
              <w:top w:val="nil"/>
              <w:left w:val="nil"/>
              <w:bottom w:val="single" w:sz="4" w:space="0" w:color="auto"/>
              <w:right w:val="single" w:sz="4" w:space="0" w:color="auto"/>
            </w:tcBorders>
            <w:shd w:val="clear" w:color="auto" w:fill="C6EFCE"/>
            <w:noWrap/>
          </w:tcPr>
          <w:p w14:paraId="1D3D6B7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68</w:t>
            </w:r>
          </w:p>
        </w:tc>
        <w:tc>
          <w:tcPr>
            <w:tcW w:w="709" w:type="dxa"/>
            <w:tcBorders>
              <w:top w:val="nil"/>
              <w:left w:val="nil"/>
              <w:bottom w:val="single" w:sz="4" w:space="0" w:color="auto"/>
              <w:right w:val="single" w:sz="4" w:space="0" w:color="auto"/>
            </w:tcBorders>
            <w:shd w:val="clear" w:color="auto" w:fill="C6EFCE"/>
            <w:noWrap/>
          </w:tcPr>
          <w:p w14:paraId="5851360F"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nil"/>
              <w:left w:val="nil"/>
              <w:bottom w:val="single" w:sz="4" w:space="0" w:color="auto"/>
              <w:right w:val="single" w:sz="4" w:space="0" w:color="auto"/>
            </w:tcBorders>
            <w:shd w:val="clear" w:color="auto" w:fill="C6EFCE"/>
            <w:noWrap/>
          </w:tcPr>
          <w:p w14:paraId="3E93B84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890" w:type="dxa"/>
            <w:tcBorders>
              <w:top w:val="nil"/>
              <w:left w:val="nil"/>
              <w:bottom w:val="single" w:sz="4" w:space="0" w:color="auto"/>
              <w:right w:val="single" w:sz="4" w:space="0" w:color="auto"/>
            </w:tcBorders>
            <w:shd w:val="clear" w:color="auto" w:fill="C6EFCE"/>
            <w:noWrap/>
          </w:tcPr>
          <w:p w14:paraId="4410C1E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 se nanaša na število učnih načrtov, ki jih je treba posodobiti, da bodo vključevali zlasti digitalne kompetence in kompetence za trajnostni razvoj, ki so potrebne za zeleni in digitalni prehod, digitalno pismenost, informacijsko in podatkovno pismenost, ustvarjanje vsebin in uporabo digitalnega učnega okolja. Posodobljene učne načrte bo odobrila Nacionalna agencija Republike Slovenije za kakovost v visokem šolstvu.</w:t>
            </w:r>
          </w:p>
        </w:tc>
      </w:tr>
      <w:tr w:rsidR="00A70F67" w:rsidRPr="00DD6A04" w14:paraId="450B8A21"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2B1FB2AF"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160</w:t>
            </w:r>
          </w:p>
        </w:tc>
        <w:tc>
          <w:tcPr>
            <w:tcW w:w="1412" w:type="dxa"/>
            <w:tcBorders>
              <w:top w:val="nil"/>
              <w:left w:val="nil"/>
              <w:bottom w:val="single" w:sz="4" w:space="0" w:color="auto"/>
              <w:right w:val="single" w:sz="4" w:space="0" w:color="auto"/>
            </w:tcBorders>
            <w:shd w:val="clear" w:color="auto" w:fill="C6EFCE"/>
            <w:noWrap/>
          </w:tcPr>
          <w:p w14:paraId="7A16A7E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F: Pilotni projekti za reformo visokega šolstva za zelen in odporen prehod </w:t>
            </w:r>
          </w:p>
        </w:tc>
        <w:tc>
          <w:tcPr>
            <w:tcW w:w="900" w:type="dxa"/>
            <w:tcBorders>
              <w:top w:val="nil"/>
              <w:left w:val="nil"/>
              <w:bottom w:val="single" w:sz="4" w:space="0" w:color="auto"/>
              <w:right w:val="single" w:sz="4" w:space="0" w:color="auto"/>
            </w:tcBorders>
            <w:shd w:val="clear" w:color="auto" w:fill="C6EFCE"/>
            <w:noWrap/>
          </w:tcPr>
          <w:p w14:paraId="5234624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nil"/>
              <w:left w:val="nil"/>
              <w:bottom w:val="single" w:sz="4" w:space="0" w:color="auto"/>
              <w:right w:val="single" w:sz="4" w:space="0" w:color="auto"/>
            </w:tcBorders>
            <w:shd w:val="clear" w:color="auto" w:fill="C6EFCE"/>
            <w:noWrap/>
          </w:tcPr>
          <w:p w14:paraId="3EABD08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Dokončan izbor pilotnih projektov za prenovo visokošolskega študijskega procesa </w:t>
            </w:r>
          </w:p>
        </w:tc>
        <w:tc>
          <w:tcPr>
            <w:tcW w:w="1701" w:type="dxa"/>
            <w:tcBorders>
              <w:top w:val="nil"/>
              <w:left w:val="nil"/>
              <w:bottom w:val="single" w:sz="4" w:space="0" w:color="auto"/>
              <w:right w:val="single" w:sz="4" w:space="0" w:color="auto"/>
            </w:tcBorders>
            <w:shd w:val="clear" w:color="auto" w:fill="C6EFCE"/>
            <w:noWrap/>
          </w:tcPr>
          <w:p w14:paraId="606CB458" w14:textId="77777777" w:rsidR="003C6015" w:rsidRPr="00DD6A04" w:rsidRDefault="003C6015" w:rsidP="00B3122C">
            <w:pPr>
              <w:spacing w:before="0" w:after="0" w:line="256" w:lineRule="auto"/>
              <w:rPr>
                <w:rFonts w:eastAsia="Times New Roman"/>
                <w:noProof/>
                <w:color w:val="006100"/>
                <w:sz w:val="22"/>
              </w:rPr>
            </w:pPr>
            <w:r>
              <w:rPr>
                <w:noProof/>
                <w:color w:val="006100"/>
                <w:sz w:val="22"/>
              </w:rPr>
              <w:t>Objava rezultatov</w:t>
            </w:r>
          </w:p>
        </w:tc>
        <w:tc>
          <w:tcPr>
            <w:tcW w:w="993" w:type="dxa"/>
            <w:tcBorders>
              <w:top w:val="nil"/>
              <w:left w:val="nil"/>
              <w:bottom w:val="single" w:sz="4" w:space="0" w:color="auto"/>
              <w:right w:val="single" w:sz="4" w:space="0" w:color="auto"/>
            </w:tcBorders>
            <w:shd w:val="clear" w:color="auto" w:fill="C6EFCE"/>
            <w:noWrap/>
          </w:tcPr>
          <w:p w14:paraId="454F8F3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2" w:type="dxa"/>
            <w:tcBorders>
              <w:top w:val="nil"/>
              <w:left w:val="nil"/>
              <w:bottom w:val="single" w:sz="4" w:space="0" w:color="auto"/>
              <w:right w:val="single" w:sz="4" w:space="0" w:color="auto"/>
            </w:tcBorders>
            <w:shd w:val="clear" w:color="auto" w:fill="C6EFCE"/>
            <w:noWrap/>
          </w:tcPr>
          <w:p w14:paraId="1836763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50" w:type="dxa"/>
            <w:tcBorders>
              <w:top w:val="nil"/>
              <w:left w:val="nil"/>
              <w:bottom w:val="single" w:sz="4" w:space="0" w:color="auto"/>
              <w:right w:val="single" w:sz="4" w:space="0" w:color="auto"/>
            </w:tcBorders>
            <w:shd w:val="clear" w:color="auto" w:fill="C6EFCE"/>
            <w:noWrap/>
          </w:tcPr>
          <w:p w14:paraId="7C6112A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709" w:type="dxa"/>
            <w:tcBorders>
              <w:top w:val="nil"/>
              <w:left w:val="nil"/>
              <w:bottom w:val="single" w:sz="4" w:space="0" w:color="auto"/>
              <w:right w:val="single" w:sz="4" w:space="0" w:color="auto"/>
            </w:tcBorders>
            <w:shd w:val="clear" w:color="auto" w:fill="C6EFCE"/>
            <w:noWrap/>
          </w:tcPr>
          <w:p w14:paraId="3314D314"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nil"/>
              <w:left w:val="nil"/>
              <w:bottom w:val="single" w:sz="4" w:space="0" w:color="auto"/>
              <w:right w:val="single" w:sz="4" w:space="0" w:color="auto"/>
            </w:tcBorders>
            <w:shd w:val="clear" w:color="auto" w:fill="C6EFCE"/>
            <w:noWrap/>
          </w:tcPr>
          <w:p w14:paraId="40F2746B"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3890" w:type="dxa"/>
            <w:tcBorders>
              <w:top w:val="nil"/>
              <w:left w:val="nil"/>
              <w:bottom w:val="single" w:sz="4" w:space="0" w:color="auto"/>
              <w:right w:val="single" w:sz="4" w:space="0" w:color="auto"/>
            </w:tcBorders>
            <w:shd w:val="clear" w:color="auto" w:fill="C6EFCE"/>
            <w:noWrap/>
          </w:tcPr>
          <w:p w14:paraId="3068F1A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Upravičenci bodo javne visokošolske ustanove. S pilotnimi projekti se bodo preskušale rešitve za vključevanje digitalnih kompetenc in kompetenc za trajnostni razvoj v visokošolske učne načrte, da bi se izboljšali rezultati na trgu dela. </w:t>
            </w:r>
          </w:p>
        </w:tc>
      </w:tr>
      <w:tr w:rsidR="00A70F67" w:rsidRPr="00DD6A04" w14:paraId="344F142D"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66BEF47E"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161</w:t>
            </w:r>
          </w:p>
        </w:tc>
        <w:tc>
          <w:tcPr>
            <w:tcW w:w="1412" w:type="dxa"/>
            <w:tcBorders>
              <w:top w:val="nil"/>
              <w:left w:val="nil"/>
              <w:bottom w:val="single" w:sz="4" w:space="0" w:color="auto"/>
              <w:right w:val="single" w:sz="4" w:space="0" w:color="auto"/>
            </w:tcBorders>
            <w:shd w:val="clear" w:color="auto" w:fill="C6EFCE"/>
            <w:noWrap/>
          </w:tcPr>
          <w:p w14:paraId="46B6842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F: Pilotni projekti za reformo visokega šolstva za zelen in odporen prehod </w:t>
            </w:r>
          </w:p>
        </w:tc>
        <w:tc>
          <w:tcPr>
            <w:tcW w:w="900" w:type="dxa"/>
            <w:tcBorders>
              <w:top w:val="nil"/>
              <w:left w:val="nil"/>
              <w:bottom w:val="single" w:sz="4" w:space="0" w:color="auto"/>
              <w:right w:val="single" w:sz="4" w:space="0" w:color="auto"/>
            </w:tcBorders>
            <w:shd w:val="clear" w:color="auto" w:fill="C6EFCE"/>
            <w:noWrap/>
          </w:tcPr>
          <w:p w14:paraId="62F99C9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nil"/>
              <w:left w:val="nil"/>
              <w:bottom w:val="single" w:sz="4" w:space="0" w:color="auto"/>
              <w:right w:val="single" w:sz="4" w:space="0" w:color="auto"/>
            </w:tcBorders>
            <w:shd w:val="clear" w:color="auto" w:fill="C6EFCE"/>
            <w:noWrap/>
          </w:tcPr>
          <w:p w14:paraId="1CF962CA" w14:textId="7FE9A0B2" w:rsidR="003C6015" w:rsidRPr="00DD6A04" w:rsidRDefault="003C6015" w:rsidP="003C6015">
            <w:pPr>
              <w:spacing w:before="0" w:after="0" w:line="256" w:lineRule="auto"/>
              <w:rPr>
                <w:rFonts w:eastAsia="Times New Roman"/>
                <w:noProof/>
                <w:color w:val="006100"/>
                <w:sz w:val="22"/>
              </w:rPr>
            </w:pPr>
            <w:r>
              <w:rPr>
                <w:noProof/>
                <w:color w:val="006100"/>
                <w:sz w:val="22"/>
              </w:rPr>
              <w:t>Dokončani pilotni projekti za prenovo visokošolskega študijskega procesa</w:t>
            </w:r>
          </w:p>
        </w:tc>
        <w:tc>
          <w:tcPr>
            <w:tcW w:w="1701" w:type="dxa"/>
            <w:tcBorders>
              <w:top w:val="nil"/>
              <w:left w:val="nil"/>
              <w:bottom w:val="single" w:sz="4" w:space="0" w:color="auto"/>
              <w:right w:val="single" w:sz="4" w:space="0" w:color="auto"/>
            </w:tcBorders>
            <w:shd w:val="clear" w:color="auto" w:fill="C6EFCE"/>
            <w:noWrap/>
          </w:tcPr>
          <w:p w14:paraId="264FA49E" w14:textId="77777777" w:rsidR="003C6015" w:rsidRPr="00DD6A04" w:rsidRDefault="003C6015" w:rsidP="003C6015">
            <w:pPr>
              <w:spacing w:line="240" w:lineRule="auto"/>
              <w:jc w:val="both"/>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586B14F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nil"/>
              <w:left w:val="nil"/>
              <w:bottom w:val="single" w:sz="4" w:space="0" w:color="auto"/>
              <w:right w:val="single" w:sz="4" w:space="0" w:color="auto"/>
            </w:tcBorders>
            <w:shd w:val="clear" w:color="auto" w:fill="C6EFCE"/>
            <w:noWrap/>
          </w:tcPr>
          <w:p w14:paraId="1F0F4FB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850" w:type="dxa"/>
            <w:tcBorders>
              <w:top w:val="nil"/>
              <w:left w:val="nil"/>
              <w:bottom w:val="single" w:sz="4" w:space="0" w:color="auto"/>
              <w:right w:val="single" w:sz="4" w:space="0" w:color="auto"/>
            </w:tcBorders>
            <w:shd w:val="clear" w:color="auto" w:fill="C6EFCE"/>
            <w:noWrap/>
          </w:tcPr>
          <w:p w14:paraId="297139F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30</w:t>
            </w:r>
          </w:p>
        </w:tc>
        <w:tc>
          <w:tcPr>
            <w:tcW w:w="709" w:type="dxa"/>
            <w:tcBorders>
              <w:top w:val="nil"/>
              <w:left w:val="nil"/>
              <w:bottom w:val="single" w:sz="4" w:space="0" w:color="auto"/>
              <w:right w:val="single" w:sz="4" w:space="0" w:color="auto"/>
            </w:tcBorders>
            <w:shd w:val="clear" w:color="auto" w:fill="C6EFCE"/>
            <w:noWrap/>
          </w:tcPr>
          <w:p w14:paraId="77C91AC2"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851" w:type="dxa"/>
            <w:tcBorders>
              <w:top w:val="nil"/>
              <w:left w:val="nil"/>
              <w:bottom w:val="single" w:sz="4" w:space="0" w:color="auto"/>
              <w:right w:val="single" w:sz="4" w:space="0" w:color="auto"/>
            </w:tcBorders>
            <w:shd w:val="clear" w:color="auto" w:fill="C6EFCE"/>
            <w:noWrap/>
          </w:tcPr>
          <w:p w14:paraId="79146B80"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2025</w:t>
            </w:r>
          </w:p>
        </w:tc>
        <w:tc>
          <w:tcPr>
            <w:tcW w:w="3890" w:type="dxa"/>
            <w:tcBorders>
              <w:top w:val="nil"/>
              <w:left w:val="nil"/>
              <w:bottom w:val="single" w:sz="4" w:space="0" w:color="auto"/>
              <w:right w:val="single" w:sz="4" w:space="0" w:color="auto"/>
            </w:tcBorders>
            <w:shd w:val="clear" w:color="auto" w:fill="C6EFCE"/>
            <w:noWrap/>
          </w:tcPr>
          <w:p w14:paraId="1F6D046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Projekti, dokončani v skladu z zahtevami iz mejnika 160.</w:t>
            </w:r>
          </w:p>
        </w:tc>
      </w:tr>
      <w:tr w:rsidR="00A70F67" w:rsidRPr="00DD6A04" w14:paraId="0DAFE244"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58C5C8A1"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162</w:t>
            </w:r>
          </w:p>
        </w:tc>
        <w:tc>
          <w:tcPr>
            <w:tcW w:w="1412" w:type="dxa"/>
            <w:tcBorders>
              <w:top w:val="nil"/>
              <w:left w:val="nil"/>
              <w:bottom w:val="single" w:sz="4" w:space="0" w:color="auto"/>
              <w:right w:val="single" w:sz="4" w:space="0" w:color="auto"/>
            </w:tcBorders>
            <w:shd w:val="clear" w:color="auto" w:fill="C6EFCE"/>
            <w:noWrap/>
          </w:tcPr>
          <w:p w14:paraId="36AEB0DD" w14:textId="2EEE4B03"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C: </w:t>
            </w:r>
            <w:r>
              <w:rPr>
                <w:noProof/>
                <w:color w:val="006100"/>
              </w:rPr>
              <w:t xml:space="preserve">Modernizacija srednjega poklicnega in strokovnega </w:t>
            </w:r>
            <w:r>
              <w:rPr>
                <w:noProof/>
                <w:color w:val="006100"/>
                <w:u w:val="single"/>
              </w:rPr>
              <w:t>izobraževanja vključno z vajeništvom</w:t>
            </w:r>
          </w:p>
        </w:tc>
        <w:tc>
          <w:tcPr>
            <w:tcW w:w="900" w:type="dxa"/>
            <w:tcBorders>
              <w:top w:val="nil"/>
              <w:left w:val="nil"/>
              <w:bottom w:val="single" w:sz="4" w:space="0" w:color="auto"/>
              <w:right w:val="single" w:sz="4" w:space="0" w:color="auto"/>
            </w:tcBorders>
            <w:shd w:val="clear" w:color="auto" w:fill="C6EFCE"/>
            <w:noWrap/>
          </w:tcPr>
          <w:p w14:paraId="66C3E91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nil"/>
              <w:left w:val="nil"/>
              <w:bottom w:val="single" w:sz="4" w:space="0" w:color="auto"/>
              <w:right w:val="single" w:sz="4" w:space="0" w:color="auto"/>
            </w:tcBorders>
            <w:shd w:val="clear" w:color="auto" w:fill="C6EFCE"/>
            <w:noWrap/>
          </w:tcPr>
          <w:p w14:paraId="04D2439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Posodobljeni programi poklicnega izobraževanja </w:t>
            </w:r>
          </w:p>
        </w:tc>
        <w:tc>
          <w:tcPr>
            <w:tcW w:w="1701" w:type="dxa"/>
            <w:tcBorders>
              <w:top w:val="nil"/>
              <w:left w:val="nil"/>
              <w:bottom w:val="single" w:sz="4" w:space="0" w:color="auto"/>
              <w:right w:val="single" w:sz="4" w:space="0" w:color="auto"/>
            </w:tcBorders>
            <w:shd w:val="clear" w:color="auto" w:fill="C6EFCE"/>
            <w:noWrap/>
          </w:tcPr>
          <w:p w14:paraId="1178CE95" w14:textId="77777777" w:rsidR="003C6015" w:rsidRPr="00DD6A04" w:rsidRDefault="003C6015" w:rsidP="003C6015">
            <w:pPr>
              <w:spacing w:line="240" w:lineRule="auto"/>
              <w:jc w:val="both"/>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6299D6D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nil"/>
              <w:left w:val="nil"/>
              <w:bottom w:val="single" w:sz="4" w:space="0" w:color="auto"/>
              <w:right w:val="single" w:sz="4" w:space="0" w:color="auto"/>
            </w:tcBorders>
            <w:shd w:val="clear" w:color="auto" w:fill="C6EFCE"/>
            <w:noWrap/>
          </w:tcPr>
          <w:p w14:paraId="42D4A09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850" w:type="dxa"/>
            <w:tcBorders>
              <w:top w:val="nil"/>
              <w:left w:val="nil"/>
              <w:bottom w:val="single" w:sz="4" w:space="0" w:color="auto"/>
              <w:right w:val="single" w:sz="4" w:space="0" w:color="auto"/>
            </w:tcBorders>
            <w:shd w:val="clear" w:color="auto" w:fill="C6EFCE"/>
            <w:noWrap/>
          </w:tcPr>
          <w:p w14:paraId="7222C06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41</w:t>
            </w:r>
          </w:p>
        </w:tc>
        <w:tc>
          <w:tcPr>
            <w:tcW w:w="709" w:type="dxa"/>
            <w:tcBorders>
              <w:top w:val="nil"/>
              <w:left w:val="nil"/>
              <w:bottom w:val="single" w:sz="4" w:space="0" w:color="auto"/>
              <w:right w:val="single" w:sz="4" w:space="0" w:color="auto"/>
            </w:tcBorders>
            <w:shd w:val="clear" w:color="auto" w:fill="C6EFCE"/>
            <w:noWrap/>
          </w:tcPr>
          <w:p w14:paraId="3A3C756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nil"/>
              <w:left w:val="nil"/>
              <w:bottom w:val="single" w:sz="4" w:space="0" w:color="auto"/>
              <w:right w:val="single" w:sz="4" w:space="0" w:color="auto"/>
            </w:tcBorders>
            <w:shd w:val="clear" w:color="auto" w:fill="C6EFCE"/>
            <w:noWrap/>
          </w:tcPr>
          <w:p w14:paraId="3C6FE02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890" w:type="dxa"/>
            <w:tcBorders>
              <w:top w:val="nil"/>
              <w:left w:val="nil"/>
              <w:bottom w:val="single" w:sz="4" w:space="0" w:color="auto"/>
              <w:right w:val="single" w:sz="4" w:space="0" w:color="auto"/>
            </w:tcBorders>
            <w:shd w:val="clear" w:color="auto" w:fill="C6EFCE"/>
            <w:noWrap/>
          </w:tcPr>
          <w:p w14:paraId="2AF82BAA" w14:textId="2DFB4C6F" w:rsidR="003C6015" w:rsidRPr="00DD6A04" w:rsidRDefault="003C6015" w:rsidP="003C6015">
            <w:pPr>
              <w:spacing w:before="0" w:after="0" w:line="256" w:lineRule="auto"/>
              <w:rPr>
                <w:rFonts w:eastAsia="Times New Roman"/>
                <w:noProof/>
                <w:color w:val="006100"/>
                <w:sz w:val="22"/>
              </w:rPr>
            </w:pPr>
            <w:r>
              <w:rPr>
                <w:noProof/>
                <w:color w:val="006100"/>
                <w:sz w:val="22"/>
              </w:rPr>
              <w:t>Cilj se nanaša na število učnih načrtov, ki jih je treba posodobiti, da bi se olajšal prehod na tehnološko napredno delovno okolje in bolje izkoristili odprti moduli učnih načrtov. Posodobljenih 16 višješolskih študijskih programov in 25 programov srednjega poklicnega izobraževanja. Posodobljene učne načrte bo odobrilo Ministrstvo za izobraževanje, znanost in šport.</w:t>
            </w:r>
          </w:p>
        </w:tc>
      </w:tr>
      <w:tr w:rsidR="00A70F67" w:rsidRPr="00DD6A04" w14:paraId="66D34A61"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2F880573"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163</w:t>
            </w:r>
          </w:p>
        </w:tc>
        <w:tc>
          <w:tcPr>
            <w:tcW w:w="1412" w:type="dxa"/>
            <w:tcBorders>
              <w:top w:val="nil"/>
              <w:left w:val="nil"/>
              <w:bottom w:val="single" w:sz="4" w:space="0" w:color="auto"/>
              <w:right w:val="single" w:sz="4" w:space="0" w:color="auto"/>
            </w:tcBorders>
            <w:shd w:val="clear" w:color="auto" w:fill="C6EFCE"/>
            <w:noWrap/>
          </w:tcPr>
          <w:p w14:paraId="1045CFD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G: Krepitev sodelovanja med izobraževalnim sistemom in trgom dela</w:t>
            </w:r>
          </w:p>
        </w:tc>
        <w:tc>
          <w:tcPr>
            <w:tcW w:w="900" w:type="dxa"/>
            <w:tcBorders>
              <w:top w:val="nil"/>
              <w:left w:val="nil"/>
              <w:bottom w:val="single" w:sz="4" w:space="0" w:color="auto"/>
              <w:right w:val="single" w:sz="4" w:space="0" w:color="auto"/>
            </w:tcBorders>
            <w:shd w:val="clear" w:color="auto" w:fill="C6EFCE"/>
            <w:noWrap/>
          </w:tcPr>
          <w:p w14:paraId="6143346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nil"/>
              <w:left w:val="nil"/>
              <w:bottom w:val="single" w:sz="4" w:space="0" w:color="auto"/>
              <w:right w:val="single" w:sz="4" w:space="0" w:color="auto"/>
            </w:tcBorders>
            <w:shd w:val="clear" w:color="auto" w:fill="C6EFCE"/>
            <w:noWrap/>
          </w:tcPr>
          <w:p w14:paraId="6A3D862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Mentorji v podjetjih, ki so uspešno opravili usposabljanje</w:t>
            </w:r>
          </w:p>
        </w:tc>
        <w:tc>
          <w:tcPr>
            <w:tcW w:w="1701" w:type="dxa"/>
            <w:tcBorders>
              <w:top w:val="nil"/>
              <w:left w:val="nil"/>
              <w:bottom w:val="single" w:sz="4" w:space="0" w:color="auto"/>
              <w:right w:val="single" w:sz="4" w:space="0" w:color="auto"/>
            </w:tcBorders>
            <w:shd w:val="clear" w:color="auto" w:fill="C6EFCE"/>
            <w:noWrap/>
          </w:tcPr>
          <w:p w14:paraId="5550EF0B" w14:textId="77777777" w:rsidR="003C6015" w:rsidRPr="00DD6A04" w:rsidRDefault="003C6015" w:rsidP="003C6015">
            <w:pPr>
              <w:spacing w:line="240" w:lineRule="auto"/>
              <w:jc w:val="both"/>
              <w:rPr>
                <w:rFonts w:eastAsia="Times New Roman"/>
                <w:noProof/>
                <w:color w:val="006100"/>
                <w:sz w:val="22"/>
              </w:rPr>
            </w:pPr>
            <w:r>
              <w:rPr>
                <w:noProof/>
                <w:color w:val="006100"/>
                <w:sz w:val="22"/>
              </w:rPr>
              <w:t> </w:t>
            </w:r>
          </w:p>
        </w:tc>
        <w:tc>
          <w:tcPr>
            <w:tcW w:w="993" w:type="dxa"/>
            <w:tcBorders>
              <w:top w:val="nil"/>
              <w:left w:val="nil"/>
              <w:bottom w:val="single" w:sz="4" w:space="0" w:color="auto"/>
              <w:right w:val="single" w:sz="4" w:space="0" w:color="auto"/>
            </w:tcBorders>
            <w:shd w:val="clear" w:color="auto" w:fill="C6EFCE"/>
            <w:noWrap/>
          </w:tcPr>
          <w:p w14:paraId="1CEF678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nil"/>
              <w:left w:val="nil"/>
              <w:bottom w:val="single" w:sz="4" w:space="0" w:color="auto"/>
              <w:right w:val="single" w:sz="4" w:space="0" w:color="auto"/>
            </w:tcBorders>
            <w:shd w:val="clear" w:color="auto" w:fill="C6EFCE"/>
            <w:noWrap/>
          </w:tcPr>
          <w:p w14:paraId="276309B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0</w:t>
            </w:r>
          </w:p>
        </w:tc>
        <w:tc>
          <w:tcPr>
            <w:tcW w:w="850" w:type="dxa"/>
            <w:tcBorders>
              <w:top w:val="nil"/>
              <w:left w:val="nil"/>
              <w:bottom w:val="single" w:sz="4" w:space="0" w:color="auto"/>
              <w:right w:val="single" w:sz="4" w:space="0" w:color="auto"/>
            </w:tcBorders>
            <w:shd w:val="clear" w:color="auto" w:fill="C6EFCE"/>
            <w:noWrap/>
          </w:tcPr>
          <w:p w14:paraId="1D78BEB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3900</w:t>
            </w:r>
          </w:p>
        </w:tc>
        <w:tc>
          <w:tcPr>
            <w:tcW w:w="709" w:type="dxa"/>
            <w:tcBorders>
              <w:top w:val="nil"/>
              <w:left w:val="nil"/>
              <w:bottom w:val="single" w:sz="4" w:space="0" w:color="auto"/>
              <w:right w:val="single" w:sz="4" w:space="0" w:color="auto"/>
            </w:tcBorders>
            <w:shd w:val="clear" w:color="auto" w:fill="C6EFCE"/>
            <w:noWrap/>
          </w:tcPr>
          <w:p w14:paraId="3C3981B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nil"/>
              <w:left w:val="nil"/>
              <w:bottom w:val="single" w:sz="4" w:space="0" w:color="auto"/>
              <w:right w:val="single" w:sz="4" w:space="0" w:color="auto"/>
            </w:tcBorders>
            <w:shd w:val="clear" w:color="auto" w:fill="C6EFCE"/>
            <w:noWrap/>
          </w:tcPr>
          <w:p w14:paraId="05333B4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890" w:type="dxa"/>
            <w:tcBorders>
              <w:top w:val="nil"/>
              <w:left w:val="nil"/>
              <w:bottom w:val="single" w:sz="4" w:space="0" w:color="auto"/>
              <w:right w:val="single" w:sz="4" w:space="0" w:color="auto"/>
            </w:tcBorders>
            <w:shd w:val="clear" w:color="auto" w:fill="C6EFCE"/>
            <w:noWrap/>
          </w:tcPr>
          <w:p w14:paraId="1974EF4D" w14:textId="517935B4"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Usposabljanja bodo osredotočena na znanja in spretnosti za načrtovanje in izvajanje praktičnega usposabljanja na delovnem mestu za vajence in dijake. Usposabljanja naj bi okrepila sodelovanje med šolami in delodajalci. </w:t>
            </w:r>
          </w:p>
          <w:p w14:paraId="360D29C6" w14:textId="77777777" w:rsidR="003C6015" w:rsidRPr="00DD6A04" w:rsidRDefault="003C6015" w:rsidP="003C6015">
            <w:pPr>
              <w:spacing w:before="0" w:after="0" w:line="256" w:lineRule="auto"/>
              <w:rPr>
                <w:rFonts w:eastAsia="Times New Roman"/>
                <w:noProof/>
                <w:color w:val="006100"/>
                <w:sz w:val="22"/>
                <w:lang w:val="en-GB" w:eastAsia="en-GB"/>
              </w:rPr>
            </w:pPr>
          </w:p>
          <w:p w14:paraId="320871BD" w14:textId="77777777" w:rsidR="003C6015" w:rsidRPr="00DD6A04" w:rsidRDefault="003C6015" w:rsidP="003C6015">
            <w:pPr>
              <w:spacing w:before="0" w:after="0" w:line="256" w:lineRule="auto"/>
              <w:rPr>
                <w:rFonts w:eastAsia="Times New Roman"/>
                <w:noProof/>
                <w:color w:val="006100"/>
                <w:sz w:val="22"/>
                <w:lang w:val="en-GB" w:eastAsia="en-GB"/>
              </w:rPr>
            </w:pPr>
          </w:p>
          <w:p w14:paraId="09002D37"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A70F67" w:rsidRPr="00DD6A04" w14:paraId="1143E965" w14:textId="77777777" w:rsidTr="00A70F67">
        <w:trPr>
          <w:trHeight w:val="309"/>
          <w:jc w:val="center"/>
        </w:trPr>
        <w:tc>
          <w:tcPr>
            <w:tcW w:w="1467" w:type="dxa"/>
            <w:tcBorders>
              <w:top w:val="single" w:sz="4" w:space="0" w:color="auto"/>
              <w:left w:val="single" w:sz="4" w:space="0" w:color="auto"/>
              <w:bottom w:val="single" w:sz="4" w:space="0" w:color="auto"/>
              <w:right w:val="single" w:sz="4" w:space="0" w:color="auto"/>
            </w:tcBorders>
            <w:shd w:val="clear" w:color="auto" w:fill="C6EFCE"/>
            <w:noWrap/>
          </w:tcPr>
          <w:p w14:paraId="52D95C4E" w14:textId="0802F967" w:rsidR="003C6015" w:rsidRPr="00DD6A04" w:rsidRDefault="003C6015" w:rsidP="00A144BE">
            <w:pPr>
              <w:spacing w:before="0" w:after="0" w:line="256" w:lineRule="auto"/>
              <w:rPr>
                <w:rFonts w:eastAsia="Times New Roman"/>
                <w:noProof/>
                <w:color w:val="006100"/>
                <w:sz w:val="22"/>
              </w:rPr>
            </w:pPr>
            <w:r>
              <w:rPr>
                <w:noProof/>
                <w:color w:val="006100"/>
                <w:sz w:val="22"/>
              </w:rPr>
              <w:t>164</w:t>
            </w:r>
          </w:p>
        </w:tc>
        <w:tc>
          <w:tcPr>
            <w:tcW w:w="1412" w:type="dxa"/>
            <w:tcBorders>
              <w:top w:val="single" w:sz="4" w:space="0" w:color="auto"/>
              <w:left w:val="nil"/>
              <w:bottom w:val="single" w:sz="4" w:space="0" w:color="auto"/>
              <w:right w:val="single" w:sz="4" w:space="0" w:color="auto"/>
            </w:tcBorders>
            <w:shd w:val="clear" w:color="auto" w:fill="C6EFCE"/>
            <w:noWrap/>
          </w:tcPr>
          <w:p w14:paraId="77B6F9D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H: Ozelenitev izobraževalne infrastrukture v Sloveniji</w:t>
            </w:r>
          </w:p>
        </w:tc>
        <w:tc>
          <w:tcPr>
            <w:tcW w:w="900" w:type="dxa"/>
            <w:tcBorders>
              <w:top w:val="single" w:sz="4" w:space="0" w:color="auto"/>
              <w:left w:val="nil"/>
              <w:bottom w:val="single" w:sz="4" w:space="0" w:color="auto"/>
              <w:right w:val="single" w:sz="4" w:space="0" w:color="auto"/>
            </w:tcBorders>
            <w:shd w:val="clear" w:color="auto" w:fill="C6EFCE"/>
            <w:noWrap/>
          </w:tcPr>
          <w:p w14:paraId="419BC7A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842" w:type="dxa"/>
            <w:tcBorders>
              <w:top w:val="single" w:sz="4" w:space="0" w:color="auto"/>
              <w:left w:val="nil"/>
              <w:bottom w:val="single" w:sz="4" w:space="0" w:color="auto"/>
              <w:right w:val="single" w:sz="4" w:space="0" w:color="auto"/>
            </w:tcBorders>
            <w:shd w:val="clear" w:color="auto" w:fill="C6EFCE"/>
            <w:noWrap/>
          </w:tcPr>
          <w:p w14:paraId="104853ED" w14:textId="1CB0147F" w:rsidR="003C6015" w:rsidRPr="00DD6A04" w:rsidRDefault="003C6015" w:rsidP="003C6015">
            <w:pPr>
              <w:spacing w:before="0" w:after="0" w:line="256" w:lineRule="auto"/>
              <w:rPr>
                <w:rFonts w:eastAsia="Times New Roman"/>
                <w:noProof/>
                <w:color w:val="006100"/>
                <w:sz w:val="22"/>
              </w:rPr>
            </w:pPr>
            <w:r>
              <w:rPr>
                <w:noProof/>
                <w:color w:val="006100"/>
                <w:sz w:val="22"/>
              </w:rPr>
              <w:t>Dokončan izbor naložbenih projektov za ozelenitev izobraževalne infrastrukture</w:t>
            </w:r>
          </w:p>
        </w:tc>
        <w:tc>
          <w:tcPr>
            <w:tcW w:w="1701" w:type="dxa"/>
            <w:tcBorders>
              <w:top w:val="single" w:sz="4" w:space="0" w:color="auto"/>
              <w:left w:val="nil"/>
              <w:bottom w:val="single" w:sz="4" w:space="0" w:color="auto"/>
              <w:right w:val="single" w:sz="4" w:space="0" w:color="auto"/>
            </w:tcBorders>
            <w:shd w:val="clear" w:color="auto" w:fill="C6EFCE"/>
            <w:noWrap/>
          </w:tcPr>
          <w:p w14:paraId="41C86C49" w14:textId="2A0EFB45" w:rsidR="003C6015" w:rsidRPr="00DD6A04" w:rsidRDefault="003C6015" w:rsidP="00B3122C">
            <w:pPr>
              <w:spacing w:line="240" w:lineRule="auto"/>
              <w:rPr>
                <w:rFonts w:eastAsia="Times New Roman"/>
                <w:noProof/>
                <w:color w:val="006100"/>
                <w:sz w:val="22"/>
              </w:rPr>
            </w:pPr>
            <w:r>
              <w:rPr>
                <w:noProof/>
                <w:color w:val="006100"/>
                <w:sz w:val="22"/>
              </w:rPr>
              <w:t>Podpis pogodbe</w:t>
            </w:r>
          </w:p>
        </w:tc>
        <w:tc>
          <w:tcPr>
            <w:tcW w:w="993" w:type="dxa"/>
            <w:tcBorders>
              <w:top w:val="single" w:sz="4" w:space="0" w:color="auto"/>
              <w:left w:val="nil"/>
              <w:bottom w:val="single" w:sz="4" w:space="0" w:color="auto"/>
              <w:right w:val="single" w:sz="4" w:space="0" w:color="auto"/>
            </w:tcBorders>
            <w:shd w:val="clear" w:color="auto" w:fill="C6EFCE"/>
            <w:noWrap/>
          </w:tcPr>
          <w:p w14:paraId="40EF076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2CFC074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50" w:type="dxa"/>
            <w:tcBorders>
              <w:top w:val="single" w:sz="4" w:space="0" w:color="auto"/>
              <w:left w:val="nil"/>
              <w:bottom w:val="single" w:sz="4" w:space="0" w:color="auto"/>
              <w:right w:val="single" w:sz="4" w:space="0" w:color="auto"/>
            </w:tcBorders>
            <w:shd w:val="clear" w:color="auto" w:fill="C6EFCE"/>
            <w:noWrap/>
          </w:tcPr>
          <w:p w14:paraId="5BB0419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709" w:type="dxa"/>
            <w:tcBorders>
              <w:top w:val="single" w:sz="4" w:space="0" w:color="auto"/>
              <w:left w:val="nil"/>
              <w:bottom w:val="single" w:sz="4" w:space="0" w:color="auto"/>
              <w:right w:val="single" w:sz="4" w:space="0" w:color="auto"/>
            </w:tcBorders>
            <w:shd w:val="clear" w:color="auto" w:fill="C6EFCE"/>
            <w:noWrap/>
          </w:tcPr>
          <w:p w14:paraId="13D09E3D"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single" w:sz="4" w:space="0" w:color="auto"/>
              <w:left w:val="nil"/>
              <w:bottom w:val="single" w:sz="4" w:space="0" w:color="auto"/>
              <w:right w:val="single" w:sz="4" w:space="0" w:color="auto"/>
            </w:tcBorders>
            <w:shd w:val="clear" w:color="auto" w:fill="C6EFCE"/>
            <w:noWrap/>
          </w:tcPr>
          <w:p w14:paraId="45534AF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2023</w:t>
            </w:r>
          </w:p>
        </w:tc>
        <w:tc>
          <w:tcPr>
            <w:tcW w:w="3890" w:type="dxa"/>
            <w:tcBorders>
              <w:top w:val="single" w:sz="4" w:space="0" w:color="auto"/>
              <w:left w:val="nil"/>
              <w:bottom w:val="single" w:sz="4" w:space="0" w:color="auto"/>
              <w:right w:val="single" w:sz="4" w:space="0" w:color="auto"/>
            </w:tcBorders>
            <w:shd w:val="clear" w:color="auto" w:fill="C6EFCE"/>
            <w:noWrap/>
          </w:tcPr>
          <w:p w14:paraId="277010DE" w14:textId="64AEEE09" w:rsidR="003C6015" w:rsidRPr="00DD6A04" w:rsidRDefault="003C6015" w:rsidP="6B3B27EA">
            <w:pPr>
              <w:spacing w:before="0" w:after="0" w:line="256" w:lineRule="auto"/>
              <w:rPr>
                <w:rFonts w:eastAsia="Times New Roman"/>
                <w:noProof/>
                <w:color w:val="006100"/>
                <w:sz w:val="22"/>
              </w:rPr>
            </w:pPr>
            <w:r>
              <w:rPr>
                <w:noProof/>
                <w:color w:val="006100"/>
                <w:sz w:val="22"/>
              </w:rPr>
              <w:t>Ministrstvo za izobraževanje, znanost in šport bo podpisalo pogodbo za sofinanciranje infrastrukturnega projekta v skladu s Strategijo za ozelenitev izobraževalne in raziskovalne infrastrukture. Pogodba bo zagotovila, da bo potreba novogradnje po primarni energiji vsaj 20 % nižja od zahteve za skoraj nič-energijske stavbe.</w:t>
            </w:r>
          </w:p>
        </w:tc>
      </w:tr>
      <w:tr w:rsidR="00A70F67" w:rsidRPr="00DD6A04" w14:paraId="4A94923D" w14:textId="77777777" w:rsidTr="00A70F67">
        <w:trPr>
          <w:trHeight w:val="309"/>
          <w:jc w:val="center"/>
        </w:trPr>
        <w:tc>
          <w:tcPr>
            <w:tcW w:w="1467" w:type="dxa"/>
            <w:tcBorders>
              <w:top w:val="nil"/>
              <w:left w:val="single" w:sz="4" w:space="0" w:color="auto"/>
              <w:bottom w:val="single" w:sz="4" w:space="0" w:color="auto"/>
              <w:right w:val="single" w:sz="4" w:space="0" w:color="auto"/>
            </w:tcBorders>
            <w:shd w:val="clear" w:color="auto" w:fill="C6EFCE"/>
            <w:noWrap/>
          </w:tcPr>
          <w:p w14:paraId="79432119"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166</w:t>
            </w:r>
          </w:p>
        </w:tc>
        <w:tc>
          <w:tcPr>
            <w:tcW w:w="1412" w:type="dxa"/>
            <w:tcBorders>
              <w:top w:val="nil"/>
              <w:left w:val="nil"/>
              <w:bottom w:val="single" w:sz="4" w:space="0" w:color="auto"/>
              <w:right w:val="single" w:sz="4" w:space="0" w:color="auto"/>
            </w:tcBorders>
            <w:shd w:val="clear" w:color="auto" w:fill="C6EFCE"/>
            <w:noWrap/>
          </w:tcPr>
          <w:p w14:paraId="1F59A3B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H: Ozelenitev izobraževalne infrastrukture v Sloveniji</w:t>
            </w:r>
          </w:p>
        </w:tc>
        <w:tc>
          <w:tcPr>
            <w:tcW w:w="900" w:type="dxa"/>
            <w:tcBorders>
              <w:top w:val="nil"/>
              <w:left w:val="nil"/>
              <w:bottom w:val="single" w:sz="4" w:space="0" w:color="auto"/>
              <w:right w:val="single" w:sz="4" w:space="0" w:color="auto"/>
            </w:tcBorders>
            <w:shd w:val="clear" w:color="auto" w:fill="C6EFCE"/>
            <w:noWrap/>
          </w:tcPr>
          <w:p w14:paraId="4CEA38A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842" w:type="dxa"/>
            <w:tcBorders>
              <w:top w:val="nil"/>
              <w:left w:val="nil"/>
              <w:bottom w:val="single" w:sz="4" w:space="0" w:color="auto"/>
              <w:right w:val="single" w:sz="4" w:space="0" w:color="auto"/>
            </w:tcBorders>
            <w:shd w:val="clear" w:color="auto" w:fill="C6EFCE"/>
            <w:noWrap/>
          </w:tcPr>
          <w:p w14:paraId="508D7AEC" w14:textId="25EEC881"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Površina nove izobraževalne ustanove </w:t>
            </w:r>
          </w:p>
        </w:tc>
        <w:tc>
          <w:tcPr>
            <w:tcW w:w="1701" w:type="dxa"/>
            <w:tcBorders>
              <w:top w:val="nil"/>
              <w:left w:val="nil"/>
              <w:bottom w:val="single" w:sz="4" w:space="0" w:color="auto"/>
              <w:right w:val="single" w:sz="4" w:space="0" w:color="auto"/>
            </w:tcBorders>
            <w:shd w:val="clear" w:color="auto" w:fill="C6EFCE"/>
            <w:noWrap/>
          </w:tcPr>
          <w:p w14:paraId="5EB19868" w14:textId="77777777" w:rsidR="003C6015" w:rsidRPr="00DD6A04" w:rsidRDefault="003C6015" w:rsidP="003C6015">
            <w:pPr>
              <w:spacing w:line="240" w:lineRule="auto"/>
              <w:jc w:val="both"/>
              <w:rPr>
                <w:rFonts w:eastAsia="Times New Roman"/>
                <w:noProof/>
                <w:color w:val="006100"/>
                <w:sz w:val="22"/>
                <w:lang w:val="en-GB" w:eastAsia="en-GB"/>
              </w:rPr>
            </w:pPr>
          </w:p>
        </w:tc>
        <w:tc>
          <w:tcPr>
            <w:tcW w:w="993" w:type="dxa"/>
            <w:tcBorders>
              <w:top w:val="nil"/>
              <w:left w:val="nil"/>
              <w:bottom w:val="single" w:sz="4" w:space="0" w:color="auto"/>
              <w:right w:val="single" w:sz="4" w:space="0" w:color="auto"/>
            </w:tcBorders>
            <w:shd w:val="clear" w:color="auto" w:fill="C6EFCE"/>
            <w:noWrap/>
          </w:tcPr>
          <w:p w14:paraId="5E30C47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 (m²)</w:t>
            </w:r>
          </w:p>
        </w:tc>
        <w:tc>
          <w:tcPr>
            <w:tcW w:w="992" w:type="dxa"/>
            <w:tcBorders>
              <w:top w:val="nil"/>
              <w:left w:val="nil"/>
              <w:bottom w:val="single" w:sz="4" w:space="0" w:color="auto"/>
              <w:right w:val="single" w:sz="4" w:space="0" w:color="auto"/>
            </w:tcBorders>
            <w:shd w:val="clear" w:color="auto" w:fill="C6EFCE"/>
            <w:noWrap/>
          </w:tcPr>
          <w:p w14:paraId="0FEDFEA5" w14:textId="548ED2A8" w:rsidR="003C6015" w:rsidRPr="00DD6A04" w:rsidRDefault="776C25F5" w:rsidP="003C6015">
            <w:pPr>
              <w:spacing w:before="0" w:after="0" w:line="256" w:lineRule="auto"/>
              <w:rPr>
                <w:rFonts w:eastAsia="Times New Roman"/>
                <w:noProof/>
                <w:color w:val="006100"/>
                <w:sz w:val="22"/>
              </w:rPr>
            </w:pPr>
            <w:r>
              <w:rPr>
                <w:noProof/>
                <w:color w:val="006100"/>
                <w:sz w:val="22"/>
              </w:rPr>
              <w:t>0</w:t>
            </w:r>
          </w:p>
        </w:tc>
        <w:tc>
          <w:tcPr>
            <w:tcW w:w="850" w:type="dxa"/>
            <w:tcBorders>
              <w:top w:val="nil"/>
              <w:left w:val="nil"/>
              <w:bottom w:val="single" w:sz="4" w:space="0" w:color="auto"/>
              <w:right w:val="single" w:sz="4" w:space="0" w:color="auto"/>
            </w:tcBorders>
            <w:shd w:val="clear" w:color="auto" w:fill="C6EFCE"/>
            <w:noWrap/>
          </w:tcPr>
          <w:p w14:paraId="384ECB9F" w14:textId="0634500D" w:rsidR="003C6015" w:rsidRPr="00DD6A04" w:rsidRDefault="16E70B09" w:rsidP="6B3B27EA">
            <w:pPr>
              <w:spacing w:before="0" w:after="0" w:line="256" w:lineRule="auto"/>
              <w:rPr>
                <w:rFonts w:eastAsia="Times New Roman"/>
                <w:noProof/>
                <w:color w:val="006100"/>
                <w:sz w:val="22"/>
              </w:rPr>
            </w:pPr>
            <w:r>
              <w:rPr>
                <w:noProof/>
                <w:color w:val="006100"/>
                <w:sz w:val="22"/>
              </w:rPr>
              <w:t>19274</w:t>
            </w:r>
          </w:p>
        </w:tc>
        <w:tc>
          <w:tcPr>
            <w:tcW w:w="709" w:type="dxa"/>
            <w:tcBorders>
              <w:top w:val="nil"/>
              <w:left w:val="nil"/>
              <w:bottom w:val="single" w:sz="4" w:space="0" w:color="auto"/>
              <w:right w:val="single" w:sz="4" w:space="0" w:color="auto"/>
            </w:tcBorders>
            <w:shd w:val="clear" w:color="auto" w:fill="C6EFCE"/>
            <w:noWrap/>
          </w:tcPr>
          <w:p w14:paraId="41E657C5"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51" w:type="dxa"/>
            <w:tcBorders>
              <w:top w:val="nil"/>
              <w:left w:val="nil"/>
              <w:bottom w:val="single" w:sz="4" w:space="0" w:color="auto"/>
              <w:right w:val="single" w:sz="4" w:space="0" w:color="auto"/>
            </w:tcBorders>
            <w:shd w:val="clear" w:color="auto" w:fill="C6EFCE"/>
            <w:noWrap/>
          </w:tcPr>
          <w:p w14:paraId="3CC20592"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890" w:type="dxa"/>
            <w:tcBorders>
              <w:top w:val="nil"/>
              <w:left w:val="nil"/>
              <w:bottom w:val="single" w:sz="4" w:space="0" w:color="auto"/>
              <w:right w:val="single" w:sz="4" w:space="0" w:color="auto"/>
            </w:tcBorders>
            <w:shd w:val="clear" w:color="auto" w:fill="C6EFCE"/>
            <w:noWrap/>
          </w:tcPr>
          <w:p w14:paraId="7A5C862E" w14:textId="48F7222B" w:rsidR="003C6015" w:rsidRPr="00DD6A04" w:rsidRDefault="003C6015" w:rsidP="003C6015">
            <w:pPr>
              <w:spacing w:before="0" w:after="0" w:line="256" w:lineRule="auto"/>
              <w:rPr>
                <w:rFonts w:eastAsia="Times New Roman"/>
                <w:noProof/>
                <w:color w:val="006100"/>
                <w:sz w:val="22"/>
              </w:rPr>
            </w:pPr>
            <w:r>
              <w:rPr>
                <w:noProof/>
                <w:color w:val="006100"/>
                <w:sz w:val="22"/>
              </w:rPr>
              <w:t>Dokončana gradnja in začetek delovanja nove izobraževalne ustanove v skladu z zahtevami iz mejnika 164.</w:t>
            </w:r>
          </w:p>
        </w:tc>
      </w:tr>
    </w:tbl>
    <w:p w14:paraId="40BB0DFE"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26"/>
        </w:sectPr>
      </w:pPr>
    </w:p>
    <w:p w14:paraId="6314AF53" w14:textId="77777777" w:rsidR="003C6015" w:rsidRPr="00DD6A04" w:rsidRDefault="003C6015" w:rsidP="003C6015">
      <w:pPr>
        <w:spacing w:line="240" w:lineRule="auto"/>
        <w:jc w:val="both"/>
        <w:rPr>
          <w:b/>
          <w:i/>
          <w:noProof/>
          <w:color w:val="4F81BD"/>
        </w:rPr>
      </w:pPr>
      <w:r>
        <w:rPr>
          <w:b/>
          <w:noProof/>
        </w:rPr>
        <w:t xml:space="preserve">L.3 </w:t>
      </w:r>
      <w:r>
        <w:rPr>
          <w:b/>
          <w:noProof/>
        </w:rPr>
        <w:tab/>
        <w:t xml:space="preserve">Opis reform in naložb za pridobitev posojila </w:t>
      </w:r>
    </w:p>
    <w:p w14:paraId="2B96EC21" w14:textId="77777777" w:rsidR="003C6015" w:rsidRPr="00DD6A04" w:rsidRDefault="003C6015" w:rsidP="003C6015">
      <w:pPr>
        <w:spacing w:line="240" w:lineRule="auto"/>
        <w:jc w:val="both"/>
        <w:rPr>
          <w:noProof/>
        </w:rPr>
      </w:pPr>
      <w:r>
        <w:rPr>
          <w:noProof/>
          <w:u w:val="single"/>
        </w:rPr>
        <w:t>Reforma D. Strategija za ozelenitev izobraževalne in raziskovalne infrastrukture v Sloveniji</w:t>
      </w:r>
    </w:p>
    <w:p w14:paraId="57ED73D2" w14:textId="77777777" w:rsidR="003C6015" w:rsidRPr="00DD6A04" w:rsidRDefault="003C6015" w:rsidP="003C6015">
      <w:pPr>
        <w:spacing w:line="240" w:lineRule="auto"/>
        <w:jc w:val="both"/>
        <w:rPr>
          <w:noProof/>
        </w:rPr>
      </w:pPr>
      <w:r>
        <w:rPr>
          <w:noProof/>
        </w:rPr>
        <w:t xml:space="preserve">Cilj reforme je nadgraditi izobraževalno in raziskovalno infrastrukturo v Sloveniji za potrebe sodobnih izobraževalnih in raziskovalnih procesov, vključno z oblikovanjem prožnih prostorov, ki omogočajo sodobne pristope k prenosu znanja, kot so participativno in sodelovalno učenje ter celostni institucionalni pristop k izvajanju izobraževanja za trajnostni razvoj. </w:t>
      </w:r>
    </w:p>
    <w:p w14:paraId="4B812438" w14:textId="77777777" w:rsidR="003C6015" w:rsidRPr="00DD6A04" w:rsidRDefault="003C6015" w:rsidP="003C6015">
      <w:pPr>
        <w:spacing w:line="240" w:lineRule="auto"/>
        <w:jc w:val="both"/>
        <w:rPr>
          <w:noProof/>
        </w:rPr>
      </w:pPr>
      <w:r>
        <w:rPr>
          <w:noProof/>
        </w:rPr>
        <w:t>Reforma vključuje sprejetje strategije za energetsko učinkovit in razvojno naravnan sistem vlaganja v izobraževalno in raziskovalno infrastrukturo do leta 2030. V strategiji bodo opredeljene zlasti prednostne naloge za investicije v okolju prijaznejše izobraževalne in raziskovalne zmogljivosti. Strategijo za ozelenitev izobraževalne in raziskovalne infrastrukture bo sprejela Vlada Republike Slovenije.</w:t>
      </w:r>
    </w:p>
    <w:p w14:paraId="34574585" w14:textId="77777777" w:rsidR="003C6015" w:rsidRPr="00DD6A04" w:rsidRDefault="003C6015" w:rsidP="003C6015">
      <w:pPr>
        <w:spacing w:line="240" w:lineRule="auto"/>
        <w:jc w:val="both"/>
        <w:rPr>
          <w:noProof/>
        </w:rPr>
      </w:pPr>
      <w:r>
        <w:rPr>
          <w:noProof/>
        </w:rPr>
        <w:t>Mejnik v zvezi z izvedbo reforme bo dosežen do 31. decembra 2022.</w:t>
      </w:r>
    </w:p>
    <w:p w14:paraId="1312DC9B" w14:textId="286E456F" w:rsidR="003C6015" w:rsidRPr="00DD6A04" w:rsidRDefault="003C6015" w:rsidP="001D23D2">
      <w:pPr>
        <w:spacing w:line="240" w:lineRule="auto"/>
        <w:jc w:val="both"/>
        <w:rPr>
          <w:noProof/>
        </w:rPr>
      </w:pPr>
      <w:r>
        <w:rPr>
          <w:noProof/>
          <w:u w:val="single"/>
        </w:rPr>
        <w:t>Investicija H. Nadaljnja ozelenitev izobraževalne infrastrukture v Sloveniji</w:t>
      </w:r>
    </w:p>
    <w:p w14:paraId="55A5DF41" w14:textId="77777777" w:rsidR="003C6015" w:rsidRPr="00DD6A04" w:rsidRDefault="003C6015" w:rsidP="003C6015">
      <w:pPr>
        <w:spacing w:line="240" w:lineRule="auto"/>
        <w:jc w:val="both"/>
        <w:rPr>
          <w:noProof/>
        </w:rPr>
      </w:pPr>
      <w:r>
        <w:rPr>
          <w:noProof/>
        </w:rPr>
        <w:t>Cilj investicije je prispevati k nadaljnjemu zagotavljanju trajnostne in okolju prijazne izobraževalne infrastrukture.</w:t>
      </w:r>
    </w:p>
    <w:p w14:paraId="57729C40" w14:textId="4BE695BA" w:rsidR="003C6015" w:rsidRPr="00DD6A04" w:rsidRDefault="003C6015" w:rsidP="003C6015">
      <w:pPr>
        <w:spacing w:line="240" w:lineRule="auto"/>
        <w:jc w:val="both"/>
        <w:rPr>
          <w:noProof/>
        </w:rPr>
      </w:pPr>
      <w:r>
        <w:rPr>
          <w:noProof/>
        </w:rPr>
        <w:t>Investicija vključuje nadaljnjo izgradnjo ali prenovo osmih izobraževalnih ustanov v skladu s ciljem izgradnje energetsko visoko učinkovitih stavb s potrebo po primarni energiji, ki je vsaj 20 % nižja od zahteve za skoraj nič-energijsko stavbo.</w:t>
      </w:r>
    </w:p>
    <w:p w14:paraId="62E122B5" w14:textId="680ACCB2" w:rsidR="0036078D" w:rsidRPr="00DD6A04" w:rsidRDefault="003C6015" w:rsidP="003C6015">
      <w:pPr>
        <w:spacing w:line="240" w:lineRule="auto"/>
        <w:rPr>
          <w:noProof/>
        </w:rPr>
      </w:pPr>
      <w:r>
        <w:rPr>
          <w:noProof/>
        </w:rPr>
        <w:t>Investicija bo dokončana do 30. junija 2026.</w:t>
      </w:r>
    </w:p>
    <w:p w14:paraId="14DDAC33" w14:textId="3AEF4652" w:rsidR="0036078D" w:rsidRPr="00DD6A04" w:rsidRDefault="0036078D" w:rsidP="0036078D">
      <w:pPr>
        <w:rPr>
          <w:noProof/>
          <w:lang w:val="en-GB"/>
        </w:rPr>
      </w:pPr>
    </w:p>
    <w:p w14:paraId="086988A4" w14:textId="77777777" w:rsidR="003C6015" w:rsidRPr="00DD6A04" w:rsidRDefault="003C6015" w:rsidP="0036078D">
      <w:pPr>
        <w:rPr>
          <w:noProof/>
          <w:lang w:val="en-GB"/>
        </w:rPr>
        <w:sectPr w:rsidR="003C6015" w:rsidRPr="00DD6A04" w:rsidSect="00073927">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26"/>
        </w:sectPr>
      </w:pPr>
    </w:p>
    <w:p w14:paraId="71FD6353" w14:textId="77777777" w:rsidR="003C6015" w:rsidRPr="00DD6A04" w:rsidRDefault="003C6015" w:rsidP="003C6015">
      <w:pPr>
        <w:spacing w:line="240" w:lineRule="auto"/>
        <w:ind w:left="850"/>
        <w:jc w:val="both"/>
        <w:rPr>
          <w:b/>
          <w:noProof/>
          <w:u w:val="single"/>
        </w:rPr>
      </w:pPr>
      <w:r>
        <w:rPr>
          <w:b/>
          <w:noProof/>
          <w:u w:val="single"/>
        </w:rPr>
        <w:t xml:space="preserve">L.4 </w:t>
      </w:r>
      <w:r>
        <w:rPr>
          <w:b/>
          <w:noProof/>
          <w:u w:val="single"/>
        </w:rPr>
        <w:tab/>
        <w:t xml:space="preserve">Mejniki, cilji, kazalniki in časovni razpored za spremljanje in izvajanje posojila </w:t>
      </w:r>
    </w:p>
    <w:tbl>
      <w:tblPr>
        <w:tblW w:w="15705" w:type="dxa"/>
        <w:jc w:val="center"/>
        <w:tblLayout w:type="fixed"/>
        <w:tblCellMar>
          <w:left w:w="57" w:type="dxa"/>
          <w:right w:w="57" w:type="dxa"/>
        </w:tblCellMar>
        <w:tblLook w:val="04A0" w:firstRow="1" w:lastRow="0" w:firstColumn="1" w:lastColumn="0" w:noHBand="0" w:noVBand="1"/>
      </w:tblPr>
      <w:tblGrid>
        <w:gridCol w:w="1280"/>
        <w:gridCol w:w="1418"/>
        <w:gridCol w:w="988"/>
        <w:gridCol w:w="1925"/>
        <w:gridCol w:w="1973"/>
        <w:gridCol w:w="993"/>
        <w:gridCol w:w="992"/>
        <w:gridCol w:w="763"/>
        <w:gridCol w:w="725"/>
        <w:gridCol w:w="709"/>
        <w:gridCol w:w="3939"/>
      </w:tblGrid>
      <w:tr w:rsidR="003C6015" w:rsidRPr="00DD6A04" w14:paraId="4C4821BB" w14:textId="77777777" w:rsidTr="00A70F67">
        <w:trPr>
          <w:trHeight w:val="699"/>
          <w:tblHeader/>
          <w:jc w:val="center"/>
        </w:trPr>
        <w:tc>
          <w:tcPr>
            <w:tcW w:w="12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0D864BC" w14:textId="77777777" w:rsidR="003C6015" w:rsidRPr="00DD6A04" w:rsidRDefault="003C6015" w:rsidP="003C6015">
            <w:pPr>
              <w:spacing w:before="0" w:after="0" w:line="256" w:lineRule="auto"/>
              <w:jc w:val="center"/>
              <w:rPr>
                <w:rFonts w:eastAsia="Times New Roman"/>
                <w:b/>
                <w:noProof/>
              </w:rPr>
            </w:pPr>
            <w:r>
              <w:rPr>
                <w:b/>
                <w:noProof/>
              </w:rPr>
              <w:t>Zaporedna številka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9D4442" w14:textId="77777777" w:rsidR="003C6015" w:rsidRPr="00DD6A04" w:rsidRDefault="003C6015" w:rsidP="003C6015">
            <w:pPr>
              <w:spacing w:before="0" w:after="0" w:line="256" w:lineRule="auto"/>
              <w:jc w:val="center"/>
              <w:rPr>
                <w:rFonts w:eastAsia="Times New Roman"/>
                <w:b/>
                <w:noProof/>
              </w:rPr>
            </w:pPr>
            <w:r>
              <w:rPr>
                <w:b/>
                <w:noProof/>
              </w:rPr>
              <w:t>Povezani ukrep (reforma ali naložba)</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506827" w14:textId="77777777" w:rsidR="003C6015" w:rsidRPr="00DD6A04" w:rsidRDefault="003C6015" w:rsidP="003C6015">
            <w:pPr>
              <w:spacing w:before="0" w:after="0" w:line="256" w:lineRule="auto"/>
              <w:jc w:val="center"/>
              <w:rPr>
                <w:rFonts w:eastAsia="Times New Roman"/>
                <w:b/>
                <w:noProof/>
              </w:rPr>
            </w:pPr>
            <w:r>
              <w:rPr>
                <w:b/>
                <w:noProof/>
              </w:rPr>
              <w:t>Mejnik/cilj</w:t>
            </w:r>
          </w:p>
        </w:tc>
        <w:tc>
          <w:tcPr>
            <w:tcW w:w="1925" w:type="dxa"/>
            <w:vMerge w:val="restart"/>
            <w:tcBorders>
              <w:top w:val="single" w:sz="4" w:space="0" w:color="auto"/>
              <w:left w:val="nil"/>
              <w:bottom w:val="single" w:sz="4" w:space="0" w:color="auto"/>
              <w:right w:val="single" w:sz="4" w:space="0" w:color="auto"/>
            </w:tcBorders>
            <w:shd w:val="clear" w:color="auto" w:fill="BDD7EE"/>
            <w:vAlign w:val="center"/>
            <w:hideMark/>
          </w:tcPr>
          <w:p w14:paraId="0BB86149" w14:textId="77777777" w:rsidR="003C6015" w:rsidRPr="00DD6A04" w:rsidRDefault="003C6015" w:rsidP="003C6015">
            <w:pPr>
              <w:spacing w:before="0" w:after="0" w:line="256" w:lineRule="auto"/>
              <w:jc w:val="center"/>
              <w:rPr>
                <w:rFonts w:eastAsia="Times New Roman"/>
                <w:b/>
                <w:noProof/>
              </w:rPr>
            </w:pPr>
            <w:r>
              <w:rPr>
                <w:b/>
                <w:noProof/>
              </w:rPr>
              <w:t>Ime</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78DB14" w14:textId="15FDAFF2" w:rsidR="003C6015" w:rsidRPr="00DD6A04" w:rsidRDefault="003C6015" w:rsidP="003C6015">
            <w:pPr>
              <w:spacing w:before="0" w:after="0" w:line="256" w:lineRule="auto"/>
              <w:jc w:val="center"/>
              <w:rPr>
                <w:rFonts w:eastAsia="Times New Roman"/>
                <w:b/>
                <w:noProof/>
              </w:rPr>
            </w:pPr>
            <w:r>
              <w:rPr>
                <w:b/>
                <w:noProof/>
              </w:rPr>
              <w:t>Kvalitativni kazalniki</w:t>
            </w:r>
            <w:r>
              <w:rPr>
                <w:noProof/>
              </w:rPr>
              <w:t xml:space="preserve"> </w:t>
            </w:r>
            <w:r>
              <w:rPr>
                <w:b/>
                <w:noProof/>
              </w:rPr>
              <w:t>(za mejnike)</w:t>
            </w:r>
          </w:p>
        </w:tc>
        <w:tc>
          <w:tcPr>
            <w:tcW w:w="2748" w:type="dxa"/>
            <w:gridSpan w:val="3"/>
            <w:tcBorders>
              <w:top w:val="single" w:sz="4" w:space="0" w:color="auto"/>
              <w:left w:val="nil"/>
              <w:bottom w:val="single" w:sz="4" w:space="0" w:color="auto"/>
              <w:right w:val="single" w:sz="4" w:space="0" w:color="auto"/>
            </w:tcBorders>
            <w:shd w:val="clear" w:color="auto" w:fill="BDD7EE"/>
            <w:vAlign w:val="center"/>
            <w:hideMark/>
          </w:tcPr>
          <w:p w14:paraId="26795287" w14:textId="77777777" w:rsidR="003C6015" w:rsidRPr="00DD6A04" w:rsidRDefault="003C6015" w:rsidP="003C6015">
            <w:pPr>
              <w:spacing w:before="0" w:after="0" w:line="256" w:lineRule="auto"/>
              <w:jc w:val="center"/>
              <w:rPr>
                <w:rFonts w:eastAsia="Times New Roman"/>
                <w:b/>
                <w:noProof/>
              </w:rPr>
            </w:pPr>
            <w:r>
              <w:rPr>
                <w:b/>
                <w:noProof/>
              </w:rPr>
              <w:t>Kvantitativni kazalniki</w:t>
            </w:r>
            <w:r>
              <w:rPr>
                <w:noProof/>
              </w:rPr>
              <w:t xml:space="preserve"> </w:t>
            </w:r>
            <w:r>
              <w:rPr>
                <w:b/>
                <w:noProof/>
              </w:rPr>
              <w:t>(za cilje)</w:t>
            </w:r>
          </w:p>
        </w:tc>
        <w:tc>
          <w:tcPr>
            <w:tcW w:w="1434" w:type="dxa"/>
            <w:gridSpan w:val="2"/>
            <w:tcBorders>
              <w:top w:val="single" w:sz="4" w:space="0" w:color="auto"/>
              <w:left w:val="nil"/>
              <w:bottom w:val="single" w:sz="4" w:space="0" w:color="auto"/>
              <w:right w:val="single" w:sz="4" w:space="0" w:color="auto"/>
            </w:tcBorders>
            <w:shd w:val="clear" w:color="auto" w:fill="BDD7EE"/>
            <w:vAlign w:val="center"/>
            <w:hideMark/>
          </w:tcPr>
          <w:p w14:paraId="175FCABB" w14:textId="77777777" w:rsidR="003C6015" w:rsidRPr="00DD6A04" w:rsidRDefault="003C6015" w:rsidP="003C6015">
            <w:pPr>
              <w:spacing w:before="0" w:after="0" w:line="256" w:lineRule="auto"/>
              <w:jc w:val="center"/>
              <w:rPr>
                <w:rFonts w:eastAsia="Times New Roman"/>
                <w:b/>
                <w:noProof/>
              </w:rPr>
            </w:pPr>
            <w:r>
              <w:rPr>
                <w:b/>
                <w:noProof/>
              </w:rPr>
              <w:t xml:space="preserve">Okvirni časovni razpored za dokončanje </w:t>
            </w:r>
          </w:p>
        </w:tc>
        <w:tc>
          <w:tcPr>
            <w:tcW w:w="39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F11890" w14:textId="77777777" w:rsidR="003C6015" w:rsidRPr="00DD6A04" w:rsidRDefault="003C6015" w:rsidP="003C6015">
            <w:pPr>
              <w:spacing w:before="0" w:after="0" w:line="256" w:lineRule="auto"/>
              <w:jc w:val="center"/>
              <w:rPr>
                <w:rFonts w:eastAsia="Times New Roman"/>
                <w:b/>
                <w:noProof/>
              </w:rPr>
            </w:pPr>
            <w:r>
              <w:rPr>
                <w:b/>
                <w:noProof/>
              </w:rPr>
              <w:t>Opis vsakega mejnika in cilja</w:t>
            </w:r>
          </w:p>
        </w:tc>
      </w:tr>
      <w:tr w:rsidR="003C6015" w:rsidRPr="00DD6A04" w14:paraId="24953D22" w14:textId="77777777" w:rsidTr="00A70F67">
        <w:trPr>
          <w:trHeight w:val="515"/>
          <w:tblHeader/>
          <w:jc w:val="cent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0642DF79" w14:textId="77777777" w:rsidR="003C6015" w:rsidRPr="00DD6A04" w:rsidRDefault="003C6015" w:rsidP="003C6015">
            <w:pPr>
              <w:spacing w:before="0" w:after="0" w:line="256" w:lineRule="auto"/>
              <w:rPr>
                <w:rFonts w:eastAsia="Times New Roman"/>
                <w:b/>
                <w:noProof/>
                <w:sz w:val="22"/>
                <w:lang w:val="en-GB" w:eastAsia="en-GB"/>
              </w:rPr>
            </w:pPr>
          </w:p>
        </w:tc>
        <w:tc>
          <w:tcPr>
            <w:tcW w:w="1418" w:type="dxa"/>
            <w:vMerge/>
            <w:tcBorders>
              <w:top w:val="single" w:sz="4" w:space="0" w:color="000000" w:themeColor="text1"/>
              <w:left w:val="single" w:sz="4" w:space="0" w:color="auto"/>
              <w:bottom w:val="single" w:sz="4" w:space="0" w:color="auto"/>
              <w:right w:val="single" w:sz="4" w:space="0" w:color="auto"/>
            </w:tcBorders>
            <w:vAlign w:val="center"/>
            <w:hideMark/>
          </w:tcPr>
          <w:p w14:paraId="4E83E4F2" w14:textId="77777777" w:rsidR="003C6015" w:rsidRPr="00DD6A04" w:rsidRDefault="003C6015" w:rsidP="003C6015">
            <w:pPr>
              <w:spacing w:before="0" w:after="0" w:line="256" w:lineRule="auto"/>
              <w:rPr>
                <w:rFonts w:eastAsia="Times New Roman"/>
                <w:b/>
                <w:noProof/>
                <w:sz w:val="22"/>
                <w:lang w:val="en-GB" w:eastAsia="en-GB"/>
              </w:rPr>
            </w:pPr>
          </w:p>
        </w:tc>
        <w:tc>
          <w:tcPr>
            <w:tcW w:w="988" w:type="dxa"/>
            <w:vMerge/>
            <w:tcBorders>
              <w:top w:val="single" w:sz="4" w:space="0" w:color="000000" w:themeColor="text1"/>
              <w:left w:val="single" w:sz="4" w:space="0" w:color="auto"/>
              <w:bottom w:val="single" w:sz="4" w:space="0" w:color="auto"/>
              <w:right w:val="single" w:sz="4" w:space="0" w:color="auto"/>
            </w:tcBorders>
            <w:vAlign w:val="center"/>
            <w:hideMark/>
          </w:tcPr>
          <w:p w14:paraId="34F2F666" w14:textId="77777777" w:rsidR="003C6015" w:rsidRPr="00DD6A04" w:rsidRDefault="003C6015" w:rsidP="003C6015">
            <w:pPr>
              <w:spacing w:before="0" w:after="0" w:line="256" w:lineRule="auto"/>
              <w:rPr>
                <w:rFonts w:eastAsia="Times New Roman"/>
                <w:b/>
                <w:noProof/>
                <w:sz w:val="22"/>
                <w:lang w:val="en-GB" w:eastAsia="en-GB"/>
              </w:rPr>
            </w:pPr>
          </w:p>
        </w:tc>
        <w:tc>
          <w:tcPr>
            <w:tcW w:w="1925" w:type="dxa"/>
            <w:vMerge/>
            <w:tcBorders>
              <w:top w:val="single" w:sz="4" w:space="0" w:color="000000" w:themeColor="text1"/>
              <w:left w:val="single" w:sz="4" w:space="0" w:color="auto"/>
              <w:bottom w:val="single" w:sz="4" w:space="0" w:color="auto"/>
              <w:right w:val="single" w:sz="4" w:space="0" w:color="auto"/>
            </w:tcBorders>
            <w:vAlign w:val="center"/>
            <w:hideMark/>
          </w:tcPr>
          <w:p w14:paraId="67E382C4" w14:textId="77777777" w:rsidR="003C6015" w:rsidRPr="00DD6A04" w:rsidRDefault="003C6015" w:rsidP="003C6015">
            <w:pPr>
              <w:spacing w:before="0" w:after="0" w:line="256" w:lineRule="auto"/>
              <w:rPr>
                <w:rFonts w:eastAsia="Times New Roman"/>
                <w:b/>
                <w:noProof/>
                <w:sz w:val="22"/>
                <w:lang w:val="en-GB" w:eastAsia="en-GB"/>
              </w:rPr>
            </w:pPr>
          </w:p>
        </w:tc>
        <w:tc>
          <w:tcPr>
            <w:tcW w:w="1973" w:type="dxa"/>
            <w:vMerge/>
            <w:tcBorders>
              <w:top w:val="single" w:sz="4" w:space="0" w:color="000000" w:themeColor="text1"/>
              <w:left w:val="single" w:sz="4" w:space="0" w:color="auto"/>
              <w:bottom w:val="single" w:sz="4" w:space="0" w:color="auto"/>
              <w:right w:val="single" w:sz="4" w:space="0" w:color="auto"/>
            </w:tcBorders>
            <w:vAlign w:val="center"/>
            <w:hideMark/>
          </w:tcPr>
          <w:p w14:paraId="1E1C7FA2" w14:textId="77777777" w:rsidR="003C6015" w:rsidRPr="00DD6A04" w:rsidRDefault="003C6015" w:rsidP="003C6015">
            <w:pPr>
              <w:spacing w:before="0" w:after="0" w:line="256" w:lineRule="auto"/>
              <w:rPr>
                <w:rFonts w:eastAsia="Times New Roman"/>
                <w:b/>
                <w:noProof/>
                <w:sz w:val="22"/>
                <w:lang w:val="en-GB" w:eastAsia="en-GB"/>
              </w:rPr>
            </w:pPr>
          </w:p>
        </w:tc>
        <w:tc>
          <w:tcPr>
            <w:tcW w:w="993" w:type="dxa"/>
            <w:tcBorders>
              <w:top w:val="nil"/>
              <w:left w:val="single" w:sz="4" w:space="0" w:color="auto"/>
              <w:bottom w:val="single" w:sz="4" w:space="0" w:color="auto"/>
              <w:right w:val="single" w:sz="4" w:space="0" w:color="auto"/>
            </w:tcBorders>
            <w:shd w:val="clear" w:color="auto" w:fill="BDD7EE"/>
            <w:vAlign w:val="center"/>
            <w:hideMark/>
          </w:tcPr>
          <w:p w14:paraId="465928F1" w14:textId="77777777" w:rsidR="003C6015" w:rsidRPr="00DD6A04" w:rsidRDefault="003C6015" w:rsidP="003C6015">
            <w:pPr>
              <w:spacing w:before="0" w:after="0" w:line="256" w:lineRule="auto"/>
              <w:jc w:val="center"/>
              <w:rPr>
                <w:rFonts w:eastAsia="Times New Roman"/>
                <w:b/>
                <w:noProof/>
                <w:sz w:val="22"/>
              </w:rPr>
            </w:pPr>
            <w:r>
              <w:rPr>
                <w:b/>
                <w:noProof/>
                <w:sz w:val="22"/>
              </w:rPr>
              <w:t>Enota merjenja</w:t>
            </w:r>
          </w:p>
        </w:tc>
        <w:tc>
          <w:tcPr>
            <w:tcW w:w="992" w:type="dxa"/>
            <w:tcBorders>
              <w:top w:val="nil"/>
              <w:left w:val="nil"/>
              <w:bottom w:val="single" w:sz="4" w:space="0" w:color="auto"/>
              <w:right w:val="single" w:sz="4" w:space="0" w:color="auto"/>
            </w:tcBorders>
            <w:shd w:val="clear" w:color="auto" w:fill="BDD7EE"/>
            <w:vAlign w:val="center"/>
            <w:hideMark/>
          </w:tcPr>
          <w:p w14:paraId="65847D24"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Izhodiščna raven </w:t>
            </w:r>
          </w:p>
        </w:tc>
        <w:tc>
          <w:tcPr>
            <w:tcW w:w="763" w:type="dxa"/>
            <w:tcBorders>
              <w:top w:val="nil"/>
              <w:left w:val="nil"/>
              <w:bottom w:val="single" w:sz="4" w:space="0" w:color="auto"/>
              <w:right w:val="single" w:sz="4" w:space="0" w:color="auto"/>
            </w:tcBorders>
            <w:shd w:val="clear" w:color="auto" w:fill="BDD7EE"/>
            <w:vAlign w:val="center"/>
            <w:hideMark/>
          </w:tcPr>
          <w:p w14:paraId="26C1B4E2"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Ciljna raven </w:t>
            </w:r>
          </w:p>
        </w:tc>
        <w:tc>
          <w:tcPr>
            <w:tcW w:w="725" w:type="dxa"/>
            <w:tcBorders>
              <w:top w:val="nil"/>
              <w:left w:val="nil"/>
              <w:bottom w:val="single" w:sz="4" w:space="0" w:color="auto"/>
              <w:right w:val="single" w:sz="4" w:space="0" w:color="auto"/>
            </w:tcBorders>
            <w:shd w:val="clear" w:color="auto" w:fill="BDD7EE"/>
            <w:vAlign w:val="center"/>
            <w:hideMark/>
          </w:tcPr>
          <w:p w14:paraId="7044FDAB" w14:textId="77777777" w:rsidR="003C6015" w:rsidRPr="00DD6A04" w:rsidRDefault="003C6015" w:rsidP="003C6015">
            <w:pPr>
              <w:spacing w:before="0" w:after="0" w:line="256" w:lineRule="auto"/>
              <w:jc w:val="center"/>
              <w:rPr>
                <w:rFonts w:eastAsia="Times New Roman"/>
                <w:b/>
                <w:noProof/>
                <w:sz w:val="22"/>
              </w:rPr>
            </w:pPr>
            <w:r>
              <w:rPr>
                <w:b/>
                <w:noProof/>
                <w:sz w:val="22"/>
              </w:rPr>
              <w:t>Četrtletje</w:t>
            </w:r>
          </w:p>
        </w:tc>
        <w:tc>
          <w:tcPr>
            <w:tcW w:w="709" w:type="dxa"/>
            <w:tcBorders>
              <w:top w:val="nil"/>
              <w:left w:val="nil"/>
              <w:bottom w:val="single" w:sz="4" w:space="0" w:color="auto"/>
              <w:right w:val="single" w:sz="4" w:space="0" w:color="auto"/>
            </w:tcBorders>
            <w:shd w:val="clear" w:color="auto" w:fill="BDD7EE"/>
            <w:vAlign w:val="center"/>
            <w:hideMark/>
          </w:tcPr>
          <w:p w14:paraId="21C47279" w14:textId="77777777" w:rsidR="003C6015" w:rsidRPr="00DD6A04" w:rsidRDefault="003C6015" w:rsidP="003C6015">
            <w:pPr>
              <w:spacing w:before="0" w:after="0" w:line="256" w:lineRule="auto"/>
              <w:jc w:val="center"/>
              <w:rPr>
                <w:rFonts w:eastAsia="Times New Roman"/>
                <w:b/>
                <w:noProof/>
                <w:sz w:val="22"/>
              </w:rPr>
            </w:pPr>
            <w:r>
              <w:rPr>
                <w:b/>
                <w:noProof/>
                <w:sz w:val="22"/>
              </w:rPr>
              <w:t>Leto</w:t>
            </w:r>
          </w:p>
        </w:tc>
        <w:tc>
          <w:tcPr>
            <w:tcW w:w="3939" w:type="dxa"/>
            <w:vMerge/>
            <w:tcBorders>
              <w:bottom w:val="single" w:sz="4" w:space="0" w:color="auto"/>
              <w:right w:val="single" w:sz="4" w:space="0" w:color="auto"/>
            </w:tcBorders>
            <w:vAlign w:val="center"/>
            <w:hideMark/>
          </w:tcPr>
          <w:p w14:paraId="08684E6C" w14:textId="77777777" w:rsidR="003C6015" w:rsidRPr="00DD6A04" w:rsidRDefault="003C6015" w:rsidP="003C6015">
            <w:pPr>
              <w:spacing w:before="0" w:after="0" w:line="256" w:lineRule="auto"/>
              <w:rPr>
                <w:rFonts w:eastAsia="Times New Roman"/>
                <w:b/>
                <w:noProof/>
                <w:sz w:val="22"/>
                <w:lang w:val="en-GB" w:eastAsia="en-GB"/>
              </w:rPr>
            </w:pPr>
          </w:p>
        </w:tc>
      </w:tr>
      <w:tr w:rsidR="003C6015" w:rsidRPr="00DD6A04" w14:paraId="1EB7D572" w14:textId="77777777" w:rsidTr="00A70F67">
        <w:trPr>
          <w:trHeight w:val="309"/>
          <w:jc w:val="center"/>
        </w:trPr>
        <w:tc>
          <w:tcPr>
            <w:tcW w:w="1280" w:type="dxa"/>
            <w:tcBorders>
              <w:top w:val="single" w:sz="4" w:space="0" w:color="auto"/>
              <w:left w:val="single" w:sz="4" w:space="0" w:color="auto"/>
              <w:bottom w:val="single" w:sz="4" w:space="0" w:color="auto"/>
              <w:right w:val="single" w:sz="4" w:space="0" w:color="auto"/>
            </w:tcBorders>
            <w:shd w:val="clear" w:color="auto" w:fill="C6EFCE"/>
            <w:noWrap/>
          </w:tcPr>
          <w:p w14:paraId="0C57082A"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167</w:t>
            </w:r>
          </w:p>
        </w:tc>
        <w:tc>
          <w:tcPr>
            <w:tcW w:w="1418" w:type="dxa"/>
            <w:tcBorders>
              <w:top w:val="single" w:sz="4" w:space="0" w:color="auto"/>
              <w:left w:val="nil"/>
              <w:bottom w:val="single" w:sz="4" w:space="0" w:color="auto"/>
              <w:right w:val="single" w:sz="4" w:space="0" w:color="auto"/>
            </w:tcBorders>
            <w:shd w:val="clear" w:color="auto" w:fill="C6EFCE"/>
            <w:noWrap/>
          </w:tcPr>
          <w:p w14:paraId="01E0D95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 Strategija za ozelenitev izobraževalne in raziskovalne infrastrukture v Sloveniji</w:t>
            </w:r>
          </w:p>
        </w:tc>
        <w:tc>
          <w:tcPr>
            <w:tcW w:w="988" w:type="dxa"/>
            <w:tcBorders>
              <w:top w:val="single" w:sz="4" w:space="0" w:color="auto"/>
              <w:left w:val="nil"/>
              <w:bottom w:val="single" w:sz="4" w:space="0" w:color="auto"/>
              <w:right w:val="single" w:sz="4" w:space="0" w:color="auto"/>
            </w:tcBorders>
            <w:shd w:val="clear" w:color="auto" w:fill="C6EFCE"/>
            <w:noWrap/>
          </w:tcPr>
          <w:p w14:paraId="29FE031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5" w:type="dxa"/>
            <w:tcBorders>
              <w:top w:val="single" w:sz="4" w:space="0" w:color="auto"/>
              <w:left w:val="nil"/>
              <w:bottom w:val="single" w:sz="4" w:space="0" w:color="auto"/>
              <w:right w:val="single" w:sz="4" w:space="0" w:color="auto"/>
            </w:tcBorders>
            <w:shd w:val="clear" w:color="auto" w:fill="C6EFCE"/>
            <w:noWrap/>
          </w:tcPr>
          <w:p w14:paraId="10CA780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Sprejetje Strategije za ozelenitev izobraževalne in raziskovalne infrastrukture</w:t>
            </w:r>
          </w:p>
        </w:tc>
        <w:tc>
          <w:tcPr>
            <w:tcW w:w="1973" w:type="dxa"/>
            <w:tcBorders>
              <w:top w:val="single" w:sz="4" w:space="0" w:color="auto"/>
              <w:left w:val="nil"/>
              <w:bottom w:val="single" w:sz="4" w:space="0" w:color="auto"/>
              <w:right w:val="single" w:sz="4" w:space="0" w:color="auto"/>
            </w:tcBorders>
            <w:shd w:val="clear" w:color="auto" w:fill="C6EFCE"/>
            <w:noWrap/>
          </w:tcPr>
          <w:p w14:paraId="426C9FF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Sprejetje Strategije za ozelenitev izobraževalne in raziskovalne infrastrukture s strani vlade </w:t>
            </w:r>
          </w:p>
        </w:tc>
        <w:tc>
          <w:tcPr>
            <w:tcW w:w="993" w:type="dxa"/>
            <w:tcBorders>
              <w:top w:val="single" w:sz="4" w:space="0" w:color="auto"/>
              <w:left w:val="nil"/>
              <w:bottom w:val="single" w:sz="4" w:space="0" w:color="auto"/>
              <w:right w:val="single" w:sz="4" w:space="0" w:color="auto"/>
            </w:tcBorders>
            <w:shd w:val="clear" w:color="auto" w:fill="C6EFCE"/>
            <w:noWrap/>
          </w:tcPr>
          <w:p w14:paraId="5C42336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72BBD53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763" w:type="dxa"/>
            <w:tcBorders>
              <w:top w:val="single" w:sz="4" w:space="0" w:color="auto"/>
              <w:left w:val="nil"/>
              <w:bottom w:val="single" w:sz="4" w:space="0" w:color="auto"/>
              <w:right w:val="single" w:sz="4" w:space="0" w:color="auto"/>
            </w:tcBorders>
            <w:shd w:val="clear" w:color="auto" w:fill="C6EFCE"/>
            <w:noWrap/>
          </w:tcPr>
          <w:p w14:paraId="2AF0233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725" w:type="dxa"/>
            <w:tcBorders>
              <w:top w:val="single" w:sz="4" w:space="0" w:color="auto"/>
              <w:left w:val="nil"/>
              <w:bottom w:val="single" w:sz="4" w:space="0" w:color="auto"/>
              <w:right w:val="single" w:sz="4" w:space="0" w:color="auto"/>
            </w:tcBorders>
            <w:shd w:val="clear" w:color="auto" w:fill="C6EFCE"/>
            <w:noWrap/>
          </w:tcPr>
          <w:p w14:paraId="59837BF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09" w:type="dxa"/>
            <w:tcBorders>
              <w:top w:val="single" w:sz="4" w:space="0" w:color="auto"/>
              <w:left w:val="nil"/>
              <w:bottom w:val="single" w:sz="4" w:space="0" w:color="auto"/>
              <w:right w:val="single" w:sz="4" w:space="0" w:color="auto"/>
            </w:tcBorders>
            <w:shd w:val="clear" w:color="auto" w:fill="C6EFCE"/>
            <w:noWrap/>
          </w:tcPr>
          <w:p w14:paraId="2436EEFF"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3939" w:type="dxa"/>
            <w:tcBorders>
              <w:top w:val="single" w:sz="4" w:space="0" w:color="auto"/>
              <w:left w:val="nil"/>
              <w:bottom w:val="single" w:sz="4" w:space="0" w:color="auto"/>
              <w:right w:val="single" w:sz="4" w:space="0" w:color="auto"/>
            </w:tcBorders>
            <w:shd w:val="clear" w:color="auto" w:fill="C6EFCE"/>
            <w:noWrap/>
          </w:tcPr>
          <w:p w14:paraId="6A7B7EA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V strategiji bodo opredeljene trajnostne prednostne naloge za zelene investicije v izobraževalne in raziskovalne infrastrukture ter za vzdrževanje izobraževalnih stavb, pri čemer se bodo upoštevale posebne značilnosti in potrebe, kot so načela trajnostne gradnje stavb s skoraj nično porabo energije, prostorsko načrtovanje, digitalni prehod in inovativni pedagoški pristopi. </w:t>
            </w:r>
          </w:p>
        </w:tc>
      </w:tr>
      <w:tr w:rsidR="003C6015" w:rsidRPr="00DD6A04" w14:paraId="3E36D08F" w14:textId="77777777" w:rsidTr="00A70F67">
        <w:trPr>
          <w:trHeight w:val="309"/>
          <w:jc w:val="center"/>
        </w:trPr>
        <w:tc>
          <w:tcPr>
            <w:tcW w:w="1280" w:type="dxa"/>
            <w:tcBorders>
              <w:top w:val="single" w:sz="4" w:space="0" w:color="auto"/>
              <w:left w:val="single" w:sz="4" w:space="0" w:color="auto"/>
              <w:bottom w:val="single" w:sz="4" w:space="0" w:color="auto"/>
              <w:right w:val="single" w:sz="4" w:space="0" w:color="auto"/>
            </w:tcBorders>
            <w:shd w:val="clear" w:color="auto" w:fill="C6EFCE"/>
            <w:noWrap/>
          </w:tcPr>
          <w:p w14:paraId="0D84300A"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168</w:t>
            </w:r>
          </w:p>
        </w:tc>
        <w:tc>
          <w:tcPr>
            <w:tcW w:w="1418" w:type="dxa"/>
            <w:tcBorders>
              <w:top w:val="single" w:sz="4" w:space="0" w:color="auto"/>
              <w:left w:val="nil"/>
              <w:bottom w:val="single" w:sz="4" w:space="0" w:color="auto"/>
              <w:right w:val="single" w:sz="4" w:space="0" w:color="auto"/>
            </w:tcBorders>
            <w:shd w:val="clear" w:color="auto" w:fill="C6EFCE"/>
            <w:noWrap/>
          </w:tcPr>
          <w:p w14:paraId="233396E6" w14:textId="215FF0EA" w:rsidR="003C6015" w:rsidRPr="00DD6A04" w:rsidRDefault="001D23D2" w:rsidP="003C6015">
            <w:pPr>
              <w:spacing w:before="0" w:after="0" w:line="256" w:lineRule="auto"/>
              <w:rPr>
                <w:rFonts w:eastAsia="Times New Roman"/>
                <w:noProof/>
                <w:color w:val="006100"/>
                <w:sz w:val="22"/>
              </w:rPr>
            </w:pPr>
            <w:r>
              <w:rPr>
                <w:noProof/>
                <w:color w:val="006100"/>
              </w:rPr>
              <w:t>H</w:t>
            </w:r>
            <w:r>
              <w:rPr>
                <w:noProof/>
                <w:color w:val="006100"/>
                <w:sz w:val="22"/>
              </w:rPr>
              <w:t>: Nadaljnja ozelenitev izobraževalne infrastrukture v Sloveniji</w:t>
            </w:r>
          </w:p>
        </w:tc>
        <w:tc>
          <w:tcPr>
            <w:tcW w:w="988" w:type="dxa"/>
            <w:tcBorders>
              <w:top w:val="single" w:sz="4" w:space="0" w:color="auto"/>
              <w:left w:val="nil"/>
              <w:bottom w:val="single" w:sz="4" w:space="0" w:color="auto"/>
              <w:right w:val="single" w:sz="4" w:space="0" w:color="auto"/>
            </w:tcBorders>
            <w:shd w:val="clear" w:color="auto" w:fill="C6EFCE"/>
            <w:noWrap/>
          </w:tcPr>
          <w:p w14:paraId="0D30AFE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5" w:type="dxa"/>
            <w:tcBorders>
              <w:top w:val="single" w:sz="4" w:space="0" w:color="auto"/>
              <w:left w:val="nil"/>
              <w:bottom w:val="single" w:sz="4" w:space="0" w:color="auto"/>
              <w:right w:val="single" w:sz="4" w:space="0" w:color="auto"/>
            </w:tcBorders>
            <w:shd w:val="clear" w:color="auto" w:fill="C6EFCE"/>
            <w:noWrap/>
          </w:tcPr>
          <w:p w14:paraId="1FD9DDA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 izbor naložbenih projektov za ozelenitev izobraževalne infrastrukture</w:t>
            </w:r>
          </w:p>
        </w:tc>
        <w:tc>
          <w:tcPr>
            <w:tcW w:w="1973" w:type="dxa"/>
            <w:tcBorders>
              <w:top w:val="single" w:sz="4" w:space="0" w:color="auto"/>
              <w:left w:val="nil"/>
              <w:bottom w:val="single" w:sz="4" w:space="0" w:color="auto"/>
              <w:right w:val="single" w:sz="4" w:space="0" w:color="auto"/>
            </w:tcBorders>
            <w:shd w:val="clear" w:color="auto" w:fill="C6EFCE"/>
            <w:noWrap/>
          </w:tcPr>
          <w:p w14:paraId="041A3A1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Podpis pogodb</w:t>
            </w:r>
          </w:p>
        </w:tc>
        <w:tc>
          <w:tcPr>
            <w:tcW w:w="993" w:type="dxa"/>
            <w:tcBorders>
              <w:top w:val="single" w:sz="4" w:space="0" w:color="auto"/>
              <w:left w:val="nil"/>
              <w:bottom w:val="single" w:sz="4" w:space="0" w:color="auto"/>
              <w:right w:val="single" w:sz="4" w:space="0" w:color="auto"/>
            </w:tcBorders>
            <w:shd w:val="clear" w:color="auto" w:fill="C6EFCE"/>
            <w:noWrap/>
          </w:tcPr>
          <w:p w14:paraId="7D339B6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92" w:type="dxa"/>
            <w:tcBorders>
              <w:top w:val="single" w:sz="4" w:space="0" w:color="auto"/>
              <w:left w:val="nil"/>
              <w:bottom w:val="single" w:sz="4" w:space="0" w:color="auto"/>
              <w:right w:val="single" w:sz="4" w:space="0" w:color="auto"/>
            </w:tcBorders>
            <w:shd w:val="clear" w:color="auto" w:fill="C6EFCE"/>
            <w:noWrap/>
          </w:tcPr>
          <w:p w14:paraId="3FDDEC2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763" w:type="dxa"/>
            <w:tcBorders>
              <w:top w:val="single" w:sz="4" w:space="0" w:color="auto"/>
              <w:left w:val="nil"/>
              <w:bottom w:val="single" w:sz="4" w:space="0" w:color="auto"/>
              <w:right w:val="single" w:sz="4" w:space="0" w:color="auto"/>
            </w:tcBorders>
            <w:shd w:val="clear" w:color="auto" w:fill="C6EFCE"/>
            <w:noWrap/>
          </w:tcPr>
          <w:p w14:paraId="3FBA5CE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725" w:type="dxa"/>
            <w:tcBorders>
              <w:top w:val="single" w:sz="4" w:space="0" w:color="auto"/>
              <w:left w:val="nil"/>
              <w:bottom w:val="single" w:sz="4" w:space="0" w:color="auto"/>
              <w:right w:val="single" w:sz="4" w:space="0" w:color="auto"/>
            </w:tcBorders>
            <w:shd w:val="clear" w:color="auto" w:fill="C6EFCE"/>
            <w:noWrap/>
          </w:tcPr>
          <w:p w14:paraId="6B89F81B"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09" w:type="dxa"/>
            <w:tcBorders>
              <w:top w:val="single" w:sz="4" w:space="0" w:color="auto"/>
              <w:left w:val="nil"/>
              <w:bottom w:val="single" w:sz="4" w:space="0" w:color="auto"/>
              <w:right w:val="single" w:sz="4" w:space="0" w:color="auto"/>
            </w:tcBorders>
            <w:shd w:val="clear" w:color="auto" w:fill="C6EFCE"/>
            <w:noWrap/>
          </w:tcPr>
          <w:p w14:paraId="270011E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2023</w:t>
            </w:r>
          </w:p>
        </w:tc>
        <w:tc>
          <w:tcPr>
            <w:tcW w:w="3939" w:type="dxa"/>
            <w:tcBorders>
              <w:top w:val="single" w:sz="4" w:space="0" w:color="auto"/>
              <w:left w:val="nil"/>
              <w:bottom w:val="single" w:sz="4" w:space="0" w:color="auto"/>
              <w:right w:val="single" w:sz="4" w:space="0" w:color="auto"/>
            </w:tcBorders>
            <w:shd w:val="clear" w:color="auto" w:fill="C6EFCE"/>
            <w:noWrap/>
          </w:tcPr>
          <w:p w14:paraId="48BAB822" w14:textId="369ADC53" w:rsidR="003C6015" w:rsidRPr="00DD6A04" w:rsidRDefault="003C6015" w:rsidP="6B3B27EA">
            <w:pPr>
              <w:spacing w:before="0" w:after="0" w:line="256" w:lineRule="auto"/>
              <w:rPr>
                <w:rFonts w:eastAsia="Times New Roman"/>
                <w:noProof/>
                <w:color w:val="006100"/>
                <w:sz w:val="22"/>
              </w:rPr>
            </w:pPr>
            <w:r>
              <w:rPr>
                <w:noProof/>
                <w:color w:val="006100"/>
                <w:sz w:val="22"/>
              </w:rPr>
              <w:t>Ministrstvo za izobraževanje, znanost in šport bo podpisalo pogodbe za sofinanciranje infrastrukturnih projektov v skladu s Strategijo za ozelenitev izobraževalne in raziskovalne infrastrukture. Pogodbe bodo zagotovile, da bo potreba infrastrukturnih projektov po primarni energiji vsaj 20 % nižja od zahteve za skoraj nič-energijske stavbe.</w:t>
            </w:r>
          </w:p>
        </w:tc>
      </w:tr>
      <w:tr w:rsidR="003C6015" w:rsidRPr="00DD6A04" w14:paraId="716AF3E2" w14:textId="77777777" w:rsidTr="00A70F67">
        <w:trPr>
          <w:trHeight w:val="309"/>
          <w:jc w:val="center"/>
        </w:trPr>
        <w:tc>
          <w:tcPr>
            <w:tcW w:w="1280" w:type="dxa"/>
            <w:tcBorders>
              <w:top w:val="single" w:sz="4" w:space="0" w:color="auto"/>
              <w:left w:val="single" w:sz="4" w:space="0" w:color="auto"/>
              <w:bottom w:val="single" w:sz="4" w:space="0" w:color="auto"/>
              <w:right w:val="single" w:sz="4" w:space="0" w:color="auto"/>
            </w:tcBorders>
            <w:shd w:val="clear" w:color="auto" w:fill="C6EFCE"/>
            <w:noWrap/>
          </w:tcPr>
          <w:p w14:paraId="71B8306D"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170</w:t>
            </w:r>
          </w:p>
        </w:tc>
        <w:tc>
          <w:tcPr>
            <w:tcW w:w="1418" w:type="dxa"/>
            <w:tcBorders>
              <w:top w:val="single" w:sz="4" w:space="0" w:color="auto"/>
              <w:left w:val="nil"/>
              <w:bottom w:val="single" w:sz="4" w:space="0" w:color="auto"/>
              <w:right w:val="single" w:sz="4" w:space="0" w:color="auto"/>
            </w:tcBorders>
            <w:shd w:val="clear" w:color="auto" w:fill="C6EFCE"/>
            <w:noWrap/>
          </w:tcPr>
          <w:p w14:paraId="4226B4B7" w14:textId="66F5FA18" w:rsidR="003C6015" w:rsidRPr="00DD6A04" w:rsidRDefault="001D23D2" w:rsidP="003C6015">
            <w:pPr>
              <w:spacing w:before="0" w:after="0" w:line="256" w:lineRule="auto"/>
              <w:rPr>
                <w:rFonts w:eastAsia="Times New Roman"/>
                <w:noProof/>
                <w:color w:val="006100"/>
                <w:sz w:val="22"/>
              </w:rPr>
            </w:pPr>
            <w:r>
              <w:rPr>
                <w:noProof/>
                <w:color w:val="006100"/>
              </w:rPr>
              <w:t>H</w:t>
            </w:r>
            <w:r>
              <w:rPr>
                <w:noProof/>
                <w:color w:val="006100"/>
                <w:sz w:val="22"/>
              </w:rPr>
              <w:t>: Nadaljnja ozelenitev izobraževalne infrastrukture v Sloveniji</w:t>
            </w:r>
          </w:p>
        </w:tc>
        <w:tc>
          <w:tcPr>
            <w:tcW w:w="988" w:type="dxa"/>
            <w:tcBorders>
              <w:top w:val="single" w:sz="4" w:space="0" w:color="auto"/>
              <w:left w:val="nil"/>
              <w:bottom w:val="single" w:sz="4" w:space="0" w:color="auto"/>
              <w:right w:val="single" w:sz="4" w:space="0" w:color="auto"/>
            </w:tcBorders>
            <w:shd w:val="clear" w:color="auto" w:fill="C6EFCE"/>
            <w:noWrap/>
          </w:tcPr>
          <w:p w14:paraId="61EFB8B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925" w:type="dxa"/>
            <w:tcBorders>
              <w:top w:val="single" w:sz="4" w:space="0" w:color="auto"/>
              <w:left w:val="nil"/>
              <w:bottom w:val="single" w:sz="4" w:space="0" w:color="auto"/>
              <w:right w:val="single" w:sz="4" w:space="0" w:color="auto"/>
            </w:tcBorders>
            <w:shd w:val="clear" w:color="auto" w:fill="C6EFCE"/>
            <w:noWrap/>
          </w:tcPr>
          <w:p w14:paraId="448DC4A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Površina novih izobraževalnih ustanov </w:t>
            </w:r>
          </w:p>
        </w:tc>
        <w:tc>
          <w:tcPr>
            <w:tcW w:w="1973" w:type="dxa"/>
            <w:tcBorders>
              <w:top w:val="single" w:sz="4" w:space="0" w:color="auto"/>
              <w:left w:val="nil"/>
              <w:bottom w:val="single" w:sz="4" w:space="0" w:color="auto"/>
              <w:right w:val="single" w:sz="4" w:space="0" w:color="auto"/>
            </w:tcBorders>
            <w:shd w:val="clear" w:color="auto" w:fill="C6EFCE"/>
            <w:noWrap/>
          </w:tcPr>
          <w:p w14:paraId="0DBD3C4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m²</w:t>
            </w:r>
          </w:p>
        </w:tc>
        <w:tc>
          <w:tcPr>
            <w:tcW w:w="993" w:type="dxa"/>
            <w:tcBorders>
              <w:top w:val="single" w:sz="4" w:space="0" w:color="auto"/>
              <w:left w:val="nil"/>
              <w:bottom w:val="single" w:sz="4" w:space="0" w:color="auto"/>
              <w:right w:val="single" w:sz="4" w:space="0" w:color="auto"/>
            </w:tcBorders>
            <w:shd w:val="clear" w:color="auto" w:fill="C6EFCE"/>
            <w:noWrap/>
          </w:tcPr>
          <w:p w14:paraId="2FBDC62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92" w:type="dxa"/>
            <w:tcBorders>
              <w:top w:val="single" w:sz="4" w:space="0" w:color="auto"/>
              <w:left w:val="nil"/>
              <w:bottom w:val="single" w:sz="4" w:space="0" w:color="auto"/>
              <w:right w:val="single" w:sz="4" w:space="0" w:color="auto"/>
            </w:tcBorders>
            <w:shd w:val="clear" w:color="auto" w:fill="C6EFCE"/>
            <w:noWrap/>
          </w:tcPr>
          <w:p w14:paraId="1E66E07E" w14:textId="6E03328B" w:rsidR="003C6015" w:rsidRPr="00DD6A04" w:rsidRDefault="00F425F4" w:rsidP="003C6015">
            <w:pPr>
              <w:spacing w:before="0" w:after="0" w:line="256" w:lineRule="auto"/>
              <w:rPr>
                <w:rFonts w:eastAsia="Times New Roman"/>
                <w:noProof/>
                <w:color w:val="006100"/>
                <w:sz w:val="22"/>
              </w:rPr>
            </w:pPr>
            <w:r>
              <w:rPr>
                <w:noProof/>
                <w:color w:val="006100"/>
                <w:sz w:val="22"/>
              </w:rPr>
              <w:t>0</w:t>
            </w:r>
          </w:p>
        </w:tc>
        <w:tc>
          <w:tcPr>
            <w:tcW w:w="763" w:type="dxa"/>
            <w:tcBorders>
              <w:top w:val="single" w:sz="4" w:space="0" w:color="auto"/>
              <w:left w:val="nil"/>
              <w:bottom w:val="single" w:sz="4" w:space="0" w:color="auto"/>
              <w:right w:val="single" w:sz="4" w:space="0" w:color="auto"/>
            </w:tcBorders>
            <w:shd w:val="clear" w:color="auto" w:fill="C6EFCE"/>
            <w:noWrap/>
          </w:tcPr>
          <w:p w14:paraId="6BBF08F4" w14:textId="6D2649CA" w:rsidR="003C6015" w:rsidRPr="00DD6A04" w:rsidRDefault="003C6015" w:rsidP="6B3B27EA">
            <w:pPr>
              <w:spacing w:before="0" w:after="0" w:line="256" w:lineRule="auto"/>
              <w:rPr>
                <w:rFonts w:eastAsia="Times New Roman"/>
                <w:noProof/>
                <w:color w:val="006100"/>
                <w:sz w:val="22"/>
              </w:rPr>
            </w:pPr>
            <w:r>
              <w:rPr>
                <w:noProof/>
                <w:color w:val="006100"/>
                <w:sz w:val="22"/>
              </w:rPr>
              <w:t>38667</w:t>
            </w:r>
          </w:p>
        </w:tc>
        <w:tc>
          <w:tcPr>
            <w:tcW w:w="725" w:type="dxa"/>
            <w:tcBorders>
              <w:top w:val="single" w:sz="4" w:space="0" w:color="auto"/>
              <w:left w:val="nil"/>
              <w:bottom w:val="single" w:sz="4" w:space="0" w:color="auto"/>
              <w:right w:val="single" w:sz="4" w:space="0" w:color="auto"/>
            </w:tcBorders>
            <w:shd w:val="clear" w:color="auto" w:fill="C6EFCE"/>
            <w:noWrap/>
          </w:tcPr>
          <w:p w14:paraId="1AC767E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09" w:type="dxa"/>
            <w:tcBorders>
              <w:top w:val="single" w:sz="4" w:space="0" w:color="auto"/>
              <w:left w:val="nil"/>
              <w:bottom w:val="single" w:sz="4" w:space="0" w:color="auto"/>
              <w:right w:val="single" w:sz="4" w:space="0" w:color="auto"/>
            </w:tcBorders>
            <w:shd w:val="clear" w:color="auto" w:fill="C6EFCE"/>
            <w:noWrap/>
          </w:tcPr>
          <w:p w14:paraId="6EEA257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3939" w:type="dxa"/>
            <w:tcBorders>
              <w:top w:val="single" w:sz="4" w:space="0" w:color="auto"/>
              <w:left w:val="nil"/>
              <w:bottom w:val="single" w:sz="4" w:space="0" w:color="auto"/>
              <w:right w:val="single" w:sz="4" w:space="0" w:color="auto"/>
            </w:tcBorders>
            <w:shd w:val="clear" w:color="auto" w:fill="C6EFCE"/>
            <w:noWrap/>
          </w:tcPr>
          <w:p w14:paraId="27AB4B0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Dokončana gradnja in začetek delovanja novih izobraževalnih ustanov v skladu z zahtevami iz mejnika 168.</w:t>
            </w:r>
          </w:p>
        </w:tc>
      </w:tr>
    </w:tbl>
    <w:p w14:paraId="2F1B0DDA"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26"/>
        </w:sectPr>
      </w:pPr>
    </w:p>
    <w:p w14:paraId="3BEF3BA3" w14:textId="77777777" w:rsidR="003C6015" w:rsidRPr="00DD6A04" w:rsidRDefault="003C6015" w:rsidP="003C6015">
      <w:pPr>
        <w:keepNext/>
        <w:tabs>
          <w:tab w:val="left" w:pos="850"/>
        </w:tabs>
        <w:spacing w:line="240" w:lineRule="auto"/>
        <w:jc w:val="both"/>
        <w:outlineLvl w:val="0"/>
        <w:rPr>
          <w:b/>
          <w:smallCaps/>
          <w:noProof/>
        </w:rPr>
      </w:pPr>
      <w:r>
        <w:rPr>
          <w:b/>
          <w:smallCaps/>
          <w:noProof/>
        </w:rPr>
        <w:t xml:space="preserve">M. KOMPONENTA 13: </w:t>
      </w:r>
      <w:r>
        <w:rPr>
          <w:b/>
          <w:noProof/>
        </w:rPr>
        <w:t>UČINKOVITE JAVNE INSTITUCIJE</w:t>
      </w:r>
    </w:p>
    <w:p w14:paraId="63CFB514" w14:textId="77777777" w:rsidR="003C6015" w:rsidRPr="00DD6A04" w:rsidRDefault="003C6015" w:rsidP="003C6015">
      <w:pPr>
        <w:spacing w:line="240" w:lineRule="auto"/>
        <w:jc w:val="both"/>
        <w:rPr>
          <w:rFonts w:eastAsia="Times New Roman"/>
          <w:noProof/>
        </w:rPr>
      </w:pPr>
      <w:r>
        <w:rPr>
          <w:noProof/>
        </w:rPr>
        <w:t xml:space="preserve">Ta komponenta slovenskega načrta za okrevanje in odpornost obravnava izzive, povezane z učinkovitostjo upravljanja javnega sektorja in širše z upravnim bremenom. </w:t>
      </w:r>
    </w:p>
    <w:p w14:paraId="3262AA71" w14:textId="77777777" w:rsidR="003C6015" w:rsidRPr="00DD6A04" w:rsidRDefault="003C6015" w:rsidP="003C6015">
      <w:pPr>
        <w:spacing w:line="240" w:lineRule="auto"/>
        <w:jc w:val="both"/>
        <w:rPr>
          <w:rFonts w:eastAsia="Times New Roman"/>
          <w:noProof/>
        </w:rPr>
      </w:pPr>
      <w:r>
        <w:rPr>
          <w:noProof/>
        </w:rPr>
        <w:t>Cilji komponente so izboljšati učinkovitost plačnega sistema v javnem sektorju, izboljšati poslovno okolje s poenostavitvijo zakonodaje in predpisov ter reformami gradbene in prostorske zakonodaje ter izboljšati profesionalizacijo, digitalizacijo in konkurenco v sistemu javnih naročil.</w:t>
      </w:r>
    </w:p>
    <w:p w14:paraId="0E31734A" w14:textId="77777777" w:rsidR="003C6015" w:rsidRPr="00DD6A04" w:rsidRDefault="003C6015" w:rsidP="003C6015">
      <w:pPr>
        <w:spacing w:line="240" w:lineRule="auto"/>
        <w:jc w:val="both"/>
        <w:rPr>
          <w:rFonts w:eastAsia="Times New Roman"/>
          <w:noProof/>
        </w:rPr>
      </w:pPr>
      <w:r>
        <w:rPr>
          <w:noProof/>
        </w:rPr>
        <w:t>Za reforme v okviru te komponente slovenskega načrta za okrevanje in odpornost ni predvideno financiranje.</w:t>
      </w:r>
    </w:p>
    <w:p w14:paraId="1A20A73E" w14:textId="77777777" w:rsidR="003C6015" w:rsidRPr="00DD6A04" w:rsidRDefault="003C6015" w:rsidP="003C6015">
      <w:pPr>
        <w:spacing w:line="240" w:lineRule="auto"/>
        <w:jc w:val="both"/>
        <w:rPr>
          <w:noProof/>
        </w:rPr>
      </w:pPr>
      <w:r>
        <w:rPr>
          <w:noProof/>
        </w:rPr>
        <w:t>Te reforme obravnavajo specifična priporočila za Slovenijo leta 2019, naj „[i]zboljša poslovno okolje z zmanjšanjem regulativnih omejitev in upravnega bremena. Izboljša konkurenco, profesionalizacijo in neodvisen nadzor na področju javnih naročil“ (specifično priporočilo št. 2 iz leta 2019) in 2020 ukrepa za „zmanjšanje upravnega bremena“ ter „[d]a prednost zrelim javnim naložbenim projektom in spodbuja zasebne naložbe v podporo gospodarskemu okrevanju“ (specifično priporočilo št. 3 iz leta 2020).</w:t>
      </w:r>
    </w:p>
    <w:p w14:paraId="71BCA254" w14:textId="77777777" w:rsidR="003C6015" w:rsidRPr="00DD6A04" w:rsidRDefault="003C6015" w:rsidP="003C6015">
      <w:pPr>
        <w:spacing w:line="240" w:lineRule="auto"/>
        <w:jc w:val="both"/>
        <w:rPr>
          <w:noProof/>
          <w:lang w:val="en-GB"/>
        </w:rPr>
      </w:pPr>
    </w:p>
    <w:p w14:paraId="6CAC622E" w14:textId="77777777" w:rsidR="003C6015" w:rsidRPr="00DD6A04" w:rsidRDefault="003C6015" w:rsidP="003C6015">
      <w:pPr>
        <w:spacing w:line="240" w:lineRule="auto"/>
        <w:jc w:val="both"/>
        <w:rPr>
          <w:rFonts w:eastAsia="Times New Roman"/>
          <w:noProof/>
        </w:rPr>
      </w:pPr>
      <w:r>
        <w:rPr>
          <w:b/>
          <w:noProof/>
          <w:u w:val="single"/>
        </w:rPr>
        <w:t xml:space="preserve">M.1 </w:t>
      </w:r>
      <w:r>
        <w:rPr>
          <w:b/>
          <w:noProof/>
          <w:u w:val="single"/>
        </w:rPr>
        <w:tab/>
        <w:t>Opis reform in naložb za nepovratno finančno podporo</w:t>
      </w:r>
    </w:p>
    <w:p w14:paraId="2C3F6DAE" w14:textId="77777777" w:rsidR="003C6015" w:rsidRPr="00DD6A04" w:rsidRDefault="003C6015" w:rsidP="003C6015">
      <w:pPr>
        <w:spacing w:line="240" w:lineRule="auto"/>
        <w:jc w:val="both"/>
        <w:rPr>
          <w:rFonts w:eastAsia="Times New Roman"/>
          <w:noProof/>
          <w:u w:val="single"/>
        </w:rPr>
      </w:pPr>
      <w:r>
        <w:rPr>
          <w:noProof/>
          <w:u w:val="single"/>
        </w:rPr>
        <w:t>Reforma A. Odpravljanje administrativnih ovir</w:t>
      </w:r>
    </w:p>
    <w:p w14:paraId="185F8681" w14:textId="77777777" w:rsidR="003C6015" w:rsidRPr="00DD6A04" w:rsidRDefault="003C6015" w:rsidP="003C6015">
      <w:pPr>
        <w:spacing w:line="240" w:lineRule="auto"/>
        <w:jc w:val="both"/>
        <w:rPr>
          <w:rFonts w:eastAsia="Times New Roman"/>
          <w:noProof/>
        </w:rPr>
      </w:pPr>
      <w:r>
        <w:rPr>
          <w:noProof/>
        </w:rPr>
        <w:t>Cilj reforme je zmanjšati upravno breme za podjetja in državljane, znižati stroške upravnih postopkov in poenostaviti s tem povezano zakonodajo v Sloveniji.</w:t>
      </w:r>
    </w:p>
    <w:p w14:paraId="23B7B19F" w14:textId="77777777" w:rsidR="003C6015" w:rsidRPr="00DD6A04" w:rsidRDefault="003C6015" w:rsidP="003C6015">
      <w:pPr>
        <w:spacing w:line="240" w:lineRule="auto"/>
        <w:jc w:val="both"/>
        <w:rPr>
          <w:rFonts w:eastAsia="Times New Roman"/>
          <w:noProof/>
        </w:rPr>
      </w:pPr>
      <w:r>
        <w:rPr>
          <w:noProof/>
        </w:rPr>
        <w:t xml:space="preserve">Reforma je sestavljena iz začetka veljavnosti „Zakona o debirokratizaciji“, tj. paketa zakonodajnih sprememb, namenjenih poenostavitvi zakonodaje. Po javnih posvetovanjih, tudi z državljani, predstavniki podjetij, sindikati, občinami in drugimi, bo začel veljati tudi drugi debirokratizacijski paket. Drugi paket se osredotoča na poenostavitev zakonodaje, nastale pred osamosvojitvijo. </w:t>
      </w:r>
    </w:p>
    <w:p w14:paraId="5925E16C" w14:textId="77777777" w:rsidR="003C6015" w:rsidRPr="00DD6A04" w:rsidRDefault="003C6015" w:rsidP="003C6015">
      <w:pPr>
        <w:spacing w:line="240" w:lineRule="auto"/>
        <w:jc w:val="both"/>
        <w:rPr>
          <w:rFonts w:eastAsia="Times New Roman"/>
          <w:noProof/>
        </w:rPr>
      </w:pPr>
      <w:r>
        <w:rPr>
          <w:noProof/>
        </w:rPr>
        <w:t>Mejniki v zvezi z izvedbo reforme bodo doseženi do 30. junija 2022.</w:t>
      </w:r>
    </w:p>
    <w:p w14:paraId="1D250687" w14:textId="77777777" w:rsidR="003C6015" w:rsidRPr="00DD6A04" w:rsidRDefault="003C6015" w:rsidP="003C6015">
      <w:pPr>
        <w:spacing w:line="240" w:lineRule="auto"/>
        <w:jc w:val="both"/>
        <w:rPr>
          <w:rFonts w:eastAsia="Times New Roman"/>
          <w:noProof/>
          <w:u w:val="single"/>
        </w:rPr>
      </w:pPr>
      <w:r>
        <w:rPr>
          <w:noProof/>
          <w:u w:val="single"/>
        </w:rPr>
        <w:t>Reforma B. Moderen in odporen javni sektor</w:t>
      </w:r>
    </w:p>
    <w:p w14:paraId="30782C7B" w14:textId="77777777" w:rsidR="003C6015" w:rsidRPr="00DD6A04" w:rsidRDefault="003C6015" w:rsidP="003C6015">
      <w:pPr>
        <w:spacing w:line="240" w:lineRule="auto"/>
        <w:jc w:val="both"/>
        <w:rPr>
          <w:rFonts w:eastAsia="Times New Roman"/>
          <w:noProof/>
        </w:rPr>
      </w:pPr>
      <w:r>
        <w:rPr>
          <w:noProof/>
        </w:rPr>
        <w:t>Cilj reforme je okrepiti uporabo variabilnega nagrajevanja in plačil glede na uspešnost dela v javnem sektorju, da se poveča njegova učinkovitost. Reforma bo ohranila javnofinančno vzdržnost sistema plač v javnem sektorju.</w:t>
      </w:r>
    </w:p>
    <w:p w14:paraId="0D4F3072" w14:textId="77777777" w:rsidR="003C6015" w:rsidRPr="00DD6A04" w:rsidRDefault="003C6015" w:rsidP="003C6015">
      <w:pPr>
        <w:spacing w:line="240" w:lineRule="auto"/>
        <w:jc w:val="both"/>
        <w:rPr>
          <w:rFonts w:eastAsia="Times New Roman"/>
          <w:noProof/>
        </w:rPr>
      </w:pPr>
      <w:r>
        <w:rPr>
          <w:noProof/>
        </w:rPr>
        <w:t>Reforma vključuje začetek veljavnosti novega zakona, ki posodablja sistem plačil v javnem sektorju. Novi sistem plačil naj bi poudaril vlogo vodstvenih delavcev in izboljšal upravljanje človeških virov ter razvil model kompetenc za zaposlene v javnem sektorju. Poleg tega bo določal različna plačila glede na segment javnega sektorja, kar naj bi ustvarilo večjo prožnost, in zagotavljal, da je plačilo povezano z uspešnostjo dela. Zakonodaja bo omogočala različno ureditev za posamezne dejavnosti oziroma poklice, obenem pa obravnavala tudi pomanjkanje določenih poklicev v javnem sektorju.</w:t>
      </w:r>
    </w:p>
    <w:p w14:paraId="32023D03" w14:textId="0BB6F45D" w:rsidR="003C6015" w:rsidRPr="00DD6A04" w:rsidRDefault="003C6015" w:rsidP="003C6015">
      <w:pPr>
        <w:spacing w:line="240" w:lineRule="auto"/>
        <w:jc w:val="both"/>
        <w:rPr>
          <w:rFonts w:eastAsia="Times New Roman"/>
          <w:noProof/>
        </w:rPr>
      </w:pPr>
      <w:r>
        <w:rPr>
          <w:noProof/>
        </w:rPr>
        <w:t>Mejniki v zvezi z izvedbo reforme bodo doseženi do 30. junija 2024.</w:t>
      </w:r>
    </w:p>
    <w:p w14:paraId="1AEB6D64" w14:textId="77777777" w:rsidR="003C6015" w:rsidRPr="00DD6A04" w:rsidRDefault="003C6015" w:rsidP="003C6015">
      <w:pPr>
        <w:spacing w:line="240" w:lineRule="auto"/>
        <w:jc w:val="both"/>
        <w:rPr>
          <w:rFonts w:eastAsia="Times New Roman"/>
          <w:noProof/>
          <w:lang w:val="en-GB"/>
        </w:rPr>
      </w:pPr>
    </w:p>
    <w:p w14:paraId="54D04BE0" w14:textId="77777777" w:rsidR="003C6015" w:rsidRPr="00DD6A04" w:rsidRDefault="003C6015" w:rsidP="003C6015">
      <w:pPr>
        <w:spacing w:line="240" w:lineRule="auto"/>
        <w:jc w:val="both"/>
        <w:rPr>
          <w:rFonts w:eastAsia="Times New Roman"/>
          <w:noProof/>
          <w:u w:val="single"/>
        </w:rPr>
      </w:pPr>
      <w:r>
        <w:rPr>
          <w:noProof/>
          <w:u w:val="single"/>
        </w:rPr>
        <w:t>Reforma C. Ustvarjanje sistemskih pogojev za rast investicij</w:t>
      </w:r>
    </w:p>
    <w:p w14:paraId="55FBB334" w14:textId="77777777" w:rsidR="003C6015" w:rsidRPr="00DD6A04" w:rsidRDefault="003C6015" w:rsidP="003C6015">
      <w:pPr>
        <w:spacing w:line="240" w:lineRule="auto"/>
        <w:jc w:val="both"/>
        <w:rPr>
          <w:rFonts w:eastAsia="Times New Roman"/>
          <w:noProof/>
        </w:rPr>
      </w:pPr>
      <w:r>
        <w:rPr>
          <w:noProof/>
        </w:rPr>
        <w:t>Cilj reforme je povečati javne in zasebne investicije s poenostavitvijo postopkov na področju gradnje in prostorskega načrtovanja ter reformo sistema javnih naročil.</w:t>
      </w:r>
    </w:p>
    <w:p w14:paraId="3416C222" w14:textId="77777777" w:rsidR="003C6015" w:rsidRPr="00DD6A04" w:rsidRDefault="003C6015" w:rsidP="003C6015">
      <w:pPr>
        <w:spacing w:line="240" w:lineRule="auto"/>
        <w:jc w:val="both"/>
        <w:rPr>
          <w:rFonts w:eastAsia="Times New Roman"/>
          <w:noProof/>
        </w:rPr>
      </w:pPr>
      <w:r>
        <w:rPr>
          <w:noProof/>
        </w:rPr>
        <w:t xml:space="preserve">Reforma obsega začetek veljavnosti sprememb Gradbenega zakona in Zakona o urejanju prostora, ki bodo izboljšale instrumente urejanja prostora, vzpostavile učinkovitejše vodenje državnega in občinskega urejanja prostora ter omogočile digitalizacijo ključnih prostorskih podatkov, ki se uporabljajo za pripravo prostorskih dokumentov. Spremembe bodo pospešile izdajanje dovoljenj, hkrati pa varovale javne interese in zagotavljale pravno varnost vsem akterjem, ki sodelujejo pri gradnji. </w:t>
      </w:r>
    </w:p>
    <w:p w14:paraId="68226FEF" w14:textId="296FFF0E" w:rsidR="003C6015" w:rsidRPr="00DD6A04" w:rsidRDefault="003C6015" w:rsidP="003C6015">
      <w:pPr>
        <w:spacing w:line="240" w:lineRule="auto"/>
        <w:jc w:val="both"/>
        <w:rPr>
          <w:rFonts w:eastAsia="Times New Roman"/>
          <w:noProof/>
        </w:rPr>
      </w:pPr>
      <w:r>
        <w:rPr>
          <w:noProof/>
        </w:rPr>
        <w:t>Reforma bo obsegala tudi ukrepe za izboljšanje sistema javnega naročanja v Sloveniji. Zakon o javnem naročanju bo spremenjen, da se povečata digitalizacija in konkurenca v postopkih javnega naročanja. Z reformo bo ustanovljena tudi Akademija javnega naročanja, da se poviša raven profesionalizacije z nadaljnjim kakovostnim izobraževanjem in usposabljanjem oseb, ki sodelujejo pri izvajanju javnih naročil. Reforma bo zagotavljala tudi primerljivost in razširjanje podatkov o javnih naročilih prek pregleda enotnega trga. Tehnična pomoč naj bi podprla izvajanje reforme ter opredelila načine za izboljšanje konkurence in oceno reforme, ko bo v celoti izvedena. Pričakovano doseganje cilja bo pomenilo napredek pri povečanju preglednosti in konkurenčnosti sistema javnega naročanja v Sloveniji.</w:t>
      </w:r>
    </w:p>
    <w:p w14:paraId="0C2D1F03" w14:textId="77777777" w:rsidR="003C6015" w:rsidRPr="00DD6A04" w:rsidRDefault="003C6015" w:rsidP="003C6015">
      <w:pPr>
        <w:spacing w:line="240" w:lineRule="auto"/>
        <w:jc w:val="both"/>
        <w:rPr>
          <w:rFonts w:eastAsia="Times New Roman"/>
          <w:noProof/>
        </w:rPr>
      </w:pPr>
      <w:r>
        <w:rPr>
          <w:noProof/>
        </w:rPr>
        <w:t xml:space="preserve">Mejniki in cilj v zvezi z izvedbo investicije bodo doseženi do 31. decembra 2024. </w:t>
      </w:r>
    </w:p>
    <w:p w14:paraId="3A0B5AE1" w14:textId="77777777" w:rsidR="003C6015" w:rsidRPr="00DD6A04" w:rsidRDefault="003C6015" w:rsidP="003C6015">
      <w:pPr>
        <w:spacing w:line="240" w:lineRule="auto"/>
        <w:jc w:val="both"/>
        <w:rPr>
          <w:rFonts w:eastAsia="Times New Roman"/>
          <w:noProof/>
          <w:highlight w:val="yellow"/>
          <w:lang w:val="en-GB"/>
        </w:rPr>
      </w:pPr>
    </w:p>
    <w:p w14:paraId="60AA4AB2" w14:textId="77777777" w:rsidR="003C6015" w:rsidRPr="00DD6A04" w:rsidRDefault="003C6015" w:rsidP="003C6015">
      <w:pPr>
        <w:spacing w:line="240" w:lineRule="auto"/>
        <w:jc w:val="both"/>
        <w:rPr>
          <w:rFonts w:eastAsia="Times New Roman"/>
          <w:noProof/>
          <w:u w:val="single"/>
        </w:rPr>
      </w:pPr>
      <w:r>
        <w:rPr>
          <w:noProof/>
          <w:u w:val="single"/>
        </w:rPr>
        <w:t>Reforma D. Spremljanje in izvajanje načrta za okrevanje in odpornost – kontrolni in revizijski sistemi</w:t>
      </w:r>
    </w:p>
    <w:p w14:paraId="00006A28" w14:textId="77777777" w:rsidR="003C6015" w:rsidRPr="00DD6A04" w:rsidRDefault="003C6015" w:rsidP="003C6015">
      <w:pPr>
        <w:spacing w:line="240" w:lineRule="auto"/>
        <w:jc w:val="both"/>
        <w:rPr>
          <w:noProof/>
        </w:rPr>
      </w:pPr>
      <w:r>
        <w:rPr>
          <w:noProof/>
        </w:rPr>
        <w:t>Cilj reforme je vzpostaviti in formalizirati pravni in institucionalni okvir za ustrezno delovanje kontrolnih in revizijskih sistemov.</w:t>
      </w:r>
    </w:p>
    <w:p w14:paraId="2AF52BB1" w14:textId="77777777" w:rsidR="003C6015" w:rsidRPr="00DD6A04" w:rsidRDefault="003C6015" w:rsidP="003C6015">
      <w:pPr>
        <w:spacing w:line="240" w:lineRule="auto"/>
        <w:jc w:val="both"/>
        <w:rPr>
          <w:noProof/>
        </w:rPr>
      </w:pPr>
      <w:r>
        <w:rPr>
          <w:noProof/>
        </w:rPr>
        <w:t>Reforma obsega ustanovitev Urada za izvajanje načrta za okrevanje in odpornost kot ločenega organa v okviru Ministrstva za finance, ki bo deloval kot koordinacijski organ za izvajanje načrta za okrevanje in odpornost. Reforma obsega tudi sprejetje nacionalne uredbe in smernic usklajevalnega organa, ki določajo postopke za izvajanje revizij in kontrol v skladu z veljavno zakonodajo Unije in nacionalno zakonodajo, ter nadgradnjo informacijskega sistema Ministrstva za finance (MFERAC).</w:t>
      </w:r>
    </w:p>
    <w:p w14:paraId="1A99F0C2" w14:textId="77777777" w:rsidR="003C6015" w:rsidRPr="00DD6A04" w:rsidRDefault="003C6015" w:rsidP="003C6015">
      <w:pPr>
        <w:spacing w:line="240" w:lineRule="auto"/>
        <w:rPr>
          <w:noProof/>
        </w:rPr>
        <w:sectPr w:rsidR="003C6015" w:rsidRPr="00DD6A04" w:rsidSect="00073927">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26"/>
        </w:sectPr>
      </w:pPr>
      <w:r>
        <w:rPr>
          <w:noProof/>
        </w:rPr>
        <w:t>Mejnik v zvezi z izvedbo reforme bo dosežen do 30. septembra 2021.</w:t>
      </w:r>
    </w:p>
    <w:p w14:paraId="1EB6005F" w14:textId="77777777" w:rsidR="003C6015" w:rsidRPr="00DD6A04" w:rsidRDefault="003C6015" w:rsidP="003C6015">
      <w:pPr>
        <w:keepNext/>
        <w:keepLines/>
        <w:spacing w:before="0" w:line="240" w:lineRule="auto"/>
        <w:rPr>
          <w:b/>
          <w:noProof/>
          <w:u w:val="single"/>
        </w:rPr>
      </w:pPr>
      <w:r>
        <w:rPr>
          <w:b/>
          <w:noProof/>
          <w:u w:val="single"/>
        </w:rPr>
        <w:t xml:space="preserve">M.2 </w:t>
      </w:r>
      <w:r>
        <w:rPr>
          <w:b/>
          <w:noProof/>
          <w:u w:val="single"/>
        </w:rPr>
        <w:tab/>
        <w:t>Mejniki, cilji, kazalniki in časovni razpored za spremljanje in izvajanje nepovratne finančne podpore</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659"/>
        <w:gridCol w:w="1350"/>
        <w:gridCol w:w="1922"/>
        <w:gridCol w:w="1761"/>
        <w:gridCol w:w="1161"/>
        <w:gridCol w:w="1231"/>
        <w:gridCol w:w="817"/>
        <w:gridCol w:w="1120"/>
        <w:gridCol w:w="720"/>
        <w:gridCol w:w="22"/>
        <w:gridCol w:w="2701"/>
        <w:gridCol w:w="9"/>
      </w:tblGrid>
      <w:tr w:rsidR="003C6015" w:rsidRPr="00DD6A04" w14:paraId="543A95CE" w14:textId="77777777" w:rsidTr="00922AE5">
        <w:trPr>
          <w:trHeight w:val="927"/>
          <w:tblHeader/>
          <w:jc w:val="center"/>
        </w:trPr>
        <w:tc>
          <w:tcPr>
            <w:tcW w:w="1350" w:type="dxa"/>
            <w:vMerge w:val="restart"/>
            <w:shd w:val="clear" w:color="auto" w:fill="BDD7EE"/>
            <w:vAlign w:val="center"/>
            <w:hideMark/>
          </w:tcPr>
          <w:p w14:paraId="4738F156" w14:textId="77777777" w:rsidR="003C6015" w:rsidRPr="00DD6A04" w:rsidRDefault="003C6015" w:rsidP="003C6015">
            <w:pPr>
              <w:spacing w:before="0" w:after="0" w:line="256" w:lineRule="auto"/>
              <w:jc w:val="center"/>
              <w:rPr>
                <w:rFonts w:eastAsia="Times New Roman"/>
                <w:b/>
                <w:noProof/>
              </w:rPr>
            </w:pPr>
            <w:r>
              <w:rPr>
                <w:b/>
                <w:noProof/>
              </w:rPr>
              <w:t>Zaporedna številka</w:t>
            </w:r>
          </w:p>
        </w:tc>
        <w:tc>
          <w:tcPr>
            <w:tcW w:w="1659" w:type="dxa"/>
            <w:vMerge w:val="restart"/>
            <w:shd w:val="clear" w:color="auto" w:fill="BDD7EE"/>
            <w:vAlign w:val="center"/>
            <w:hideMark/>
          </w:tcPr>
          <w:p w14:paraId="6E8F4C40" w14:textId="77777777" w:rsidR="003C6015" w:rsidRPr="00DD6A04" w:rsidRDefault="003C6015" w:rsidP="003C6015">
            <w:pPr>
              <w:spacing w:before="0" w:after="0" w:line="256" w:lineRule="auto"/>
              <w:jc w:val="center"/>
              <w:rPr>
                <w:rFonts w:eastAsia="Times New Roman"/>
                <w:b/>
                <w:noProof/>
              </w:rPr>
            </w:pPr>
            <w:r>
              <w:rPr>
                <w:b/>
                <w:noProof/>
              </w:rPr>
              <w:t>Povezani ukrep (reforma ali naložba)</w:t>
            </w:r>
          </w:p>
        </w:tc>
        <w:tc>
          <w:tcPr>
            <w:tcW w:w="1350" w:type="dxa"/>
            <w:vMerge w:val="restart"/>
            <w:shd w:val="clear" w:color="auto" w:fill="BDD7EE"/>
            <w:vAlign w:val="center"/>
            <w:hideMark/>
          </w:tcPr>
          <w:p w14:paraId="0A6D358E" w14:textId="77777777" w:rsidR="003C6015" w:rsidRPr="00DD6A04" w:rsidRDefault="003C6015" w:rsidP="003C6015">
            <w:pPr>
              <w:spacing w:before="0" w:after="0" w:line="256" w:lineRule="auto"/>
              <w:jc w:val="center"/>
              <w:rPr>
                <w:rFonts w:eastAsia="Times New Roman"/>
                <w:b/>
                <w:noProof/>
              </w:rPr>
            </w:pPr>
            <w:r>
              <w:rPr>
                <w:b/>
                <w:noProof/>
              </w:rPr>
              <w:t>Mejnik/cilj</w:t>
            </w:r>
          </w:p>
        </w:tc>
        <w:tc>
          <w:tcPr>
            <w:tcW w:w="1922" w:type="dxa"/>
            <w:vMerge w:val="restart"/>
            <w:shd w:val="clear" w:color="auto" w:fill="BDD7EE"/>
            <w:vAlign w:val="center"/>
            <w:hideMark/>
          </w:tcPr>
          <w:p w14:paraId="1AAC3745" w14:textId="77777777" w:rsidR="003C6015" w:rsidRPr="00DD6A04" w:rsidRDefault="003C6015" w:rsidP="003C6015">
            <w:pPr>
              <w:spacing w:before="0" w:after="0" w:line="256" w:lineRule="auto"/>
              <w:jc w:val="center"/>
              <w:rPr>
                <w:rFonts w:eastAsia="Times New Roman"/>
                <w:b/>
                <w:noProof/>
              </w:rPr>
            </w:pPr>
            <w:r>
              <w:rPr>
                <w:b/>
                <w:noProof/>
              </w:rPr>
              <w:t>Ime</w:t>
            </w:r>
          </w:p>
        </w:tc>
        <w:tc>
          <w:tcPr>
            <w:tcW w:w="1761" w:type="dxa"/>
            <w:vMerge w:val="restart"/>
            <w:shd w:val="clear" w:color="auto" w:fill="BDD7EE"/>
            <w:vAlign w:val="center"/>
            <w:hideMark/>
          </w:tcPr>
          <w:p w14:paraId="5BD10BC3" w14:textId="48139ABE" w:rsidR="003C6015" w:rsidRPr="00DD6A04" w:rsidRDefault="003C6015" w:rsidP="003C6015">
            <w:pPr>
              <w:spacing w:before="0" w:after="0" w:line="256" w:lineRule="auto"/>
              <w:jc w:val="center"/>
              <w:rPr>
                <w:rFonts w:eastAsia="Times New Roman"/>
                <w:b/>
                <w:noProof/>
              </w:rPr>
            </w:pPr>
            <w:r>
              <w:rPr>
                <w:b/>
                <w:noProof/>
              </w:rPr>
              <w:t>Kvalitativni kazalniki (za mejnike)</w:t>
            </w:r>
          </w:p>
        </w:tc>
        <w:tc>
          <w:tcPr>
            <w:tcW w:w="3209" w:type="dxa"/>
            <w:gridSpan w:val="3"/>
            <w:shd w:val="clear" w:color="auto" w:fill="BDD7EE"/>
            <w:vAlign w:val="center"/>
            <w:hideMark/>
          </w:tcPr>
          <w:p w14:paraId="7DBD0C6E" w14:textId="77777777" w:rsidR="003C6015" w:rsidRPr="00DD6A04" w:rsidRDefault="003C6015" w:rsidP="003C6015">
            <w:pPr>
              <w:spacing w:before="0" w:after="0" w:line="256" w:lineRule="auto"/>
              <w:jc w:val="center"/>
              <w:rPr>
                <w:rFonts w:eastAsia="Times New Roman"/>
                <w:b/>
                <w:noProof/>
              </w:rPr>
            </w:pPr>
            <w:r>
              <w:rPr>
                <w:b/>
                <w:noProof/>
              </w:rPr>
              <w:t>Kvantitativni kazalniki (za cilje)</w:t>
            </w:r>
          </w:p>
        </w:tc>
        <w:tc>
          <w:tcPr>
            <w:tcW w:w="1599" w:type="dxa"/>
            <w:gridSpan w:val="3"/>
            <w:shd w:val="clear" w:color="auto" w:fill="BDD7EE"/>
            <w:vAlign w:val="center"/>
            <w:hideMark/>
          </w:tcPr>
          <w:p w14:paraId="5892DAEF" w14:textId="77777777" w:rsidR="003C6015" w:rsidRPr="00DD6A04" w:rsidRDefault="003C6015" w:rsidP="003C6015">
            <w:pPr>
              <w:spacing w:before="0" w:after="0" w:line="256" w:lineRule="auto"/>
              <w:jc w:val="center"/>
              <w:rPr>
                <w:rFonts w:eastAsia="Times New Roman"/>
                <w:b/>
                <w:noProof/>
              </w:rPr>
            </w:pPr>
            <w:r>
              <w:rPr>
                <w:b/>
                <w:noProof/>
              </w:rPr>
              <w:t xml:space="preserve">Okvirni časovni razpored za dokončanje </w:t>
            </w:r>
          </w:p>
        </w:tc>
        <w:tc>
          <w:tcPr>
            <w:tcW w:w="2716" w:type="dxa"/>
            <w:gridSpan w:val="2"/>
            <w:shd w:val="clear" w:color="auto" w:fill="BDD7EE"/>
            <w:vAlign w:val="center"/>
            <w:hideMark/>
          </w:tcPr>
          <w:p w14:paraId="14E5F026" w14:textId="77777777" w:rsidR="003C6015" w:rsidRPr="00DD6A04" w:rsidRDefault="003C6015" w:rsidP="003C6015">
            <w:pPr>
              <w:spacing w:before="0" w:after="0" w:line="256" w:lineRule="auto"/>
              <w:jc w:val="center"/>
              <w:rPr>
                <w:rFonts w:eastAsia="Times New Roman"/>
                <w:b/>
                <w:noProof/>
              </w:rPr>
            </w:pPr>
            <w:r>
              <w:rPr>
                <w:b/>
                <w:noProof/>
              </w:rPr>
              <w:t>Opis vsakega mejnika in cilja</w:t>
            </w:r>
          </w:p>
        </w:tc>
      </w:tr>
      <w:tr w:rsidR="003C6015" w:rsidRPr="00DD6A04" w14:paraId="325D57E0" w14:textId="77777777" w:rsidTr="00922AE5">
        <w:trPr>
          <w:gridAfter w:val="1"/>
          <w:wAfter w:w="15" w:type="dxa"/>
          <w:trHeight w:val="190"/>
          <w:tblHeader/>
          <w:jc w:val="center"/>
        </w:trPr>
        <w:tc>
          <w:tcPr>
            <w:tcW w:w="1350" w:type="dxa"/>
            <w:vMerge/>
            <w:vAlign w:val="center"/>
            <w:hideMark/>
          </w:tcPr>
          <w:p w14:paraId="6691DBEC" w14:textId="77777777" w:rsidR="003C6015" w:rsidRPr="00DD6A04" w:rsidRDefault="003C6015" w:rsidP="003C6015">
            <w:pPr>
              <w:spacing w:before="0" w:after="0" w:line="256" w:lineRule="auto"/>
              <w:rPr>
                <w:rFonts w:eastAsia="Times New Roman"/>
                <w:b/>
                <w:noProof/>
                <w:lang w:val="en-GB" w:eastAsia="en-GB"/>
              </w:rPr>
            </w:pPr>
          </w:p>
        </w:tc>
        <w:tc>
          <w:tcPr>
            <w:tcW w:w="1659" w:type="dxa"/>
            <w:vMerge/>
            <w:vAlign w:val="center"/>
            <w:hideMark/>
          </w:tcPr>
          <w:p w14:paraId="04AECFA5" w14:textId="77777777" w:rsidR="003C6015" w:rsidRPr="00DD6A04" w:rsidRDefault="003C6015" w:rsidP="003C6015">
            <w:pPr>
              <w:spacing w:before="0" w:after="0" w:line="256" w:lineRule="auto"/>
              <w:rPr>
                <w:rFonts w:eastAsia="Times New Roman"/>
                <w:b/>
                <w:noProof/>
                <w:lang w:val="en-GB" w:eastAsia="en-GB"/>
              </w:rPr>
            </w:pPr>
          </w:p>
        </w:tc>
        <w:tc>
          <w:tcPr>
            <w:tcW w:w="1350" w:type="dxa"/>
            <w:vMerge/>
            <w:vAlign w:val="center"/>
            <w:hideMark/>
          </w:tcPr>
          <w:p w14:paraId="4160976D" w14:textId="77777777" w:rsidR="003C6015" w:rsidRPr="00DD6A04" w:rsidRDefault="003C6015" w:rsidP="003C6015">
            <w:pPr>
              <w:spacing w:before="0" w:after="0" w:line="256" w:lineRule="auto"/>
              <w:rPr>
                <w:rFonts w:eastAsia="Times New Roman"/>
                <w:b/>
                <w:noProof/>
                <w:lang w:val="en-GB" w:eastAsia="en-GB"/>
              </w:rPr>
            </w:pPr>
          </w:p>
        </w:tc>
        <w:tc>
          <w:tcPr>
            <w:tcW w:w="1922" w:type="dxa"/>
            <w:vMerge/>
            <w:vAlign w:val="center"/>
            <w:hideMark/>
          </w:tcPr>
          <w:p w14:paraId="319E0A10" w14:textId="77777777" w:rsidR="003C6015" w:rsidRPr="00DD6A04" w:rsidRDefault="003C6015" w:rsidP="003C6015">
            <w:pPr>
              <w:spacing w:before="0" w:after="0" w:line="256" w:lineRule="auto"/>
              <w:rPr>
                <w:rFonts w:eastAsia="Times New Roman"/>
                <w:b/>
                <w:noProof/>
                <w:lang w:val="en-GB" w:eastAsia="en-GB"/>
              </w:rPr>
            </w:pPr>
          </w:p>
        </w:tc>
        <w:tc>
          <w:tcPr>
            <w:tcW w:w="1761" w:type="dxa"/>
            <w:vMerge/>
            <w:vAlign w:val="center"/>
            <w:hideMark/>
          </w:tcPr>
          <w:p w14:paraId="16F4DD02" w14:textId="77777777" w:rsidR="003C6015" w:rsidRPr="00DD6A04" w:rsidRDefault="003C6015" w:rsidP="003C6015">
            <w:pPr>
              <w:spacing w:before="0" w:after="0" w:line="256" w:lineRule="auto"/>
              <w:rPr>
                <w:rFonts w:eastAsia="Times New Roman"/>
                <w:b/>
                <w:noProof/>
                <w:lang w:val="en-GB" w:eastAsia="en-GB"/>
              </w:rPr>
            </w:pPr>
          </w:p>
        </w:tc>
        <w:tc>
          <w:tcPr>
            <w:tcW w:w="1161" w:type="dxa"/>
            <w:shd w:val="clear" w:color="auto" w:fill="BDD7EE"/>
            <w:vAlign w:val="center"/>
            <w:hideMark/>
          </w:tcPr>
          <w:p w14:paraId="4ACF5D5C" w14:textId="77777777" w:rsidR="003C6015" w:rsidRPr="00DD6A04" w:rsidRDefault="003C6015" w:rsidP="003C6015">
            <w:pPr>
              <w:spacing w:before="0" w:after="0" w:line="256" w:lineRule="auto"/>
              <w:jc w:val="center"/>
              <w:rPr>
                <w:rFonts w:eastAsia="Times New Roman"/>
                <w:b/>
                <w:noProof/>
                <w:sz w:val="22"/>
              </w:rPr>
            </w:pPr>
            <w:r>
              <w:rPr>
                <w:b/>
                <w:noProof/>
                <w:sz w:val="22"/>
              </w:rPr>
              <w:t>Enota merjenja</w:t>
            </w:r>
          </w:p>
        </w:tc>
        <w:tc>
          <w:tcPr>
            <w:tcW w:w="1231" w:type="dxa"/>
            <w:shd w:val="clear" w:color="auto" w:fill="BDD7EE"/>
            <w:vAlign w:val="center"/>
            <w:hideMark/>
          </w:tcPr>
          <w:p w14:paraId="103D5EC7"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Izhodiščna raven </w:t>
            </w:r>
          </w:p>
        </w:tc>
        <w:tc>
          <w:tcPr>
            <w:tcW w:w="817" w:type="dxa"/>
            <w:shd w:val="clear" w:color="auto" w:fill="BDD7EE"/>
            <w:vAlign w:val="center"/>
            <w:hideMark/>
          </w:tcPr>
          <w:p w14:paraId="1D69AF4B"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Ciljna raven </w:t>
            </w:r>
          </w:p>
        </w:tc>
        <w:tc>
          <w:tcPr>
            <w:tcW w:w="857" w:type="dxa"/>
            <w:shd w:val="clear" w:color="auto" w:fill="BDD7EE"/>
            <w:vAlign w:val="center"/>
            <w:hideMark/>
          </w:tcPr>
          <w:p w14:paraId="7A769028" w14:textId="77777777" w:rsidR="003C6015" w:rsidRPr="00DD6A04" w:rsidRDefault="003C6015" w:rsidP="003C6015">
            <w:pPr>
              <w:spacing w:before="0" w:after="0" w:line="256" w:lineRule="auto"/>
              <w:jc w:val="center"/>
              <w:rPr>
                <w:rFonts w:eastAsia="Times New Roman"/>
                <w:b/>
                <w:noProof/>
                <w:sz w:val="22"/>
              </w:rPr>
            </w:pPr>
            <w:r>
              <w:rPr>
                <w:b/>
                <w:noProof/>
                <w:sz w:val="22"/>
              </w:rPr>
              <w:t>Četrtletje</w:t>
            </w:r>
          </w:p>
        </w:tc>
        <w:tc>
          <w:tcPr>
            <w:tcW w:w="720" w:type="dxa"/>
            <w:shd w:val="clear" w:color="auto" w:fill="BDD7EE"/>
            <w:vAlign w:val="center"/>
            <w:hideMark/>
          </w:tcPr>
          <w:p w14:paraId="31854C69" w14:textId="77777777" w:rsidR="003C6015" w:rsidRPr="00DD6A04" w:rsidRDefault="003C6015" w:rsidP="003C6015">
            <w:pPr>
              <w:spacing w:before="0" w:after="0" w:line="256" w:lineRule="auto"/>
              <w:jc w:val="center"/>
              <w:rPr>
                <w:rFonts w:eastAsia="Times New Roman"/>
                <w:b/>
                <w:noProof/>
                <w:sz w:val="22"/>
              </w:rPr>
            </w:pPr>
            <w:r>
              <w:rPr>
                <w:b/>
                <w:noProof/>
                <w:sz w:val="22"/>
              </w:rPr>
              <w:t>Leto</w:t>
            </w:r>
          </w:p>
        </w:tc>
        <w:tc>
          <w:tcPr>
            <w:tcW w:w="2723" w:type="dxa"/>
            <w:gridSpan w:val="2"/>
            <w:vAlign w:val="center"/>
            <w:hideMark/>
          </w:tcPr>
          <w:p w14:paraId="61D137FA" w14:textId="77777777" w:rsidR="003C6015" w:rsidRPr="00DD6A04" w:rsidRDefault="003C6015" w:rsidP="003C6015">
            <w:pPr>
              <w:spacing w:before="0" w:after="0" w:line="256" w:lineRule="auto"/>
              <w:rPr>
                <w:rFonts w:eastAsia="Times New Roman"/>
                <w:b/>
                <w:noProof/>
                <w:lang w:val="en-GB" w:eastAsia="en-GB"/>
              </w:rPr>
            </w:pPr>
          </w:p>
        </w:tc>
      </w:tr>
      <w:tr w:rsidR="003C6015" w:rsidRPr="00DD6A04" w14:paraId="4A02420F" w14:textId="77777777" w:rsidTr="00922AE5">
        <w:trPr>
          <w:gridAfter w:val="1"/>
          <w:wAfter w:w="15" w:type="dxa"/>
          <w:trHeight w:val="309"/>
          <w:jc w:val="center"/>
        </w:trPr>
        <w:tc>
          <w:tcPr>
            <w:tcW w:w="1350" w:type="dxa"/>
            <w:shd w:val="clear" w:color="auto" w:fill="C6EFCE"/>
            <w:noWrap/>
            <w:hideMark/>
          </w:tcPr>
          <w:p w14:paraId="4200EEFD"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171</w:t>
            </w:r>
          </w:p>
        </w:tc>
        <w:tc>
          <w:tcPr>
            <w:tcW w:w="1659" w:type="dxa"/>
            <w:shd w:val="clear" w:color="auto" w:fill="C6EFCE"/>
            <w:noWrap/>
            <w:hideMark/>
          </w:tcPr>
          <w:p w14:paraId="38DD25BE" w14:textId="77777777" w:rsidR="003C6015" w:rsidRPr="00DD6A04" w:rsidRDefault="003C6015" w:rsidP="00B3122C">
            <w:pPr>
              <w:spacing w:before="0" w:after="0" w:line="256" w:lineRule="auto"/>
              <w:rPr>
                <w:rFonts w:eastAsia="Times New Roman"/>
                <w:noProof/>
                <w:color w:val="006100"/>
                <w:sz w:val="22"/>
              </w:rPr>
            </w:pPr>
            <w:r>
              <w:rPr>
                <w:noProof/>
                <w:color w:val="006100"/>
                <w:sz w:val="22"/>
              </w:rPr>
              <w:t>A: Odpravljanje administrativnih ovir</w:t>
            </w:r>
          </w:p>
        </w:tc>
        <w:tc>
          <w:tcPr>
            <w:tcW w:w="1350" w:type="dxa"/>
            <w:shd w:val="clear" w:color="auto" w:fill="C6EFCE"/>
            <w:noWrap/>
            <w:hideMark/>
          </w:tcPr>
          <w:p w14:paraId="16FDCEF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hideMark/>
          </w:tcPr>
          <w:p w14:paraId="21F933D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Začetek veljavnosti Zakona o debirokratizaciji </w:t>
            </w:r>
          </w:p>
        </w:tc>
        <w:tc>
          <w:tcPr>
            <w:tcW w:w="1761" w:type="dxa"/>
            <w:shd w:val="clear" w:color="auto" w:fill="C6EFCE"/>
            <w:noWrap/>
            <w:hideMark/>
          </w:tcPr>
          <w:p w14:paraId="7045B63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Zakonodajna določba o začetku veljavnosti Zakona o debirokratizaciji </w:t>
            </w:r>
          </w:p>
        </w:tc>
        <w:tc>
          <w:tcPr>
            <w:tcW w:w="1161" w:type="dxa"/>
            <w:shd w:val="clear" w:color="auto" w:fill="C6EFCE"/>
            <w:noWrap/>
            <w:hideMark/>
          </w:tcPr>
          <w:p w14:paraId="3D6C14E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231" w:type="dxa"/>
            <w:shd w:val="clear" w:color="auto" w:fill="C6EFCE"/>
            <w:noWrap/>
            <w:hideMark/>
          </w:tcPr>
          <w:p w14:paraId="766BA3B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17" w:type="dxa"/>
            <w:shd w:val="clear" w:color="auto" w:fill="C6EFCE"/>
            <w:noWrap/>
            <w:hideMark/>
          </w:tcPr>
          <w:p w14:paraId="1A7542C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57" w:type="dxa"/>
            <w:shd w:val="clear" w:color="auto" w:fill="C6EFCE"/>
            <w:noWrap/>
            <w:hideMark/>
          </w:tcPr>
          <w:p w14:paraId="1F8ECFD7"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20" w:type="dxa"/>
            <w:shd w:val="clear" w:color="auto" w:fill="C6EFCE"/>
            <w:noWrap/>
            <w:hideMark/>
          </w:tcPr>
          <w:p w14:paraId="44C829E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2021</w:t>
            </w:r>
          </w:p>
        </w:tc>
        <w:tc>
          <w:tcPr>
            <w:tcW w:w="2723" w:type="dxa"/>
            <w:gridSpan w:val="2"/>
            <w:shd w:val="clear" w:color="auto" w:fill="C6EFCE"/>
            <w:noWrap/>
            <w:hideMark/>
          </w:tcPr>
          <w:p w14:paraId="4DFC184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Zakon bo zmanjšal upravne ovire za poslovni sektor in državljane, poenostavil zakonodajo, racionaliziral obstoječe postopke in odpravil obremenjujoče postopke s spremembami in dopolnitvami zakonov, ki zajemajo več ministrstev. </w:t>
            </w:r>
          </w:p>
          <w:p w14:paraId="5B3C065A" w14:textId="77777777" w:rsidR="003C6015" w:rsidRPr="00DD6A04" w:rsidRDefault="003C6015" w:rsidP="003C6015">
            <w:pPr>
              <w:spacing w:before="0" w:after="0" w:line="256" w:lineRule="auto"/>
              <w:rPr>
                <w:rFonts w:eastAsia="Times New Roman"/>
                <w:noProof/>
                <w:color w:val="006100"/>
                <w:sz w:val="22"/>
                <w:lang w:val="en-GB" w:eastAsia="en-GB"/>
              </w:rPr>
            </w:pPr>
          </w:p>
          <w:p w14:paraId="28CC8B2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 naj bi izboljšal učinkovitost državne in lokalne uprave.</w:t>
            </w:r>
          </w:p>
        </w:tc>
      </w:tr>
      <w:tr w:rsidR="003C6015" w:rsidRPr="00DD6A04" w14:paraId="0DBBC14E" w14:textId="77777777" w:rsidTr="00922AE5">
        <w:trPr>
          <w:gridAfter w:val="1"/>
          <w:wAfter w:w="15" w:type="dxa"/>
          <w:trHeight w:val="309"/>
          <w:jc w:val="center"/>
        </w:trPr>
        <w:tc>
          <w:tcPr>
            <w:tcW w:w="1350" w:type="dxa"/>
            <w:shd w:val="clear" w:color="auto" w:fill="C6EFCE"/>
            <w:noWrap/>
            <w:hideMark/>
          </w:tcPr>
          <w:p w14:paraId="53AD27D1"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172</w:t>
            </w:r>
          </w:p>
        </w:tc>
        <w:tc>
          <w:tcPr>
            <w:tcW w:w="1659" w:type="dxa"/>
            <w:shd w:val="clear" w:color="auto" w:fill="C6EFCE"/>
            <w:noWrap/>
            <w:hideMark/>
          </w:tcPr>
          <w:p w14:paraId="34DD6C1F" w14:textId="77777777" w:rsidR="003C6015" w:rsidRPr="00DD6A04" w:rsidRDefault="003C6015" w:rsidP="0052082E">
            <w:pPr>
              <w:spacing w:before="0" w:after="0" w:line="256" w:lineRule="auto"/>
              <w:rPr>
                <w:rFonts w:eastAsia="Times New Roman"/>
                <w:noProof/>
                <w:color w:val="006100"/>
                <w:sz w:val="22"/>
              </w:rPr>
            </w:pPr>
            <w:r>
              <w:rPr>
                <w:noProof/>
                <w:color w:val="006100"/>
                <w:sz w:val="22"/>
              </w:rPr>
              <w:t>A: Odpravljanje administrativnih ovir</w:t>
            </w:r>
          </w:p>
        </w:tc>
        <w:tc>
          <w:tcPr>
            <w:tcW w:w="1350" w:type="dxa"/>
            <w:shd w:val="clear" w:color="auto" w:fill="C6EFCE"/>
            <w:noWrap/>
            <w:hideMark/>
          </w:tcPr>
          <w:p w14:paraId="2D89AA0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hideMark/>
          </w:tcPr>
          <w:p w14:paraId="154C439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Začetek veljavnosti Drugega zakona o debirokratizaciji </w:t>
            </w:r>
          </w:p>
        </w:tc>
        <w:tc>
          <w:tcPr>
            <w:tcW w:w="1761" w:type="dxa"/>
            <w:shd w:val="clear" w:color="auto" w:fill="C6EFCE"/>
            <w:noWrap/>
            <w:hideMark/>
          </w:tcPr>
          <w:p w14:paraId="29CA573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Zakonodajna določba o začetku veljavnosti Drugega zakona o debirokratizaciji</w:t>
            </w:r>
          </w:p>
        </w:tc>
        <w:tc>
          <w:tcPr>
            <w:tcW w:w="1161" w:type="dxa"/>
            <w:shd w:val="clear" w:color="auto" w:fill="C6EFCE"/>
            <w:noWrap/>
            <w:hideMark/>
          </w:tcPr>
          <w:p w14:paraId="5280C4E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231" w:type="dxa"/>
            <w:shd w:val="clear" w:color="auto" w:fill="C6EFCE"/>
            <w:noWrap/>
            <w:hideMark/>
          </w:tcPr>
          <w:p w14:paraId="310DB4CB"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817" w:type="dxa"/>
            <w:shd w:val="clear" w:color="auto" w:fill="C6EFCE"/>
            <w:noWrap/>
            <w:hideMark/>
          </w:tcPr>
          <w:p w14:paraId="75DDAD67"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857" w:type="dxa"/>
            <w:shd w:val="clear" w:color="auto" w:fill="C6EFCE"/>
            <w:noWrap/>
            <w:hideMark/>
          </w:tcPr>
          <w:p w14:paraId="54524A9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20" w:type="dxa"/>
            <w:shd w:val="clear" w:color="auto" w:fill="C6EFCE"/>
            <w:noWrap/>
            <w:hideMark/>
          </w:tcPr>
          <w:p w14:paraId="74038A25"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2723" w:type="dxa"/>
            <w:gridSpan w:val="2"/>
            <w:shd w:val="clear" w:color="auto" w:fill="C6EFCE"/>
            <w:noWrap/>
            <w:hideMark/>
          </w:tcPr>
          <w:p w14:paraId="46D795B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Zakonodajni paket bo po obsežnem javnem posvetovanju dodatno zmanjšal upravne ovire za poslovni sektor in državljane.</w:t>
            </w:r>
          </w:p>
          <w:p w14:paraId="57986DDE" w14:textId="293F8B76" w:rsidR="003C6015" w:rsidRPr="00DD6A04" w:rsidRDefault="003C6015" w:rsidP="003C6015">
            <w:pPr>
              <w:spacing w:before="0" w:after="0" w:line="256" w:lineRule="auto"/>
              <w:rPr>
                <w:rFonts w:eastAsia="Times New Roman"/>
                <w:noProof/>
                <w:color w:val="006100"/>
                <w:sz w:val="22"/>
              </w:rPr>
            </w:pPr>
            <w:r>
              <w:rPr>
                <w:noProof/>
                <w:color w:val="006100"/>
                <w:sz w:val="22"/>
              </w:rPr>
              <w:t>Zakon naj bi izboljšal učinkovitost državne in lokalne uprave.</w:t>
            </w:r>
          </w:p>
        </w:tc>
      </w:tr>
      <w:tr w:rsidR="003C6015" w:rsidRPr="00DD6A04" w14:paraId="6BA6B331" w14:textId="77777777" w:rsidTr="00922AE5">
        <w:trPr>
          <w:gridAfter w:val="1"/>
          <w:wAfter w:w="15" w:type="dxa"/>
          <w:trHeight w:val="309"/>
          <w:jc w:val="center"/>
        </w:trPr>
        <w:tc>
          <w:tcPr>
            <w:tcW w:w="1350" w:type="dxa"/>
            <w:shd w:val="clear" w:color="auto" w:fill="C6EFCE"/>
            <w:noWrap/>
            <w:hideMark/>
          </w:tcPr>
          <w:p w14:paraId="76F39723" w14:textId="6989D4F2" w:rsidR="003C6015" w:rsidRPr="00DD6A04" w:rsidRDefault="003C6015" w:rsidP="00A144BE">
            <w:pPr>
              <w:spacing w:before="0" w:after="0" w:line="256" w:lineRule="auto"/>
              <w:rPr>
                <w:rFonts w:eastAsia="Times New Roman"/>
                <w:noProof/>
                <w:color w:val="006100"/>
                <w:sz w:val="22"/>
              </w:rPr>
            </w:pPr>
            <w:r>
              <w:rPr>
                <w:noProof/>
                <w:color w:val="006100"/>
                <w:sz w:val="22"/>
              </w:rPr>
              <w:t>173</w:t>
            </w:r>
          </w:p>
        </w:tc>
        <w:tc>
          <w:tcPr>
            <w:tcW w:w="1659" w:type="dxa"/>
            <w:shd w:val="clear" w:color="auto" w:fill="C6EFCE"/>
            <w:noWrap/>
            <w:hideMark/>
          </w:tcPr>
          <w:p w14:paraId="79FA16B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B: Moderen in odporen javni sektor</w:t>
            </w:r>
          </w:p>
        </w:tc>
        <w:tc>
          <w:tcPr>
            <w:tcW w:w="1350" w:type="dxa"/>
            <w:shd w:val="clear" w:color="auto" w:fill="C6EFCE"/>
            <w:noWrap/>
            <w:hideMark/>
          </w:tcPr>
          <w:p w14:paraId="0A45839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hideMark/>
          </w:tcPr>
          <w:p w14:paraId="27D69C2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Začetek veljavnosti zakona, ki bo urejal sistem plač v javnem sektorju </w:t>
            </w:r>
          </w:p>
        </w:tc>
        <w:tc>
          <w:tcPr>
            <w:tcW w:w="1761" w:type="dxa"/>
            <w:shd w:val="clear" w:color="auto" w:fill="C6EFCE"/>
            <w:noWrap/>
            <w:hideMark/>
          </w:tcPr>
          <w:p w14:paraId="6F31BC5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Zakonodajna določba začetku veljavnosti zakona, ki bo urejal sistem plač v javnem sektorju </w:t>
            </w:r>
          </w:p>
        </w:tc>
        <w:tc>
          <w:tcPr>
            <w:tcW w:w="1161" w:type="dxa"/>
            <w:shd w:val="clear" w:color="auto" w:fill="C6EFCE"/>
            <w:noWrap/>
            <w:hideMark/>
          </w:tcPr>
          <w:p w14:paraId="6213419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231" w:type="dxa"/>
            <w:shd w:val="clear" w:color="auto" w:fill="C6EFCE"/>
            <w:noWrap/>
            <w:hideMark/>
          </w:tcPr>
          <w:p w14:paraId="17C79AD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17" w:type="dxa"/>
            <w:shd w:val="clear" w:color="auto" w:fill="C6EFCE"/>
            <w:noWrap/>
            <w:hideMark/>
          </w:tcPr>
          <w:p w14:paraId="5F8CF0C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57" w:type="dxa"/>
            <w:shd w:val="clear" w:color="auto" w:fill="C6EFCE"/>
            <w:noWrap/>
            <w:hideMark/>
          </w:tcPr>
          <w:p w14:paraId="3CFE73CA"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20" w:type="dxa"/>
            <w:shd w:val="clear" w:color="auto" w:fill="C6EFCE"/>
            <w:noWrap/>
            <w:hideMark/>
          </w:tcPr>
          <w:p w14:paraId="08ACD046" w14:textId="04C93CA0" w:rsidR="003C6015" w:rsidRPr="00DD6A04" w:rsidRDefault="00727155" w:rsidP="003C6015">
            <w:pPr>
              <w:spacing w:before="0" w:after="0" w:line="256" w:lineRule="auto"/>
              <w:jc w:val="center"/>
              <w:rPr>
                <w:rFonts w:eastAsia="Times New Roman"/>
                <w:noProof/>
                <w:color w:val="006100"/>
                <w:sz w:val="22"/>
              </w:rPr>
            </w:pPr>
            <w:r>
              <w:rPr>
                <w:noProof/>
                <w:color w:val="006100"/>
                <w:sz w:val="22"/>
              </w:rPr>
              <w:t>2024</w:t>
            </w:r>
          </w:p>
        </w:tc>
        <w:tc>
          <w:tcPr>
            <w:tcW w:w="2723" w:type="dxa"/>
            <w:gridSpan w:val="2"/>
            <w:shd w:val="clear" w:color="auto" w:fill="C6EFCE"/>
            <w:noWrap/>
            <w:hideMark/>
          </w:tcPr>
          <w:p w14:paraId="68BEB04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Novi sistem plač v javnem sektorju bo vključeval ureditve variabilnega nagrajevanja in povezanosti plačila za delo z rezultati dela.</w:t>
            </w:r>
          </w:p>
          <w:p w14:paraId="767D32A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Novi sistem plač v javnem sektorju bo javnofinančno vzdržen.</w:t>
            </w:r>
          </w:p>
          <w:p w14:paraId="3C0D774E" w14:textId="60D5AB49"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Za državno upravo bo razvit model kompetenc. </w:t>
            </w:r>
          </w:p>
        </w:tc>
      </w:tr>
      <w:tr w:rsidR="003C6015" w:rsidRPr="00DD6A04" w14:paraId="682D7C45" w14:textId="77777777" w:rsidTr="00922AE5">
        <w:trPr>
          <w:gridAfter w:val="1"/>
          <w:wAfter w:w="15" w:type="dxa"/>
          <w:trHeight w:val="309"/>
          <w:jc w:val="center"/>
        </w:trPr>
        <w:tc>
          <w:tcPr>
            <w:tcW w:w="1350" w:type="dxa"/>
            <w:shd w:val="clear" w:color="auto" w:fill="C6EFCE"/>
            <w:noWrap/>
            <w:hideMark/>
          </w:tcPr>
          <w:p w14:paraId="7535400E"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174</w:t>
            </w:r>
          </w:p>
        </w:tc>
        <w:tc>
          <w:tcPr>
            <w:tcW w:w="1659" w:type="dxa"/>
            <w:shd w:val="clear" w:color="auto" w:fill="C6EFCE"/>
            <w:noWrap/>
            <w:hideMark/>
          </w:tcPr>
          <w:p w14:paraId="16E7509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Ustvarjanje sistemskih pogojev za rast investicij</w:t>
            </w:r>
          </w:p>
        </w:tc>
        <w:tc>
          <w:tcPr>
            <w:tcW w:w="1350" w:type="dxa"/>
            <w:shd w:val="clear" w:color="auto" w:fill="C6EFCE"/>
            <w:noWrap/>
            <w:hideMark/>
          </w:tcPr>
          <w:p w14:paraId="430BCCA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hideMark/>
          </w:tcPr>
          <w:p w14:paraId="36B62E8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Začetek veljavnosti spremembe Zakona o javnem naročanju</w:t>
            </w:r>
          </w:p>
        </w:tc>
        <w:tc>
          <w:tcPr>
            <w:tcW w:w="1761" w:type="dxa"/>
            <w:shd w:val="clear" w:color="auto" w:fill="C6EFCE"/>
            <w:noWrap/>
            <w:hideMark/>
          </w:tcPr>
          <w:p w14:paraId="0623DC6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Zakonodajna določba o začetku veljavnosti spremembe Zakona o javnem naročanju</w:t>
            </w:r>
          </w:p>
        </w:tc>
        <w:tc>
          <w:tcPr>
            <w:tcW w:w="1161" w:type="dxa"/>
            <w:shd w:val="clear" w:color="auto" w:fill="C6EFCE"/>
            <w:noWrap/>
            <w:hideMark/>
          </w:tcPr>
          <w:p w14:paraId="28CBB38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231" w:type="dxa"/>
            <w:shd w:val="clear" w:color="auto" w:fill="C6EFCE"/>
            <w:noWrap/>
            <w:hideMark/>
          </w:tcPr>
          <w:p w14:paraId="29B27CB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17" w:type="dxa"/>
            <w:shd w:val="clear" w:color="auto" w:fill="C6EFCE"/>
            <w:noWrap/>
            <w:hideMark/>
          </w:tcPr>
          <w:p w14:paraId="3F68117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57" w:type="dxa"/>
            <w:shd w:val="clear" w:color="auto" w:fill="C6EFCE"/>
            <w:noWrap/>
            <w:hideMark/>
          </w:tcPr>
          <w:p w14:paraId="1672BB8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20" w:type="dxa"/>
            <w:shd w:val="clear" w:color="auto" w:fill="C6EFCE"/>
            <w:noWrap/>
            <w:hideMark/>
          </w:tcPr>
          <w:p w14:paraId="4A91E857"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2021</w:t>
            </w:r>
          </w:p>
        </w:tc>
        <w:tc>
          <w:tcPr>
            <w:tcW w:w="2723" w:type="dxa"/>
            <w:gridSpan w:val="2"/>
            <w:shd w:val="clear" w:color="auto" w:fill="C6EFCE"/>
            <w:noWrap/>
            <w:hideMark/>
          </w:tcPr>
          <w:p w14:paraId="5A8B1C75" w14:textId="77777777" w:rsidR="003C6015" w:rsidRPr="00DD6A04" w:rsidRDefault="003C6015" w:rsidP="003C6015">
            <w:pPr>
              <w:spacing w:line="252" w:lineRule="auto"/>
              <w:jc w:val="both"/>
              <w:rPr>
                <w:rFonts w:eastAsia="Times New Roman"/>
                <w:noProof/>
                <w:color w:val="006100"/>
                <w:sz w:val="22"/>
              </w:rPr>
            </w:pPr>
            <w:r>
              <w:rPr>
                <w:noProof/>
                <w:color w:val="006100"/>
                <w:sz w:val="22"/>
              </w:rPr>
              <w:t>Zakon o javnem naročanju bo med drugim vključeval poenostavitev postopkov za dopolnitev in pojasnitev ponudb pri izbiri ponudnikov ter odpravo neobičajno nizkih ponudb.</w:t>
            </w:r>
          </w:p>
          <w:p w14:paraId="25CF9FF4" w14:textId="77777777" w:rsidR="003C6015" w:rsidRPr="00DD6A04" w:rsidRDefault="003C6015" w:rsidP="003C6015">
            <w:pPr>
              <w:spacing w:line="252" w:lineRule="auto"/>
              <w:jc w:val="both"/>
              <w:rPr>
                <w:rFonts w:eastAsia="Times New Roman"/>
                <w:noProof/>
                <w:color w:val="006100"/>
                <w:sz w:val="22"/>
              </w:rPr>
            </w:pPr>
            <w:r>
              <w:rPr>
                <w:noProof/>
                <w:color w:val="006100"/>
                <w:sz w:val="22"/>
              </w:rPr>
              <w:t>Njegov cilj bo digitalna preobrazba javnih naročil, povečanje konkurence v postopkih javnega naročanja in zmanjšanje števila posameznih ponudb.</w:t>
            </w:r>
          </w:p>
          <w:p w14:paraId="29381940"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3C6015" w:rsidRPr="00DD6A04" w14:paraId="24EFB60E" w14:textId="77777777" w:rsidTr="00922AE5">
        <w:trPr>
          <w:gridAfter w:val="1"/>
          <w:wAfter w:w="15" w:type="dxa"/>
          <w:trHeight w:val="309"/>
          <w:jc w:val="center"/>
        </w:trPr>
        <w:tc>
          <w:tcPr>
            <w:tcW w:w="1350" w:type="dxa"/>
            <w:shd w:val="clear" w:color="auto" w:fill="C6EFCE"/>
            <w:noWrap/>
          </w:tcPr>
          <w:p w14:paraId="340562F8"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175</w:t>
            </w:r>
          </w:p>
        </w:tc>
        <w:tc>
          <w:tcPr>
            <w:tcW w:w="1659" w:type="dxa"/>
            <w:shd w:val="clear" w:color="auto" w:fill="C6EFCE"/>
            <w:noWrap/>
          </w:tcPr>
          <w:p w14:paraId="4DB2A04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Ustvarjanje sistemskih pogojev za rast investicij</w:t>
            </w:r>
          </w:p>
        </w:tc>
        <w:tc>
          <w:tcPr>
            <w:tcW w:w="1350" w:type="dxa"/>
            <w:shd w:val="clear" w:color="auto" w:fill="C6EFCE"/>
            <w:noWrap/>
          </w:tcPr>
          <w:p w14:paraId="58BAC77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922" w:type="dxa"/>
            <w:shd w:val="clear" w:color="auto" w:fill="C6EFCE"/>
            <w:noWrap/>
          </w:tcPr>
          <w:p w14:paraId="1083D32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Delež postopkov s pogajanji brez predhodne objave v vseh pregledno objavljenih postopkih</w:t>
            </w:r>
          </w:p>
        </w:tc>
        <w:tc>
          <w:tcPr>
            <w:tcW w:w="1761" w:type="dxa"/>
            <w:shd w:val="clear" w:color="auto" w:fill="C6EFCE"/>
            <w:noWrap/>
          </w:tcPr>
          <w:p w14:paraId="2C47BF8E"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161" w:type="dxa"/>
            <w:shd w:val="clear" w:color="auto" w:fill="C6EFCE"/>
            <w:noWrap/>
          </w:tcPr>
          <w:p w14:paraId="578C7C4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(odstotek)</w:t>
            </w:r>
          </w:p>
        </w:tc>
        <w:tc>
          <w:tcPr>
            <w:tcW w:w="1231" w:type="dxa"/>
            <w:shd w:val="clear" w:color="auto" w:fill="C6EFCE"/>
            <w:noWrap/>
          </w:tcPr>
          <w:p w14:paraId="4387C95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26</w:t>
            </w:r>
          </w:p>
        </w:tc>
        <w:tc>
          <w:tcPr>
            <w:tcW w:w="817" w:type="dxa"/>
            <w:shd w:val="clear" w:color="auto" w:fill="C6EFCE"/>
            <w:noWrap/>
          </w:tcPr>
          <w:p w14:paraId="4B44E96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14</w:t>
            </w:r>
          </w:p>
        </w:tc>
        <w:tc>
          <w:tcPr>
            <w:tcW w:w="857" w:type="dxa"/>
            <w:shd w:val="clear" w:color="auto" w:fill="C6EFCE"/>
            <w:noWrap/>
          </w:tcPr>
          <w:p w14:paraId="2DB9D3A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20" w:type="dxa"/>
            <w:shd w:val="clear" w:color="auto" w:fill="C6EFCE"/>
            <w:noWrap/>
          </w:tcPr>
          <w:p w14:paraId="4CF89377"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2723" w:type="dxa"/>
            <w:gridSpan w:val="2"/>
            <w:shd w:val="clear" w:color="auto" w:fill="C6EFCE"/>
            <w:noWrap/>
          </w:tcPr>
          <w:p w14:paraId="773E1D1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Da bi se povečali konkurenčnost in preglednost javnih naročil, se bo delež nepreglednih postopkov s pogajanji zmanjšal na 14 %, kot se meri s kazalnikom pregleda enotnega trga za „ni razpisa za zbiranje ponudb“. To naj bi bilo doseženo s spremembo Zakona o javnem naročanju, večjo profesionalizacijo in digitalno preobrazbo, kar javnim naročnikom omogoča učinkovitejše dodeljevanje naročil. Uporaba postopka s pogajanji brez predhodne objave bo v Zakonu o javnem naročanju opredeljena kot prekršek, če niso izpolnjeni pogoji za uporabo takega postopka.</w:t>
            </w:r>
          </w:p>
        </w:tc>
      </w:tr>
      <w:tr w:rsidR="003C6015" w:rsidRPr="00DD6A04" w14:paraId="75F952E5" w14:textId="77777777" w:rsidTr="00922AE5">
        <w:trPr>
          <w:gridAfter w:val="1"/>
          <w:wAfter w:w="15" w:type="dxa"/>
          <w:trHeight w:val="309"/>
          <w:jc w:val="center"/>
        </w:trPr>
        <w:tc>
          <w:tcPr>
            <w:tcW w:w="1350" w:type="dxa"/>
            <w:shd w:val="clear" w:color="auto" w:fill="C6EFCE"/>
            <w:noWrap/>
          </w:tcPr>
          <w:p w14:paraId="1B280CBB"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176</w:t>
            </w:r>
          </w:p>
        </w:tc>
        <w:tc>
          <w:tcPr>
            <w:tcW w:w="1659" w:type="dxa"/>
            <w:shd w:val="clear" w:color="auto" w:fill="C6EFCE"/>
            <w:noWrap/>
          </w:tcPr>
          <w:p w14:paraId="6A7D2D0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Ustvarjanje sistemskih pogojev za rast investicij</w:t>
            </w:r>
          </w:p>
        </w:tc>
        <w:tc>
          <w:tcPr>
            <w:tcW w:w="1350" w:type="dxa"/>
            <w:shd w:val="clear" w:color="auto" w:fill="C6EFCE"/>
            <w:noWrap/>
          </w:tcPr>
          <w:p w14:paraId="5F34A61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tcPr>
          <w:p w14:paraId="01D42CE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Opravljena tehnična pomoč za podporo izvajanju reform javnega naročanja</w:t>
            </w:r>
          </w:p>
        </w:tc>
        <w:tc>
          <w:tcPr>
            <w:tcW w:w="1761" w:type="dxa"/>
            <w:shd w:val="clear" w:color="auto" w:fill="C6EFCE"/>
            <w:noWrap/>
          </w:tcPr>
          <w:p w14:paraId="43CA5E8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Poročilo o učinku z oceno in predloženimi priporočili</w:t>
            </w:r>
          </w:p>
        </w:tc>
        <w:tc>
          <w:tcPr>
            <w:tcW w:w="1161" w:type="dxa"/>
            <w:shd w:val="clear" w:color="auto" w:fill="C6EFCE"/>
            <w:noWrap/>
          </w:tcPr>
          <w:p w14:paraId="459909A8"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231" w:type="dxa"/>
            <w:shd w:val="clear" w:color="auto" w:fill="C6EFCE"/>
            <w:noWrap/>
          </w:tcPr>
          <w:p w14:paraId="1B144DBF"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17" w:type="dxa"/>
            <w:shd w:val="clear" w:color="auto" w:fill="C6EFCE"/>
            <w:noWrap/>
          </w:tcPr>
          <w:p w14:paraId="74F75873"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57" w:type="dxa"/>
            <w:shd w:val="clear" w:color="auto" w:fill="C6EFCE"/>
            <w:noWrap/>
          </w:tcPr>
          <w:p w14:paraId="5009193B"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20" w:type="dxa"/>
            <w:shd w:val="clear" w:color="auto" w:fill="C6EFCE"/>
            <w:noWrap/>
          </w:tcPr>
          <w:p w14:paraId="0819C42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2723" w:type="dxa"/>
            <w:gridSpan w:val="2"/>
            <w:shd w:val="clear" w:color="auto" w:fill="C6EFCE"/>
            <w:noWrap/>
          </w:tcPr>
          <w:p w14:paraId="5F87C0B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Predložitev poročila o tehnični pomoči v podporo izvajanju reform javnega naročanja s poudarkom na povečanju konkurenčnosti na trgu javnih naročil v skladu s pravnim okvirom EU.</w:t>
            </w:r>
          </w:p>
        </w:tc>
      </w:tr>
      <w:tr w:rsidR="003C6015" w:rsidRPr="00DD6A04" w14:paraId="2EFA4FD5" w14:textId="77777777" w:rsidTr="00922AE5">
        <w:trPr>
          <w:gridAfter w:val="1"/>
          <w:wAfter w:w="15" w:type="dxa"/>
          <w:trHeight w:val="309"/>
          <w:jc w:val="center"/>
        </w:trPr>
        <w:tc>
          <w:tcPr>
            <w:tcW w:w="1350" w:type="dxa"/>
            <w:shd w:val="clear" w:color="auto" w:fill="C6EFCE"/>
            <w:noWrap/>
          </w:tcPr>
          <w:p w14:paraId="78EE0549"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177</w:t>
            </w:r>
          </w:p>
        </w:tc>
        <w:tc>
          <w:tcPr>
            <w:tcW w:w="1659" w:type="dxa"/>
            <w:shd w:val="clear" w:color="auto" w:fill="C6EFCE"/>
            <w:noWrap/>
          </w:tcPr>
          <w:p w14:paraId="5E4DC98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Ustvarjanje sistemskih pogojev za rast investicij</w:t>
            </w:r>
          </w:p>
        </w:tc>
        <w:tc>
          <w:tcPr>
            <w:tcW w:w="1350" w:type="dxa"/>
            <w:shd w:val="clear" w:color="auto" w:fill="C6EFCE"/>
            <w:noWrap/>
          </w:tcPr>
          <w:p w14:paraId="69389A80"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tcPr>
          <w:p w14:paraId="3B8C20A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Dokončana neodvisna analiza učinka reform javnega naročanja ter oblikovanje ukrepov in ciljev za izboljšanje sistema.</w:t>
            </w:r>
          </w:p>
        </w:tc>
        <w:tc>
          <w:tcPr>
            <w:tcW w:w="1761" w:type="dxa"/>
            <w:shd w:val="clear" w:color="auto" w:fill="C6EFCE"/>
            <w:noWrap/>
          </w:tcPr>
          <w:p w14:paraId="09CC8B3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Poročilo o učinku z oceno in predloženimi priporočili</w:t>
            </w:r>
          </w:p>
        </w:tc>
        <w:tc>
          <w:tcPr>
            <w:tcW w:w="1161" w:type="dxa"/>
            <w:shd w:val="clear" w:color="auto" w:fill="C6EFCE"/>
            <w:noWrap/>
          </w:tcPr>
          <w:p w14:paraId="0704B451"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231" w:type="dxa"/>
            <w:shd w:val="clear" w:color="auto" w:fill="C6EFCE"/>
            <w:noWrap/>
          </w:tcPr>
          <w:p w14:paraId="5A862EE9"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17" w:type="dxa"/>
            <w:shd w:val="clear" w:color="auto" w:fill="C6EFCE"/>
            <w:noWrap/>
          </w:tcPr>
          <w:p w14:paraId="68C29648"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57" w:type="dxa"/>
            <w:shd w:val="clear" w:color="auto" w:fill="C6EFCE"/>
            <w:noWrap/>
          </w:tcPr>
          <w:p w14:paraId="0C0C28B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20" w:type="dxa"/>
            <w:shd w:val="clear" w:color="auto" w:fill="C6EFCE"/>
            <w:noWrap/>
          </w:tcPr>
          <w:p w14:paraId="4983B9AB"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2723" w:type="dxa"/>
            <w:gridSpan w:val="2"/>
            <w:shd w:val="clear" w:color="auto" w:fill="C6EFCE"/>
            <w:noWrap/>
          </w:tcPr>
          <w:p w14:paraId="5D76BB3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Predložitev poročila z neodvisno analizo učinka reform javnega naročanja ter oblikovanje ukrepov in ciljev za izboljšanje sistema javnih naročil, s posebnim poudarkom na povečanju konkurence na trgu javnih naročil, digitalizaciji in preglednosti v skladu s pravnim okvirom EU.</w:t>
            </w:r>
          </w:p>
        </w:tc>
      </w:tr>
      <w:tr w:rsidR="003C6015" w:rsidRPr="00DD6A04" w14:paraId="7AAC0AC7" w14:textId="77777777" w:rsidTr="00922AE5">
        <w:trPr>
          <w:gridAfter w:val="1"/>
          <w:wAfter w:w="15" w:type="dxa"/>
          <w:trHeight w:val="309"/>
          <w:jc w:val="center"/>
        </w:trPr>
        <w:tc>
          <w:tcPr>
            <w:tcW w:w="1350" w:type="dxa"/>
            <w:shd w:val="clear" w:color="auto" w:fill="C6EFCE"/>
            <w:noWrap/>
          </w:tcPr>
          <w:p w14:paraId="53D56017" w14:textId="77777777" w:rsidR="003C6015" w:rsidRPr="00DD6A04" w:rsidRDefault="003C6015" w:rsidP="003C6015">
            <w:pPr>
              <w:spacing w:before="0" w:after="0" w:line="256" w:lineRule="auto"/>
              <w:jc w:val="center"/>
              <w:rPr>
                <w:rFonts w:eastAsia="Times New Roman"/>
                <w:noProof/>
                <w:color w:val="006100"/>
                <w:sz w:val="22"/>
                <w:lang w:val="en-GB" w:eastAsia="en-GB"/>
              </w:rPr>
            </w:pPr>
          </w:p>
          <w:p w14:paraId="3BD437A9"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178</w:t>
            </w:r>
          </w:p>
        </w:tc>
        <w:tc>
          <w:tcPr>
            <w:tcW w:w="1659" w:type="dxa"/>
            <w:shd w:val="clear" w:color="auto" w:fill="C6EFCE"/>
            <w:noWrap/>
          </w:tcPr>
          <w:p w14:paraId="5768180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Ustvarjanje sistemskih pogojev za rast investicij</w:t>
            </w:r>
          </w:p>
        </w:tc>
        <w:tc>
          <w:tcPr>
            <w:tcW w:w="1350" w:type="dxa"/>
            <w:shd w:val="clear" w:color="auto" w:fill="C6EFCE"/>
            <w:noWrap/>
          </w:tcPr>
          <w:p w14:paraId="4F6F736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tcPr>
          <w:p w14:paraId="01AB179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Uskladitev slovenskih podatkovnih zbirk o javnih naročilih s podatkovno zbirko Evropske komisije</w:t>
            </w:r>
          </w:p>
          <w:p w14:paraId="1BB538F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in posredovanje podatkov, potrebnih za popolno objavo kazalnikov javnega naročanja v pregledu enotnega trga</w:t>
            </w:r>
          </w:p>
        </w:tc>
        <w:tc>
          <w:tcPr>
            <w:tcW w:w="1761" w:type="dxa"/>
            <w:shd w:val="clear" w:color="auto" w:fill="C6EFCE"/>
            <w:noWrap/>
          </w:tcPr>
          <w:p w14:paraId="125793F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Objava vseh kazalnikov pregleda enotnega trga, povezanih z javnimi naročili, v podatkovni zbirki pregleda stanja</w:t>
            </w:r>
          </w:p>
        </w:tc>
        <w:tc>
          <w:tcPr>
            <w:tcW w:w="1161" w:type="dxa"/>
            <w:shd w:val="clear" w:color="auto" w:fill="C6EFCE"/>
            <w:noWrap/>
          </w:tcPr>
          <w:p w14:paraId="44D4E7C3"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231" w:type="dxa"/>
            <w:shd w:val="clear" w:color="auto" w:fill="C6EFCE"/>
            <w:noWrap/>
          </w:tcPr>
          <w:p w14:paraId="36CC0D0A"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17" w:type="dxa"/>
            <w:shd w:val="clear" w:color="auto" w:fill="C6EFCE"/>
            <w:noWrap/>
          </w:tcPr>
          <w:p w14:paraId="4D1D135F"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57" w:type="dxa"/>
            <w:shd w:val="clear" w:color="auto" w:fill="C6EFCE"/>
            <w:noWrap/>
          </w:tcPr>
          <w:p w14:paraId="6F7CFC1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20" w:type="dxa"/>
            <w:shd w:val="clear" w:color="auto" w:fill="C6EFCE"/>
            <w:noWrap/>
          </w:tcPr>
          <w:p w14:paraId="28DF599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2021</w:t>
            </w:r>
          </w:p>
        </w:tc>
        <w:tc>
          <w:tcPr>
            <w:tcW w:w="2723" w:type="dxa"/>
            <w:gridSpan w:val="2"/>
            <w:shd w:val="clear" w:color="auto" w:fill="C6EFCE"/>
            <w:noWrap/>
          </w:tcPr>
          <w:p w14:paraId="1B7BE27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Podatkovne zbirke o javnih naročilih bodo usklajene tako, da se zagotovijo ustrezna pojasnila o prenosu podatkov in razlagi dnevnih elektronskih podatkov o javnih naročilih (Evropska komisija). Vsi podatki bodo zagotovljeni prek dnevnih elektronskih javnih razpisov za objavo vseh kazalnikov v pregledu enotnega trga (kazalniki javnega naročanja).</w:t>
            </w:r>
          </w:p>
        </w:tc>
      </w:tr>
      <w:tr w:rsidR="003C6015" w:rsidRPr="00DD6A04" w14:paraId="532E7AC3" w14:textId="77777777" w:rsidTr="00922AE5">
        <w:trPr>
          <w:gridAfter w:val="1"/>
          <w:wAfter w:w="15" w:type="dxa"/>
          <w:trHeight w:val="309"/>
          <w:jc w:val="center"/>
        </w:trPr>
        <w:tc>
          <w:tcPr>
            <w:tcW w:w="1350" w:type="dxa"/>
            <w:shd w:val="clear" w:color="auto" w:fill="C6EFCE"/>
            <w:noWrap/>
          </w:tcPr>
          <w:p w14:paraId="352677CB"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179</w:t>
            </w:r>
          </w:p>
        </w:tc>
        <w:tc>
          <w:tcPr>
            <w:tcW w:w="1659" w:type="dxa"/>
            <w:shd w:val="clear" w:color="auto" w:fill="C6EFCE"/>
            <w:noWrap/>
          </w:tcPr>
          <w:p w14:paraId="1FCE783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Ustvarjanje sistemskih pogojev za rast investicij</w:t>
            </w:r>
          </w:p>
        </w:tc>
        <w:tc>
          <w:tcPr>
            <w:tcW w:w="1350" w:type="dxa"/>
            <w:shd w:val="clear" w:color="auto" w:fill="C6EFCE"/>
            <w:noWrap/>
          </w:tcPr>
          <w:p w14:paraId="4EE5DAA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tcPr>
          <w:p w14:paraId="6301ECE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Operativna Akademija javnega naročanja</w:t>
            </w:r>
          </w:p>
          <w:p w14:paraId="5BE9D7D2" w14:textId="77777777" w:rsidR="003C6015" w:rsidRPr="00DD6A04" w:rsidRDefault="003C6015" w:rsidP="003C6015">
            <w:pPr>
              <w:spacing w:before="0" w:after="0" w:line="256" w:lineRule="auto"/>
              <w:rPr>
                <w:rFonts w:eastAsia="Times New Roman"/>
                <w:noProof/>
                <w:color w:val="006100"/>
                <w:sz w:val="22"/>
                <w:lang w:val="en-GB" w:eastAsia="en-GB"/>
              </w:rPr>
            </w:pPr>
          </w:p>
          <w:p w14:paraId="350969D5"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761" w:type="dxa"/>
            <w:shd w:val="clear" w:color="auto" w:fill="C6EFCE"/>
            <w:noWrap/>
          </w:tcPr>
          <w:p w14:paraId="452DE25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Operativna Akademija javnega naročanja</w:t>
            </w:r>
          </w:p>
          <w:p w14:paraId="0C516599"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161" w:type="dxa"/>
            <w:shd w:val="clear" w:color="auto" w:fill="C6EFCE"/>
            <w:noWrap/>
          </w:tcPr>
          <w:p w14:paraId="29B35C5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231" w:type="dxa"/>
            <w:shd w:val="clear" w:color="auto" w:fill="C6EFCE"/>
            <w:noWrap/>
          </w:tcPr>
          <w:p w14:paraId="60E9A96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17" w:type="dxa"/>
            <w:shd w:val="clear" w:color="auto" w:fill="C6EFCE"/>
            <w:noWrap/>
          </w:tcPr>
          <w:p w14:paraId="7F14B8A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57" w:type="dxa"/>
            <w:shd w:val="clear" w:color="auto" w:fill="C6EFCE"/>
            <w:noWrap/>
          </w:tcPr>
          <w:p w14:paraId="58FD79A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20" w:type="dxa"/>
            <w:shd w:val="clear" w:color="auto" w:fill="C6EFCE"/>
            <w:noWrap/>
          </w:tcPr>
          <w:p w14:paraId="0F31979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2023</w:t>
            </w:r>
          </w:p>
        </w:tc>
        <w:tc>
          <w:tcPr>
            <w:tcW w:w="2723" w:type="dxa"/>
            <w:gridSpan w:val="2"/>
            <w:shd w:val="clear" w:color="auto" w:fill="C6EFCE"/>
            <w:noWrap/>
          </w:tcPr>
          <w:p w14:paraId="7C909EF1" w14:textId="4FFEB593" w:rsidR="003C6015" w:rsidRPr="00DD6A04" w:rsidRDefault="003C6015" w:rsidP="003C6015">
            <w:pPr>
              <w:spacing w:before="0" w:after="0" w:line="256" w:lineRule="auto"/>
              <w:rPr>
                <w:rFonts w:eastAsia="Times New Roman"/>
                <w:noProof/>
                <w:color w:val="006100"/>
                <w:sz w:val="22"/>
              </w:rPr>
            </w:pPr>
            <w:r>
              <w:rPr>
                <w:noProof/>
                <w:color w:val="006100"/>
                <w:sz w:val="22"/>
              </w:rPr>
              <w:t>Akademija javnega naročanja si bo prizadevala povišati raven profesionalizacije med deležniki z nizom programov in usposabljanj za javne uslužbence na področju javnih naročil.</w:t>
            </w:r>
            <w:r w:rsidR="00037751">
              <w:rPr>
                <w:noProof/>
                <w:color w:val="006100"/>
                <w:sz w:val="22"/>
              </w:rPr>
              <w:t xml:space="preserve"> </w:t>
            </w:r>
          </w:p>
        </w:tc>
      </w:tr>
      <w:tr w:rsidR="003C6015" w:rsidRPr="00DD6A04" w14:paraId="23A5FC9A" w14:textId="77777777" w:rsidTr="00922AE5">
        <w:trPr>
          <w:gridAfter w:val="1"/>
          <w:wAfter w:w="15" w:type="dxa"/>
          <w:trHeight w:val="309"/>
          <w:jc w:val="center"/>
        </w:trPr>
        <w:tc>
          <w:tcPr>
            <w:tcW w:w="1350" w:type="dxa"/>
            <w:shd w:val="clear" w:color="auto" w:fill="C6EFCE"/>
            <w:noWrap/>
          </w:tcPr>
          <w:p w14:paraId="39286461"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180</w:t>
            </w:r>
          </w:p>
        </w:tc>
        <w:tc>
          <w:tcPr>
            <w:tcW w:w="1659" w:type="dxa"/>
            <w:shd w:val="clear" w:color="auto" w:fill="C6EFCE"/>
            <w:noWrap/>
          </w:tcPr>
          <w:p w14:paraId="5D9FB96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Ustvarjanje sistemskih pogojev za rast investicij</w:t>
            </w:r>
          </w:p>
        </w:tc>
        <w:tc>
          <w:tcPr>
            <w:tcW w:w="1350" w:type="dxa"/>
            <w:shd w:val="clear" w:color="auto" w:fill="C6EFCE"/>
            <w:noWrap/>
          </w:tcPr>
          <w:p w14:paraId="539867E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tcPr>
          <w:p w14:paraId="18D7E23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Začetek veljavnosti sprememb Gradbenega zakona in Zakona o urejanju prostora</w:t>
            </w:r>
          </w:p>
        </w:tc>
        <w:tc>
          <w:tcPr>
            <w:tcW w:w="1761" w:type="dxa"/>
            <w:shd w:val="clear" w:color="auto" w:fill="C6EFCE"/>
            <w:noWrap/>
          </w:tcPr>
          <w:p w14:paraId="2D0D254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Zakonodajna določba o začetku veljavnosti sprememb Gradbenega zakona in Zakona o urejanju prostora</w:t>
            </w:r>
          </w:p>
        </w:tc>
        <w:tc>
          <w:tcPr>
            <w:tcW w:w="1161" w:type="dxa"/>
            <w:shd w:val="clear" w:color="auto" w:fill="C6EFCE"/>
            <w:noWrap/>
          </w:tcPr>
          <w:p w14:paraId="6C5BE67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231" w:type="dxa"/>
            <w:shd w:val="clear" w:color="auto" w:fill="C6EFCE"/>
            <w:noWrap/>
          </w:tcPr>
          <w:p w14:paraId="1CA53C9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17" w:type="dxa"/>
            <w:shd w:val="clear" w:color="auto" w:fill="C6EFCE"/>
            <w:noWrap/>
          </w:tcPr>
          <w:p w14:paraId="0A136E1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857" w:type="dxa"/>
            <w:shd w:val="clear" w:color="auto" w:fill="C6EFCE"/>
            <w:noWrap/>
          </w:tcPr>
          <w:p w14:paraId="26722E89"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20" w:type="dxa"/>
            <w:shd w:val="clear" w:color="auto" w:fill="C6EFCE"/>
            <w:noWrap/>
          </w:tcPr>
          <w:p w14:paraId="057005A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2723" w:type="dxa"/>
            <w:gridSpan w:val="2"/>
            <w:shd w:val="clear" w:color="auto" w:fill="C6EFCE"/>
            <w:noWrap/>
          </w:tcPr>
          <w:p w14:paraId="3594AC6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 prenovitve Zakona o urejanju prostora bo izboljšati instrumente urejanja prostora, vzpostaviti učinkovitejše vodenje državnega in občinskega urejanja prostora ter omogočiti digitalizacijo vseh ključnih prostorskih podatkov. Gradbeni zakon bo vključeval upravno razbremenitev in digitalizacijo, da bi se pospešili ustrezni postopki.</w:t>
            </w:r>
          </w:p>
        </w:tc>
      </w:tr>
      <w:tr w:rsidR="003C6015" w:rsidRPr="00DD6A04" w14:paraId="1F1AA8FD" w14:textId="77777777" w:rsidTr="00922AE5">
        <w:trPr>
          <w:gridAfter w:val="1"/>
          <w:wAfter w:w="15" w:type="dxa"/>
          <w:trHeight w:val="309"/>
          <w:jc w:val="center"/>
        </w:trPr>
        <w:tc>
          <w:tcPr>
            <w:tcW w:w="1350" w:type="dxa"/>
            <w:shd w:val="clear" w:color="auto" w:fill="C6EFCE"/>
            <w:noWrap/>
          </w:tcPr>
          <w:p w14:paraId="31D860FC"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181</w:t>
            </w:r>
          </w:p>
        </w:tc>
        <w:tc>
          <w:tcPr>
            <w:tcW w:w="1659" w:type="dxa"/>
            <w:shd w:val="clear" w:color="auto" w:fill="C6EFCE"/>
            <w:noWrap/>
          </w:tcPr>
          <w:p w14:paraId="550D707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 Spremljanje in izvajanje načrta za okrevanje in odpornost – kontrolni in revizijski sistemi</w:t>
            </w:r>
          </w:p>
        </w:tc>
        <w:tc>
          <w:tcPr>
            <w:tcW w:w="1350" w:type="dxa"/>
            <w:shd w:val="clear" w:color="auto" w:fill="C6EFCE"/>
            <w:noWrap/>
          </w:tcPr>
          <w:p w14:paraId="7FA1A6E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922" w:type="dxa"/>
            <w:shd w:val="clear" w:color="auto" w:fill="C6EFCE"/>
            <w:noWrap/>
          </w:tcPr>
          <w:p w14:paraId="778BF168" w14:textId="77777777" w:rsidR="003C6015" w:rsidRPr="00DD6A04" w:rsidRDefault="003C6015" w:rsidP="00B3122C">
            <w:pPr>
              <w:spacing w:before="0" w:after="0" w:line="256" w:lineRule="auto"/>
              <w:rPr>
                <w:noProof/>
                <w:color w:val="006100"/>
                <w:sz w:val="22"/>
              </w:rPr>
            </w:pPr>
            <w:r>
              <w:rPr>
                <w:noProof/>
                <w:color w:val="006100"/>
                <w:sz w:val="22"/>
              </w:rPr>
              <w:t>Sprejetje nacionalne uredbe, ki določa postopke za izvajanje revizij in kontrol v skladu z veljavno zakonodajo Unije in nacionalno zakonodajo, ter smernic usklajevalnega organa s strani vlade;</w:t>
            </w:r>
            <w:r>
              <w:rPr>
                <w:noProof/>
                <w:sz w:val="22"/>
              </w:rPr>
              <w:t xml:space="preserve"> </w:t>
            </w:r>
            <w:r>
              <w:rPr>
                <w:noProof/>
                <w:color w:val="006100"/>
                <w:sz w:val="22"/>
              </w:rPr>
              <w:t>ustanovitev Urada za izvajanje načrta za okrevanje in odpornost ter</w:t>
            </w:r>
            <w:r>
              <w:rPr>
                <w:noProof/>
                <w:color w:val="FF0000"/>
                <w:sz w:val="22"/>
              </w:rPr>
              <w:t xml:space="preserve"> </w:t>
            </w:r>
            <w:r>
              <w:rPr>
                <w:noProof/>
                <w:color w:val="006100"/>
                <w:sz w:val="22"/>
              </w:rPr>
              <w:t>nadgradnja sistema repozitorijev za revizije in kontrole:</w:t>
            </w:r>
            <w:r>
              <w:rPr>
                <w:noProof/>
                <w:sz w:val="22"/>
              </w:rPr>
              <w:t xml:space="preserve"> </w:t>
            </w:r>
            <w:r>
              <w:rPr>
                <w:noProof/>
                <w:color w:val="006100"/>
                <w:sz w:val="22"/>
              </w:rPr>
              <w:t>informacije za spremljanje izvajanja načrta za okrevanje in odpornost.</w:t>
            </w:r>
          </w:p>
          <w:p w14:paraId="4EB923BB"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761" w:type="dxa"/>
            <w:shd w:val="clear" w:color="auto" w:fill="C6EFCE"/>
            <w:noWrap/>
          </w:tcPr>
          <w:p w14:paraId="2F9CAE00" w14:textId="086EE597" w:rsidR="003C6015" w:rsidRPr="00DD6A04" w:rsidRDefault="003C6015" w:rsidP="003C6015">
            <w:pPr>
              <w:spacing w:before="0" w:after="0" w:line="256" w:lineRule="auto"/>
              <w:rPr>
                <w:rFonts w:eastAsia="Times New Roman"/>
                <w:noProof/>
                <w:color w:val="006100"/>
                <w:sz w:val="22"/>
              </w:rPr>
            </w:pPr>
            <w:r>
              <w:rPr>
                <w:noProof/>
                <w:color w:val="006100"/>
                <w:sz w:val="22"/>
              </w:rPr>
              <w:t>Uredba o izvajanju načrta za okrevanje in odpornost; smernice usklajevalnega organa; sprememba Uredbe o organih v sestavi ministrstev;</w:t>
            </w:r>
            <w:r w:rsidR="00037751">
              <w:rPr>
                <w:noProof/>
                <w:color w:val="006100"/>
                <w:sz w:val="22"/>
              </w:rPr>
              <w:t xml:space="preserve"> </w:t>
            </w:r>
            <w:r>
              <w:rPr>
                <w:noProof/>
                <w:color w:val="006100"/>
                <w:sz w:val="22"/>
              </w:rPr>
              <w:t>revizijsko poročilo, ki potrjuje funkcije sistema repozitorijev</w:t>
            </w:r>
            <w:r w:rsidR="00037751">
              <w:rPr>
                <w:noProof/>
                <w:color w:val="006100"/>
                <w:sz w:val="22"/>
              </w:rPr>
              <w:t xml:space="preserve"> </w:t>
            </w:r>
          </w:p>
        </w:tc>
        <w:tc>
          <w:tcPr>
            <w:tcW w:w="1161" w:type="dxa"/>
            <w:shd w:val="clear" w:color="auto" w:fill="C6EFCE"/>
            <w:noWrap/>
          </w:tcPr>
          <w:p w14:paraId="28CC1383"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231" w:type="dxa"/>
            <w:shd w:val="clear" w:color="auto" w:fill="C6EFCE"/>
            <w:noWrap/>
          </w:tcPr>
          <w:p w14:paraId="38155671"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17" w:type="dxa"/>
            <w:shd w:val="clear" w:color="auto" w:fill="C6EFCE"/>
            <w:noWrap/>
          </w:tcPr>
          <w:p w14:paraId="25A1FC54"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857" w:type="dxa"/>
            <w:shd w:val="clear" w:color="auto" w:fill="C6EFCE"/>
            <w:noWrap/>
          </w:tcPr>
          <w:p w14:paraId="5259DCB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Q3</w:t>
            </w:r>
          </w:p>
        </w:tc>
        <w:tc>
          <w:tcPr>
            <w:tcW w:w="720" w:type="dxa"/>
            <w:shd w:val="clear" w:color="auto" w:fill="C6EFCE"/>
            <w:noWrap/>
          </w:tcPr>
          <w:p w14:paraId="5C75F74E"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2021</w:t>
            </w:r>
          </w:p>
        </w:tc>
        <w:tc>
          <w:tcPr>
            <w:tcW w:w="2723" w:type="dxa"/>
            <w:gridSpan w:val="2"/>
            <w:shd w:val="clear" w:color="auto" w:fill="C6EFCE"/>
            <w:noWrap/>
          </w:tcPr>
          <w:p w14:paraId="349D517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Uredba o načinu in vzpostavitvi izvajanja načrta za okrevanje in odpornost bo med drugim določala postopke za izvajanje revizij in kontrol za zagotavljanje skladnosti z veljavno zakonodajo Unije in nacionalno zakonodajo, postopke v zvezi s preverjanjem mejnikov in ciljev ter s tem povezanih rokov za poročanje, postopke za vračilo neupravičeno porabljenih namenskih sredstev, način shranjevanja dokumentacije in zagotavljanje revizijske sledi, dostopnost podatkov nacionalnim in ustreznim evropskim institucijam (Evropski komisiji, OLAF, Računskemu sodišču in Evropskemu javnemu tožilstvu), postopke za učinkovito izvajanje projektov, postopke za izvajanje nalog s področja slovenskega načrta za okrevanje in odpornost ter postopke za preprečevanje nasprotij interesov, goljufij, korupcije in dvojnega financiranja iz mehanizma in drugih programov Unije.</w:t>
            </w:r>
          </w:p>
          <w:p w14:paraId="124B0BD0" w14:textId="77777777" w:rsidR="003C6015" w:rsidRPr="00DD6A04" w:rsidRDefault="003C6015" w:rsidP="003C6015">
            <w:pPr>
              <w:spacing w:before="0" w:after="0" w:line="256" w:lineRule="auto"/>
              <w:rPr>
                <w:rFonts w:eastAsia="Times New Roman"/>
                <w:noProof/>
                <w:color w:val="006100"/>
                <w:sz w:val="22"/>
                <w:lang w:val="en-GB" w:eastAsia="en-GB"/>
              </w:rPr>
            </w:pPr>
          </w:p>
          <w:p w14:paraId="6410EC46" w14:textId="77777777" w:rsidR="003C6015" w:rsidRPr="00DD6A04" w:rsidRDefault="003C6015" w:rsidP="003C6015">
            <w:pPr>
              <w:spacing w:line="240" w:lineRule="auto"/>
              <w:rPr>
                <w:rFonts w:eastAsia="Times New Roman"/>
                <w:noProof/>
                <w:color w:val="006100"/>
                <w:sz w:val="22"/>
              </w:rPr>
            </w:pPr>
            <w:r>
              <w:rPr>
                <w:noProof/>
                <w:color w:val="006100"/>
                <w:sz w:val="22"/>
              </w:rPr>
              <w:t>Smernice usklajevalnega organa bodo med drugim vključevale podrobno opredelitev postopkov za izvajanje kontrol in revizij v skladu z veljavno nacionalno zakonodajo in zakonodajo EU, postopke za preverjanje mejnikov in ciljev ter s tem povezanih rokov za poročanje, postopke za vračilo neupravičeno porabljenih namenskih sredstev, postopke v zvezi z odkrivanjem suma goljufije, navzkrižja interesov in dvojnega financiranja, postopke v zvezi s sistemom poročanja o nepravilnostih in domnevnih goljufijah ter dodatne ukrepe za obvladovanje tveganja goljufij, opredelitev postopkov za zagotavljanje sklada dela ministrstev, ki izvajajo različne naloge, in podroben opis pristojnosti posameznih enot z jasno opredelitvijo goljufije.</w:t>
            </w:r>
          </w:p>
          <w:p w14:paraId="78451EBB" w14:textId="77777777" w:rsidR="003C6015" w:rsidRPr="00DD6A04" w:rsidRDefault="003C6015" w:rsidP="003C6015">
            <w:pPr>
              <w:spacing w:before="0" w:after="0" w:line="256" w:lineRule="auto"/>
              <w:rPr>
                <w:rFonts w:eastAsia="Times New Roman"/>
                <w:noProof/>
                <w:color w:val="006100"/>
                <w:sz w:val="22"/>
                <w:lang w:val="en-GB" w:eastAsia="en-GB"/>
              </w:rPr>
            </w:pPr>
          </w:p>
          <w:p w14:paraId="0EB8DBF4" w14:textId="77777777" w:rsidR="003C6015" w:rsidRPr="00DD6A04" w:rsidRDefault="003C6015" w:rsidP="003C6015">
            <w:pPr>
              <w:spacing w:line="240" w:lineRule="auto"/>
              <w:rPr>
                <w:rFonts w:eastAsia="Times New Roman"/>
                <w:noProof/>
                <w:color w:val="006100"/>
                <w:sz w:val="22"/>
              </w:rPr>
            </w:pPr>
            <w:r>
              <w:rPr>
                <w:noProof/>
                <w:color w:val="006100"/>
                <w:sz w:val="22"/>
              </w:rPr>
              <w:t>V skladu s sklepom Vlade Republike Slovenije z dne 28. aprila 2021 bo usklajevalni organ odgovoren za vzpostavitev sistema izvajanja ter za izvajanje slovenskega načrta za okrevanje in odpornost. Njegove naloge med drugim vključujejo usklajevanje in spremljanje slovenskega načrta za okrevanje in odpornost na nacionalni ravni, usklajevanje z deležniki in Evropsko komisijo pri izvajanju slovenskega načrta za okrevanje in odpornost, dajanje usmeritev organom, vključenim v izvajanje slovenskega načrta za okrevanje in odpornost, spremljanje, preverjanje in potrjevanje doseganja mejnikov in ciljev, pripravo in usklajevanje pravnih aktov in strateških dokumentov v zvezi z izvajanjem slovenskega načrta za okrevanje in odpornost, usklajevanje in dopolnjevanje med Uredbo (EU) 2021/241 in drugimi skladi EU, izvajanje kontrol in nadzornih ukrepov na ravni ministrstev ali upravičencev, vključenih v izvajanje slovenskega načrta za okrevanje in odpornost, poročanje Evropski komisiji in vladi Republike Slovenije o pripravi Uredbe, usklajevanju in dopolnjevanju med Uredbo (EU) 2021/241 in drugimi skladu EU ter izvajanju kontrol in nadzornih ukrepov na ravni ministrstev ali upravičencev, vključenih v izvajanje slovenskega načrta za okrevanje in odpornost, poročanje Evropski komisiji, vladi Republike Slovenije in drugim ustreznim institucijam.</w:t>
            </w:r>
          </w:p>
          <w:p w14:paraId="64DAE865" w14:textId="77777777" w:rsidR="003C6015" w:rsidRPr="00DD6A04" w:rsidRDefault="003C6015" w:rsidP="003C6015">
            <w:pPr>
              <w:spacing w:line="240" w:lineRule="auto"/>
              <w:rPr>
                <w:rFonts w:eastAsia="Times New Roman"/>
                <w:noProof/>
                <w:color w:val="006100"/>
                <w:sz w:val="22"/>
              </w:rPr>
            </w:pPr>
            <w:r>
              <w:rPr>
                <w:noProof/>
                <w:color w:val="006100"/>
                <w:sz w:val="22"/>
              </w:rPr>
              <w:t xml:space="preserve">Vzpostavljen in operativen sistem repozitorijev za spremljanje izvajanja načrta za okrevanje in odpornost (MFERAC – Ministrstvo za finance – enotni računovodski sistem). </w:t>
            </w:r>
          </w:p>
          <w:p w14:paraId="3D1252D8" w14:textId="77777777" w:rsidR="003C6015" w:rsidRPr="00DD6A04" w:rsidRDefault="003C6015" w:rsidP="003C6015">
            <w:pPr>
              <w:spacing w:line="240" w:lineRule="auto"/>
              <w:rPr>
                <w:rFonts w:eastAsia="Times New Roman"/>
                <w:noProof/>
                <w:color w:val="006100"/>
                <w:sz w:val="22"/>
              </w:rPr>
            </w:pPr>
            <w:r>
              <w:rPr>
                <w:noProof/>
                <w:color w:val="006100"/>
                <w:sz w:val="22"/>
              </w:rPr>
              <w:t>Sistem bo vključeval najmanj naslednje funkcije:</w:t>
            </w:r>
          </w:p>
          <w:p w14:paraId="0300EE62" w14:textId="77777777" w:rsidR="003C6015" w:rsidRPr="00DD6A04" w:rsidRDefault="003C6015" w:rsidP="003C6015">
            <w:pPr>
              <w:spacing w:line="240" w:lineRule="auto"/>
              <w:rPr>
                <w:rFonts w:eastAsia="Times New Roman"/>
                <w:noProof/>
                <w:color w:val="006100"/>
                <w:sz w:val="22"/>
              </w:rPr>
            </w:pPr>
            <w:r>
              <w:rPr>
                <w:noProof/>
                <w:color w:val="006100"/>
                <w:sz w:val="22"/>
              </w:rPr>
              <w:t>(a) zbiranje podatkov in spremljanje doseganja mejnikov in ciljev;</w:t>
            </w:r>
          </w:p>
          <w:p w14:paraId="55C5C4C5" w14:textId="77777777" w:rsidR="003C6015" w:rsidRPr="00DD6A04" w:rsidRDefault="003C6015" w:rsidP="003C6015">
            <w:pPr>
              <w:spacing w:line="240" w:lineRule="auto"/>
              <w:rPr>
                <w:rFonts w:eastAsia="Times New Roman"/>
                <w:noProof/>
                <w:color w:val="006100"/>
                <w:sz w:val="22"/>
              </w:rPr>
            </w:pPr>
            <w:r>
              <w:rPr>
                <w:noProof/>
                <w:color w:val="006100"/>
                <w:sz w:val="22"/>
              </w:rPr>
              <w:t>(b) zbiranje in shranjevanje podatkov, ki se zahtevajo v skladu s členom 22(2)(d)(i) do (iii)</w:t>
            </w:r>
            <w:r>
              <w:rPr>
                <w:noProof/>
                <w:color w:val="FF0000"/>
                <w:sz w:val="22"/>
              </w:rPr>
              <w:t xml:space="preserve"> </w:t>
            </w:r>
            <w:r>
              <w:rPr>
                <w:noProof/>
                <w:color w:val="006100"/>
                <w:sz w:val="22"/>
              </w:rPr>
              <w:t>uredbe o vzpostavitvi mehanizma za okrevanje in odpornost,</w:t>
            </w:r>
            <w:r>
              <w:rPr>
                <w:noProof/>
                <w:color w:val="FF0000"/>
                <w:sz w:val="22"/>
              </w:rPr>
              <w:t xml:space="preserve"> </w:t>
            </w:r>
            <w:r>
              <w:rPr>
                <w:noProof/>
                <w:color w:val="006100"/>
                <w:sz w:val="22"/>
              </w:rPr>
              <w:t>ter zagotavljanje dostopa do njih.</w:t>
            </w:r>
          </w:p>
        </w:tc>
      </w:tr>
    </w:tbl>
    <w:p w14:paraId="5CD1C035"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26"/>
        </w:sectPr>
      </w:pPr>
    </w:p>
    <w:p w14:paraId="75C7AA56" w14:textId="77777777" w:rsidR="003C6015" w:rsidRPr="00DD6A04" w:rsidRDefault="003C6015" w:rsidP="003C6015">
      <w:pPr>
        <w:keepNext/>
        <w:tabs>
          <w:tab w:val="left" w:pos="850"/>
        </w:tabs>
        <w:spacing w:line="240" w:lineRule="auto"/>
        <w:ind w:left="850" w:hanging="850"/>
        <w:jc w:val="both"/>
        <w:outlineLvl w:val="0"/>
        <w:rPr>
          <w:b/>
          <w:smallCaps/>
          <w:noProof/>
        </w:rPr>
      </w:pPr>
      <w:r>
        <w:rPr>
          <w:b/>
          <w:smallCaps/>
          <w:noProof/>
        </w:rPr>
        <w:t>N. KOMPONENTA 14: ZDRAVSTVO</w:t>
      </w:r>
    </w:p>
    <w:p w14:paraId="07DE9377" w14:textId="77777777" w:rsidR="003C6015" w:rsidRPr="00DD6A04" w:rsidRDefault="003C6015" w:rsidP="003C6015">
      <w:pPr>
        <w:spacing w:line="240" w:lineRule="auto"/>
        <w:jc w:val="both"/>
        <w:rPr>
          <w:noProof/>
        </w:rPr>
      </w:pPr>
      <w:r>
        <w:rPr>
          <w:noProof/>
        </w:rPr>
        <w:t>Ta komponenta slovenskega načrta za okrevanje in odpornost obravnava številne izzive zdravstvenega sistema, ki segajo od pomanjkljivosti primarnega zdravstvenega sistema, zlasti pomanjkanja zdravstvenega kadra, omejene uporabe digitalnih orodij v zdravstvu in geografsko neenakovredne dostopnosti</w:t>
      </w:r>
      <w:r>
        <w:rPr>
          <w:rFonts w:ascii="Arial" w:hAnsi="Arial"/>
          <w:noProof/>
          <w:sz w:val="20"/>
        </w:rPr>
        <w:t xml:space="preserve"> nujne medicinske pomoči</w:t>
      </w:r>
      <w:r>
        <w:rPr>
          <w:noProof/>
        </w:rPr>
        <w:t>, do potrebe po ustreznejši zdravstveni obravnavi nalezljivih bolezni ob hkratnem zagotavljanju splošne dolgoročne finančne vzdržnosti.</w:t>
      </w:r>
    </w:p>
    <w:p w14:paraId="00CBF734" w14:textId="77777777" w:rsidR="003C6015" w:rsidRPr="00DD6A04" w:rsidRDefault="003C6015" w:rsidP="003C6015">
      <w:pPr>
        <w:spacing w:line="240" w:lineRule="auto"/>
        <w:jc w:val="both"/>
        <w:rPr>
          <w:noProof/>
        </w:rPr>
      </w:pPr>
      <w:r>
        <w:rPr>
          <w:noProof/>
        </w:rPr>
        <w:t>Splošni cilj komponente je izboljšati dostopnost, kakovost in dolgoročno finančno vzdržnost sistema zdravstvenega sistema. To vključuje zagotavljanje trajnostnega financiranja za splošno dostopnost kakovostnih zdravstvenih storitev, vključno s preventivnimi storitvami, obravnavanje nastajajočih nevarnosti za zdravje, kot so kronične bolezni in obolenja ter nove nalezljive bolezni, pospešitev digitalnega preoblikovanja zdravstvenih storitev ter povečanje učinkovitosti upravljanja in delovanja zdravstvenega sistema v kriznih razmerah.</w:t>
      </w:r>
    </w:p>
    <w:p w14:paraId="2BD7377F" w14:textId="77777777" w:rsidR="003C6015" w:rsidRPr="00DD6A04" w:rsidRDefault="003C6015" w:rsidP="003C6015">
      <w:pPr>
        <w:spacing w:line="240" w:lineRule="auto"/>
        <w:jc w:val="both"/>
        <w:rPr>
          <w:noProof/>
        </w:rPr>
      </w:pPr>
      <w:r>
        <w:rPr>
          <w:noProof/>
        </w:rPr>
        <w:t>Te investicije in reforme obravnavajo specifična priporočila za Slovenijo v letih 2019 in 2020, in sicer naj „[s]prejme in izvede reforme zdravstva in dolgotrajne oskrbe, ki zagotavljajo kakovost, dostopnost in dolgoročno javnofinančno vzdržnost“ (specifično priporočilo št. 1 iz leta 2019) ter „[z]agotovi odpornost zdravstvenega sistema in sistema dolgotrajne oskrbe, vključno z zagotavljanjem zadostne oskrbe s kritično medicinsko opremo in odpravo pomanjkanja zdravstvenih delavcev“ (specifično priporočilo št. 1 iz leta 2020).</w:t>
      </w:r>
    </w:p>
    <w:p w14:paraId="7A78C00D" w14:textId="08712D10"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056CB1EB" w14:textId="77777777" w:rsidR="003C6015" w:rsidRPr="00DD6A04" w:rsidRDefault="003C6015" w:rsidP="003C6015">
      <w:pPr>
        <w:spacing w:line="240" w:lineRule="auto"/>
        <w:jc w:val="both"/>
        <w:rPr>
          <w:b/>
          <w:i/>
          <w:noProof/>
          <w:color w:val="4F81BD"/>
        </w:rPr>
      </w:pPr>
      <w:r>
        <w:rPr>
          <w:b/>
          <w:noProof/>
          <w:u w:val="single"/>
        </w:rPr>
        <w:t xml:space="preserve">N.1 </w:t>
      </w:r>
      <w:r>
        <w:rPr>
          <w:b/>
          <w:noProof/>
          <w:u w:val="single"/>
        </w:rPr>
        <w:tab/>
        <w:t>Opis reform in naložb za nepovratno finančno podporo</w:t>
      </w:r>
    </w:p>
    <w:p w14:paraId="35F2318E" w14:textId="77777777" w:rsidR="003C6015" w:rsidRPr="00DD6A04" w:rsidRDefault="003C6015" w:rsidP="003C6015">
      <w:pPr>
        <w:spacing w:line="240" w:lineRule="auto"/>
        <w:jc w:val="both"/>
        <w:rPr>
          <w:noProof/>
          <w:u w:val="single"/>
        </w:rPr>
      </w:pPr>
      <w:r>
        <w:rPr>
          <w:noProof/>
          <w:u w:val="single"/>
        </w:rPr>
        <w:t>Reforma A. Reforma zdravstvenega sistema</w:t>
      </w:r>
    </w:p>
    <w:p w14:paraId="2763DC5E" w14:textId="77777777" w:rsidR="003C6015" w:rsidRPr="00DD6A04" w:rsidRDefault="003C6015" w:rsidP="003C6015">
      <w:pPr>
        <w:spacing w:line="240" w:lineRule="auto"/>
        <w:jc w:val="both"/>
        <w:rPr>
          <w:noProof/>
        </w:rPr>
      </w:pPr>
      <w:r>
        <w:rPr>
          <w:noProof/>
        </w:rPr>
        <w:t>Cilj reforme je zagotovitev kakovostnega, dostopnega, učinkovitega in finančno stabilnega zdravstvenega sistema.</w:t>
      </w:r>
    </w:p>
    <w:p w14:paraId="3D09DC70" w14:textId="63E1B4C3" w:rsidR="003C6015" w:rsidRPr="00DD6A04" w:rsidRDefault="003C6015" w:rsidP="67A488D3">
      <w:pPr>
        <w:spacing w:after="0" w:line="240" w:lineRule="auto"/>
        <w:rPr>
          <w:noProof/>
        </w:rPr>
      </w:pPr>
      <w:r>
        <w:rPr>
          <w:noProof/>
        </w:rPr>
        <w:t xml:space="preserve">Reforma vključuje spremembo zakonodajnega okvira v zdravstvenem sektorju in začetek veljavnosti prenovljenega Zakona o zdravstvenem varstvu in zdravstvenem zavarovanju ter začetek veljavnosti sprememb Zakona o zdravstveni dejavnosti. V njenem okviru bodo uvedeni ciljno usmerjeni sistemski ukrepi za financiranje zdravstvenega sistema, mreže izvajalcev, računovodskih modelov in modelov zaposlovanja. Zagotovila bo finančno vzdržnost zdravstvenega sektorja, ohranila širok nabor pravic v okviru sistema obveznega zdravstvenega zavarovanja ter izboljšala upravljanje in uspešnost zdravstvenega sistema. Reforma bo vključevala tudi ustanovitev neodvisnega organa za spremljanje kakovosti in varnosti v zdravstvenem sistemu. </w:t>
      </w:r>
    </w:p>
    <w:p w14:paraId="3E5A89CE" w14:textId="710B9F48" w:rsidR="003C6015" w:rsidRPr="00DD6A04" w:rsidRDefault="003C6015" w:rsidP="003C6015">
      <w:pPr>
        <w:spacing w:line="240" w:lineRule="auto"/>
        <w:jc w:val="both"/>
        <w:rPr>
          <w:noProof/>
        </w:rPr>
      </w:pPr>
      <w:r>
        <w:rPr>
          <w:noProof/>
        </w:rPr>
        <w:t>Mejniki v zvezi z izvedbo reforme bodo doseženi do 31. decembra 2024.</w:t>
      </w:r>
      <w:r w:rsidR="00037751">
        <w:rPr>
          <w:noProof/>
        </w:rPr>
        <w:t xml:space="preserve"> </w:t>
      </w:r>
    </w:p>
    <w:p w14:paraId="32658ADD" w14:textId="77777777" w:rsidR="003C6015" w:rsidRPr="00DD6A04" w:rsidRDefault="003C6015" w:rsidP="003C6015">
      <w:pPr>
        <w:spacing w:line="240" w:lineRule="auto"/>
        <w:jc w:val="both"/>
        <w:rPr>
          <w:noProof/>
          <w:u w:val="single"/>
        </w:rPr>
      </w:pPr>
      <w:r>
        <w:rPr>
          <w:noProof/>
          <w:u w:val="single"/>
        </w:rPr>
        <w:t>Investicija B. Krepitev kompetenc kadrov v zdravstvu za zagotavljanje kakovosti oskrbe</w:t>
      </w:r>
    </w:p>
    <w:p w14:paraId="7C8D10C1" w14:textId="77777777" w:rsidR="003C6015" w:rsidRPr="00DD6A04" w:rsidRDefault="003C6015" w:rsidP="003C6015">
      <w:pPr>
        <w:spacing w:line="240" w:lineRule="auto"/>
        <w:jc w:val="both"/>
        <w:rPr>
          <w:noProof/>
        </w:rPr>
      </w:pPr>
      <w:r>
        <w:rPr>
          <w:noProof/>
        </w:rPr>
        <w:t xml:space="preserve">Cilj investicije je razviti in razširiti kompetence diplomiranih medicinskih sester, da bodo lahko samostojno opravljale naloge, ter razširiti strokovne kompetence zdravnikov na primarni ravni. To naj bi zmanjšalo delovno obremenitev družinskih zdravnikov, izboljšalo dostop do primarnega zdravstvenega varstva in zagotovilo boljše pogoje zdravljenja. </w:t>
      </w:r>
    </w:p>
    <w:p w14:paraId="4AC8BF76" w14:textId="77777777" w:rsidR="003C6015" w:rsidRPr="00DD6A04" w:rsidRDefault="003C6015" w:rsidP="003C6015">
      <w:pPr>
        <w:spacing w:line="240" w:lineRule="auto"/>
        <w:jc w:val="both"/>
        <w:rPr>
          <w:noProof/>
        </w:rPr>
      </w:pPr>
      <w:r>
        <w:rPr>
          <w:noProof/>
        </w:rPr>
        <w:t>Investicija bo podpirala usposabljanje dodatnih medicinskih sester, specializiranih za oskrbo pacientov s kroničnimi boleznimi. Vključevala bo tudi prilagoditev učnih načrtov za zdravstvene poklice; uvedbo usposabljanja za pridobivanje specializiranih znanj diplomiranih medicinskih sester v zdravstveni negi, celovit pristop k obravnavi geriatričnih pacientov, mrežo regionalne pokritosti s paliativnimi mobilnimi ekipami, krepitev sistema na področju duševnega zdravja in povečanje kakovosti obravnave mišično-skeletnih bolečinskih stanj.</w:t>
      </w:r>
    </w:p>
    <w:p w14:paraId="1265FBBE" w14:textId="77777777" w:rsidR="003C6015" w:rsidRPr="00DD6A04" w:rsidRDefault="003C6015" w:rsidP="003C6015">
      <w:pPr>
        <w:spacing w:line="240" w:lineRule="auto"/>
        <w:jc w:val="both"/>
        <w:rPr>
          <w:noProof/>
        </w:rPr>
      </w:pPr>
      <w:r>
        <w:rPr>
          <w:noProof/>
        </w:rPr>
        <w:t>Cilj v zvezi z izvedbo investicije bo dosežen do 31. decembra 2025.</w:t>
      </w:r>
    </w:p>
    <w:p w14:paraId="6D7774BF" w14:textId="77777777" w:rsidR="003C6015" w:rsidRPr="00DD6A04" w:rsidRDefault="003C6015" w:rsidP="003C6015">
      <w:pPr>
        <w:spacing w:line="240" w:lineRule="auto"/>
        <w:jc w:val="both"/>
        <w:rPr>
          <w:noProof/>
          <w:u w:val="single"/>
        </w:rPr>
      </w:pPr>
      <w:r>
        <w:rPr>
          <w:noProof/>
          <w:u w:val="single"/>
        </w:rPr>
        <w:t>Investicija C. Digitalna preobrazba zdravstva</w:t>
      </w:r>
    </w:p>
    <w:p w14:paraId="1AC6C397" w14:textId="77777777" w:rsidR="003C6015" w:rsidRPr="00DD6A04" w:rsidRDefault="003C6015" w:rsidP="003C6015">
      <w:pPr>
        <w:spacing w:line="240" w:lineRule="auto"/>
        <w:jc w:val="both"/>
        <w:rPr>
          <w:noProof/>
        </w:rPr>
      </w:pPr>
      <w:r>
        <w:rPr>
          <w:noProof/>
        </w:rPr>
        <w:t>Cilji investicije so zagotoviti hiter dostop do visokokakovostnih in usklajenih podatkov v zdravstvu, predvsem z vključevanjem novih digitalnih storitev v zdravstveno varstvo, spodbujati uporabo informacijske tehnologije za komuniciranje s pacienti in drugimi deležniki v zdravstvenem sistemu, uvesti spremljanje kakovosti na podlagi podatkov v realnem času, izboljšati zmogljivosti in načrtovanje ravnanja z bolniki ter načrtovanje bolnišničnih zmogljivosti, zdravstvenih storitev in materialnih pogojev.</w:t>
      </w:r>
    </w:p>
    <w:p w14:paraId="564A499A" w14:textId="77777777" w:rsidR="003C6015" w:rsidRPr="00DD6A04" w:rsidRDefault="003C6015" w:rsidP="003C6015">
      <w:pPr>
        <w:spacing w:line="240" w:lineRule="auto"/>
        <w:jc w:val="both"/>
        <w:rPr>
          <w:noProof/>
        </w:rPr>
      </w:pPr>
      <w:r>
        <w:rPr>
          <w:noProof/>
        </w:rPr>
        <w:t>Investicija med drugim zajema razširitev Registra podatkov o pacientih, uvedbo centralne hrambe slikovnega gradiva (PACS), dostopnega vsem relevantnim deležnikom, vzpostavitev nacionalne platforme za telemedicinske obravnave, krepitev digitalnih kompetenc akterjev na področju zdravstva in nadgradnjo sistema za elektronsko naročanje eZdravje.</w:t>
      </w:r>
    </w:p>
    <w:p w14:paraId="7AF6794D" w14:textId="77777777" w:rsidR="003C6015" w:rsidRPr="00DD6A04" w:rsidRDefault="003C6015" w:rsidP="003C6015">
      <w:pPr>
        <w:spacing w:line="240" w:lineRule="auto"/>
        <w:jc w:val="both"/>
        <w:rPr>
          <w:noProof/>
        </w:rPr>
      </w:pPr>
      <w:r>
        <w:rPr>
          <w:noProof/>
        </w:rPr>
        <w:t>Mejnik in cilji v zvezi z izvedbo investicije bodo doseženi do 31. decembra 2025.</w:t>
      </w:r>
    </w:p>
    <w:p w14:paraId="5C986F70" w14:textId="77777777" w:rsidR="003C6015" w:rsidRPr="00DD6A04" w:rsidRDefault="003C6015" w:rsidP="003C6015">
      <w:pPr>
        <w:spacing w:line="240" w:lineRule="auto"/>
        <w:jc w:val="both"/>
        <w:rPr>
          <w:noProof/>
          <w:u w:val="single"/>
        </w:rPr>
      </w:pPr>
      <w:r>
        <w:rPr>
          <w:noProof/>
          <w:u w:val="single"/>
        </w:rPr>
        <w:t xml:space="preserve">Investicija D. Optimizacija dostopnosti zdravstvenega sistema </w:t>
      </w:r>
    </w:p>
    <w:p w14:paraId="5EF80E40" w14:textId="77777777" w:rsidR="003C6015" w:rsidRPr="00DD6A04" w:rsidRDefault="003C6015" w:rsidP="003C6015">
      <w:pPr>
        <w:spacing w:line="240" w:lineRule="auto"/>
        <w:jc w:val="both"/>
        <w:rPr>
          <w:noProof/>
        </w:rPr>
      </w:pPr>
      <w:r>
        <w:rPr>
          <w:noProof/>
        </w:rPr>
        <w:t>Cilj investicije je izboljšati dostop do nujne medicinske pomoči in njeno kakovost v vseh regijah ter skrajšati čas do prihoda enote nujne medicinske pomoči.</w:t>
      </w:r>
    </w:p>
    <w:p w14:paraId="6D47A309" w14:textId="37277960" w:rsidR="003C6015" w:rsidRPr="00DD6A04" w:rsidRDefault="003C6015" w:rsidP="003C6015">
      <w:pPr>
        <w:spacing w:line="240" w:lineRule="auto"/>
        <w:jc w:val="both"/>
        <w:rPr>
          <w:noProof/>
        </w:rPr>
      </w:pPr>
      <w:r>
        <w:rPr>
          <w:noProof/>
        </w:rPr>
        <w:t>Investicija vključuje vzpostavitev mreže centrov za izvajanje postakutnih storitev, vzpostavitev manjših rehabilitacijskih enot na primarni ravni v sklopu večjih zdravstvenih domov in nadgradnjo nacionalne infrastrukture za nujno oskrbo.</w:t>
      </w:r>
    </w:p>
    <w:p w14:paraId="70467EC9" w14:textId="00683B02" w:rsidR="003C6015" w:rsidRPr="00DD6A04" w:rsidRDefault="003C6015" w:rsidP="003C6015">
      <w:pPr>
        <w:spacing w:line="240" w:lineRule="auto"/>
        <w:jc w:val="both"/>
        <w:rPr>
          <w:noProof/>
        </w:rPr>
      </w:pPr>
      <w:r>
        <w:rPr>
          <w:noProof/>
        </w:rPr>
        <w:t>Cilj v zvezi z izvedbo investicije bo dosežen do 30. junija 2025.</w:t>
      </w:r>
    </w:p>
    <w:p w14:paraId="5B7AE239" w14:textId="77777777" w:rsidR="003C6015" w:rsidRPr="00DD6A04" w:rsidRDefault="003C6015" w:rsidP="003C6015">
      <w:pPr>
        <w:spacing w:line="240" w:lineRule="auto"/>
        <w:jc w:val="both"/>
        <w:rPr>
          <w:noProof/>
          <w:u w:val="single"/>
        </w:rPr>
      </w:pPr>
      <w:r>
        <w:rPr>
          <w:noProof/>
          <w:u w:val="single"/>
        </w:rPr>
        <w:t>Investicija E. Učinkovita obravnava nalezljivih bolezni</w:t>
      </w:r>
    </w:p>
    <w:p w14:paraId="144592A1" w14:textId="77777777" w:rsidR="003C6015" w:rsidRPr="00DD6A04" w:rsidRDefault="003C6015" w:rsidP="003C6015">
      <w:pPr>
        <w:spacing w:line="240" w:lineRule="auto"/>
        <w:jc w:val="both"/>
        <w:rPr>
          <w:noProof/>
        </w:rPr>
      </w:pPr>
      <w:r>
        <w:rPr>
          <w:noProof/>
        </w:rPr>
        <w:t xml:space="preserve">Cilj investicije je okrepiti in izboljšati zmogljivosti za obravnavo nalezljivih bolezni v Sloveniji. </w:t>
      </w:r>
    </w:p>
    <w:p w14:paraId="4C16EFDF" w14:textId="53D5BF06" w:rsidR="003C6015" w:rsidRPr="00DD6A04" w:rsidRDefault="003C6015" w:rsidP="003C6015">
      <w:pPr>
        <w:spacing w:line="240" w:lineRule="auto"/>
        <w:jc w:val="both"/>
        <w:rPr>
          <w:noProof/>
        </w:rPr>
      </w:pPr>
      <w:r>
        <w:rPr>
          <w:noProof/>
        </w:rPr>
        <w:t>Investicija vključuje izvedbo infrastrukturnega projekta, dograditev infekcijske klinike v UKC Ljubljana.</w:t>
      </w:r>
    </w:p>
    <w:p w14:paraId="26FD1F7F" w14:textId="77777777" w:rsidR="003C6015" w:rsidRPr="00DD6A04" w:rsidRDefault="003C6015" w:rsidP="003C6015">
      <w:pPr>
        <w:spacing w:line="240" w:lineRule="auto"/>
        <w:jc w:val="both"/>
        <w:rPr>
          <w:noProof/>
        </w:rPr>
      </w:pPr>
      <w:r>
        <w:rPr>
          <w:noProof/>
        </w:rPr>
        <w:t>Mejniki v zvezi z izvedbo investicije bodo doseženi do 30. junija 2026.</w:t>
      </w:r>
    </w:p>
    <w:p w14:paraId="57AE0AAD" w14:textId="77777777" w:rsidR="003C6015" w:rsidRPr="00DD6A04" w:rsidRDefault="003C6015" w:rsidP="003C6015">
      <w:pPr>
        <w:spacing w:line="240" w:lineRule="auto"/>
        <w:ind w:left="850"/>
        <w:jc w:val="both"/>
        <w:rPr>
          <w:noProof/>
          <w:lang w:val="en-GB"/>
        </w:rPr>
        <w:sectPr w:rsidR="003C6015" w:rsidRPr="00DD6A04" w:rsidSect="00073927">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26"/>
        </w:sectPr>
      </w:pPr>
    </w:p>
    <w:p w14:paraId="4ADC69E3" w14:textId="77777777" w:rsidR="003C6015" w:rsidRPr="00DD6A04" w:rsidRDefault="003C6015" w:rsidP="003C6015">
      <w:pPr>
        <w:spacing w:line="240" w:lineRule="auto"/>
        <w:ind w:left="850"/>
        <w:jc w:val="both"/>
        <w:rPr>
          <w:b/>
          <w:noProof/>
          <w:u w:val="single"/>
        </w:rPr>
      </w:pPr>
      <w:r>
        <w:rPr>
          <w:b/>
          <w:noProof/>
          <w:u w:val="single"/>
        </w:rPr>
        <w:t xml:space="preserve">N.2 </w:t>
      </w:r>
      <w:r>
        <w:rPr>
          <w:b/>
          <w:noProof/>
          <w:u w:val="single"/>
        </w:rPr>
        <w:tab/>
        <w:t>Mejniki, cilji, kazalniki in časovni razpored za spremljanje in izvajanje nepovratne finančne podpore</w:t>
      </w:r>
    </w:p>
    <w:tbl>
      <w:tblPr>
        <w:tblW w:w="1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8"/>
        <w:gridCol w:w="1350"/>
        <w:gridCol w:w="1870"/>
        <w:gridCol w:w="1731"/>
        <w:gridCol w:w="1109"/>
        <w:gridCol w:w="1231"/>
        <w:gridCol w:w="870"/>
        <w:gridCol w:w="1134"/>
        <w:gridCol w:w="850"/>
        <w:gridCol w:w="2977"/>
      </w:tblGrid>
      <w:tr w:rsidR="003B4275" w:rsidRPr="00DD6A04" w14:paraId="5746A286" w14:textId="77777777" w:rsidTr="00922AE5">
        <w:trPr>
          <w:trHeight w:val="901"/>
          <w:tblHeader/>
          <w:jc w:val="center"/>
        </w:trPr>
        <w:tc>
          <w:tcPr>
            <w:tcW w:w="1350" w:type="dxa"/>
            <w:vMerge w:val="restart"/>
            <w:shd w:val="clear" w:color="auto" w:fill="BDD7EE"/>
            <w:vAlign w:val="center"/>
            <w:hideMark/>
          </w:tcPr>
          <w:p w14:paraId="22004C37" w14:textId="77777777" w:rsidR="003B4275" w:rsidRPr="00DD6A04" w:rsidRDefault="003B4275">
            <w:pPr>
              <w:spacing w:before="0" w:after="0" w:line="240" w:lineRule="auto"/>
              <w:jc w:val="center"/>
              <w:rPr>
                <w:rFonts w:eastAsia="Times New Roman"/>
                <w:b/>
                <w:noProof/>
              </w:rPr>
            </w:pPr>
            <w:r>
              <w:rPr>
                <w:b/>
                <w:noProof/>
              </w:rPr>
              <w:t>Zaporedna številka</w:t>
            </w:r>
          </w:p>
        </w:tc>
        <w:tc>
          <w:tcPr>
            <w:tcW w:w="1538" w:type="dxa"/>
            <w:vMerge w:val="restart"/>
            <w:shd w:val="clear" w:color="auto" w:fill="BDD7EE"/>
            <w:vAlign w:val="center"/>
            <w:hideMark/>
          </w:tcPr>
          <w:p w14:paraId="0078A48A" w14:textId="77777777" w:rsidR="003B4275" w:rsidRPr="00DD6A04" w:rsidRDefault="003B4275">
            <w:pPr>
              <w:spacing w:before="0" w:after="0" w:line="240" w:lineRule="auto"/>
              <w:jc w:val="center"/>
              <w:rPr>
                <w:rFonts w:eastAsia="Times New Roman"/>
                <w:b/>
                <w:noProof/>
              </w:rPr>
            </w:pPr>
            <w:r>
              <w:rPr>
                <w:b/>
                <w:noProof/>
              </w:rPr>
              <w:t>Povezani ukrep (reforma ali naložba)</w:t>
            </w:r>
          </w:p>
        </w:tc>
        <w:tc>
          <w:tcPr>
            <w:tcW w:w="1118" w:type="dxa"/>
            <w:vMerge w:val="restart"/>
            <w:shd w:val="clear" w:color="auto" w:fill="BDD7EE"/>
            <w:vAlign w:val="center"/>
            <w:hideMark/>
          </w:tcPr>
          <w:p w14:paraId="2F4CEB58" w14:textId="77777777" w:rsidR="003B4275" w:rsidRPr="00DD6A04" w:rsidRDefault="003B4275">
            <w:pPr>
              <w:spacing w:before="0" w:after="0" w:line="240" w:lineRule="auto"/>
              <w:jc w:val="center"/>
              <w:rPr>
                <w:rFonts w:eastAsia="Times New Roman"/>
                <w:b/>
                <w:noProof/>
              </w:rPr>
            </w:pPr>
            <w:r>
              <w:rPr>
                <w:b/>
                <w:noProof/>
              </w:rPr>
              <w:t>Mejnik/cilj</w:t>
            </w:r>
          </w:p>
        </w:tc>
        <w:tc>
          <w:tcPr>
            <w:tcW w:w="1870" w:type="dxa"/>
            <w:vMerge w:val="restart"/>
            <w:shd w:val="clear" w:color="auto" w:fill="BDD7EE"/>
            <w:vAlign w:val="center"/>
            <w:hideMark/>
          </w:tcPr>
          <w:p w14:paraId="34ED6510" w14:textId="77777777" w:rsidR="003B4275" w:rsidRPr="00DD6A04" w:rsidRDefault="003B4275">
            <w:pPr>
              <w:spacing w:before="0" w:after="0" w:line="240" w:lineRule="auto"/>
              <w:jc w:val="center"/>
              <w:rPr>
                <w:rFonts w:eastAsia="Times New Roman"/>
                <w:b/>
                <w:noProof/>
              </w:rPr>
            </w:pPr>
            <w:r>
              <w:rPr>
                <w:b/>
                <w:noProof/>
              </w:rPr>
              <w:t>Ime</w:t>
            </w:r>
          </w:p>
        </w:tc>
        <w:tc>
          <w:tcPr>
            <w:tcW w:w="1731" w:type="dxa"/>
            <w:vMerge w:val="restart"/>
            <w:shd w:val="clear" w:color="auto" w:fill="BDD7EE"/>
            <w:vAlign w:val="center"/>
            <w:hideMark/>
          </w:tcPr>
          <w:p w14:paraId="124AF0D8" w14:textId="77777777" w:rsidR="003B4275" w:rsidRPr="00DD6A04" w:rsidRDefault="003B4275">
            <w:pPr>
              <w:spacing w:before="0" w:after="0" w:line="240" w:lineRule="auto"/>
              <w:jc w:val="center"/>
              <w:rPr>
                <w:rFonts w:eastAsia="Times New Roman"/>
                <w:b/>
                <w:noProof/>
              </w:rPr>
            </w:pPr>
            <w:r>
              <w:rPr>
                <w:b/>
                <w:noProof/>
              </w:rPr>
              <w:t>Kvalitativni kazalniki (za mejnike)</w:t>
            </w:r>
          </w:p>
        </w:tc>
        <w:tc>
          <w:tcPr>
            <w:tcW w:w="3210" w:type="dxa"/>
            <w:gridSpan w:val="3"/>
            <w:shd w:val="clear" w:color="auto" w:fill="BDD7EE"/>
            <w:vAlign w:val="center"/>
            <w:hideMark/>
          </w:tcPr>
          <w:p w14:paraId="60063804" w14:textId="77777777" w:rsidR="003B4275" w:rsidRPr="00DD6A04" w:rsidRDefault="003B4275">
            <w:pPr>
              <w:spacing w:before="0" w:after="0" w:line="240" w:lineRule="auto"/>
              <w:jc w:val="center"/>
              <w:rPr>
                <w:rFonts w:eastAsia="Times New Roman"/>
                <w:b/>
                <w:noProof/>
              </w:rPr>
            </w:pPr>
            <w:r>
              <w:rPr>
                <w:b/>
                <w:noProof/>
              </w:rPr>
              <w:t>Kvantitativni kazalniki (za cilje)</w:t>
            </w:r>
          </w:p>
        </w:tc>
        <w:tc>
          <w:tcPr>
            <w:tcW w:w="1984" w:type="dxa"/>
            <w:gridSpan w:val="2"/>
            <w:shd w:val="clear" w:color="auto" w:fill="BDD7EE"/>
            <w:vAlign w:val="center"/>
            <w:hideMark/>
          </w:tcPr>
          <w:p w14:paraId="699FD3B8" w14:textId="77777777" w:rsidR="003B4275" w:rsidRPr="00DD6A04" w:rsidRDefault="003B4275">
            <w:pPr>
              <w:spacing w:before="0" w:after="0" w:line="240" w:lineRule="auto"/>
              <w:jc w:val="center"/>
              <w:rPr>
                <w:rFonts w:eastAsia="Times New Roman"/>
                <w:b/>
                <w:noProof/>
              </w:rPr>
            </w:pPr>
            <w:r>
              <w:rPr>
                <w:b/>
                <w:noProof/>
              </w:rPr>
              <w:t xml:space="preserve">Okvirni časovni razpored za dokončanje </w:t>
            </w:r>
          </w:p>
        </w:tc>
        <w:tc>
          <w:tcPr>
            <w:tcW w:w="2977" w:type="dxa"/>
            <w:vMerge w:val="restart"/>
            <w:shd w:val="clear" w:color="auto" w:fill="BDD7EE"/>
            <w:vAlign w:val="center"/>
            <w:hideMark/>
          </w:tcPr>
          <w:p w14:paraId="338A2F55" w14:textId="77777777" w:rsidR="003B4275" w:rsidRPr="00DD6A04" w:rsidRDefault="003B4275">
            <w:pPr>
              <w:spacing w:before="0" w:after="0" w:line="240" w:lineRule="auto"/>
              <w:jc w:val="center"/>
              <w:rPr>
                <w:rFonts w:eastAsia="Times New Roman"/>
                <w:b/>
                <w:noProof/>
              </w:rPr>
            </w:pPr>
            <w:r>
              <w:rPr>
                <w:b/>
                <w:noProof/>
              </w:rPr>
              <w:t>Opis vsakega mejnika in cilja</w:t>
            </w:r>
          </w:p>
        </w:tc>
      </w:tr>
      <w:tr w:rsidR="003B4275" w:rsidRPr="00DD6A04" w14:paraId="18873C46" w14:textId="77777777" w:rsidTr="00922AE5">
        <w:trPr>
          <w:trHeight w:val="322"/>
          <w:tblHeader/>
          <w:jc w:val="center"/>
        </w:trPr>
        <w:tc>
          <w:tcPr>
            <w:tcW w:w="1350" w:type="dxa"/>
            <w:vMerge/>
            <w:vAlign w:val="center"/>
            <w:hideMark/>
          </w:tcPr>
          <w:p w14:paraId="4BD5D5EE" w14:textId="77777777" w:rsidR="003B4275" w:rsidRPr="00DD6A04" w:rsidRDefault="003B4275">
            <w:pPr>
              <w:spacing w:before="0" w:after="0" w:line="240" w:lineRule="auto"/>
              <w:rPr>
                <w:rFonts w:eastAsia="Times New Roman"/>
                <w:b/>
                <w:noProof/>
                <w:szCs w:val="24"/>
                <w:lang w:val="en-GB" w:eastAsia="en-GB"/>
              </w:rPr>
            </w:pPr>
          </w:p>
        </w:tc>
        <w:tc>
          <w:tcPr>
            <w:tcW w:w="1538" w:type="dxa"/>
            <w:vMerge/>
            <w:vAlign w:val="center"/>
            <w:hideMark/>
          </w:tcPr>
          <w:p w14:paraId="657CF0D6" w14:textId="77777777" w:rsidR="003B4275" w:rsidRPr="00DD6A04" w:rsidRDefault="003B4275">
            <w:pPr>
              <w:spacing w:before="0" w:after="0" w:line="240" w:lineRule="auto"/>
              <w:rPr>
                <w:rFonts w:eastAsia="Times New Roman"/>
                <w:b/>
                <w:noProof/>
                <w:szCs w:val="24"/>
                <w:lang w:val="en-GB" w:eastAsia="en-GB"/>
              </w:rPr>
            </w:pPr>
          </w:p>
        </w:tc>
        <w:tc>
          <w:tcPr>
            <w:tcW w:w="1118" w:type="dxa"/>
            <w:vMerge/>
            <w:vAlign w:val="center"/>
            <w:hideMark/>
          </w:tcPr>
          <w:p w14:paraId="053038BB" w14:textId="77777777" w:rsidR="003B4275" w:rsidRPr="00DD6A04" w:rsidRDefault="003B4275">
            <w:pPr>
              <w:spacing w:before="0" w:after="0" w:line="240" w:lineRule="auto"/>
              <w:rPr>
                <w:rFonts w:eastAsia="Times New Roman"/>
                <w:b/>
                <w:noProof/>
                <w:szCs w:val="24"/>
                <w:lang w:val="en-GB" w:eastAsia="en-GB"/>
              </w:rPr>
            </w:pPr>
          </w:p>
        </w:tc>
        <w:tc>
          <w:tcPr>
            <w:tcW w:w="1870" w:type="dxa"/>
            <w:vMerge/>
            <w:vAlign w:val="center"/>
            <w:hideMark/>
          </w:tcPr>
          <w:p w14:paraId="25FD227F" w14:textId="77777777" w:rsidR="003B4275" w:rsidRPr="00DD6A04" w:rsidRDefault="003B4275">
            <w:pPr>
              <w:spacing w:before="0" w:after="0" w:line="240" w:lineRule="auto"/>
              <w:rPr>
                <w:rFonts w:eastAsia="Times New Roman"/>
                <w:b/>
                <w:noProof/>
                <w:szCs w:val="24"/>
                <w:lang w:val="en-GB" w:eastAsia="en-GB"/>
              </w:rPr>
            </w:pPr>
          </w:p>
        </w:tc>
        <w:tc>
          <w:tcPr>
            <w:tcW w:w="1731" w:type="dxa"/>
            <w:vMerge/>
            <w:vAlign w:val="center"/>
            <w:hideMark/>
          </w:tcPr>
          <w:p w14:paraId="7B211D54" w14:textId="77777777" w:rsidR="003B4275" w:rsidRPr="00DD6A04" w:rsidRDefault="003B4275">
            <w:pPr>
              <w:spacing w:before="0" w:after="0" w:line="240" w:lineRule="auto"/>
              <w:rPr>
                <w:rFonts w:eastAsia="Times New Roman"/>
                <w:b/>
                <w:noProof/>
                <w:szCs w:val="24"/>
                <w:lang w:val="en-GB" w:eastAsia="en-GB"/>
              </w:rPr>
            </w:pPr>
          </w:p>
        </w:tc>
        <w:tc>
          <w:tcPr>
            <w:tcW w:w="1109" w:type="dxa"/>
            <w:shd w:val="clear" w:color="auto" w:fill="BDD7EE"/>
            <w:vAlign w:val="center"/>
            <w:hideMark/>
          </w:tcPr>
          <w:p w14:paraId="406F0C63" w14:textId="77777777" w:rsidR="003B4275" w:rsidRPr="00DD6A04" w:rsidRDefault="003B4275">
            <w:pPr>
              <w:spacing w:before="0" w:after="0" w:line="240" w:lineRule="auto"/>
              <w:jc w:val="center"/>
              <w:rPr>
                <w:rFonts w:eastAsia="Times New Roman"/>
                <w:b/>
                <w:noProof/>
                <w:sz w:val="22"/>
              </w:rPr>
            </w:pPr>
            <w:r>
              <w:rPr>
                <w:b/>
                <w:noProof/>
                <w:sz w:val="22"/>
              </w:rPr>
              <w:t>Enota merjenja</w:t>
            </w:r>
          </w:p>
        </w:tc>
        <w:tc>
          <w:tcPr>
            <w:tcW w:w="1231" w:type="dxa"/>
            <w:shd w:val="clear" w:color="auto" w:fill="BDD7EE"/>
            <w:vAlign w:val="center"/>
            <w:hideMark/>
          </w:tcPr>
          <w:p w14:paraId="7F3B08F4" w14:textId="77777777" w:rsidR="003B4275" w:rsidRPr="00DD6A04" w:rsidRDefault="003B4275">
            <w:pPr>
              <w:spacing w:before="0" w:after="0" w:line="240" w:lineRule="auto"/>
              <w:jc w:val="center"/>
              <w:rPr>
                <w:rFonts w:eastAsia="Times New Roman"/>
                <w:b/>
                <w:noProof/>
                <w:sz w:val="22"/>
              </w:rPr>
            </w:pPr>
            <w:r>
              <w:rPr>
                <w:b/>
                <w:noProof/>
                <w:sz w:val="22"/>
              </w:rPr>
              <w:t xml:space="preserve">Izhodiščna raven </w:t>
            </w:r>
          </w:p>
        </w:tc>
        <w:tc>
          <w:tcPr>
            <w:tcW w:w="870" w:type="dxa"/>
            <w:shd w:val="clear" w:color="auto" w:fill="BDD7EE"/>
            <w:vAlign w:val="center"/>
            <w:hideMark/>
          </w:tcPr>
          <w:p w14:paraId="16D3746D" w14:textId="77777777" w:rsidR="003B4275" w:rsidRPr="00DD6A04" w:rsidRDefault="003B4275">
            <w:pPr>
              <w:spacing w:before="0" w:after="0" w:line="240" w:lineRule="auto"/>
              <w:jc w:val="center"/>
              <w:rPr>
                <w:rFonts w:eastAsia="Times New Roman"/>
                <w:b/>
                <w:noProof/>
                <w:sz w:val="22"/>
              </w:rPr>
            </w:pPr>
            <w:r>
              <w:rPr>
                <w:b/>
                <w:noProof/>
                <w:sz w:val="22"/>
              </w:rPr>
              <w:t xml:space="preserve">Ciljna raven </w:t>
            </w:r>
          </w:p>
        </w:tc>
        <w:tc>
          <w:tcPr>
            <w:tcW w:w="1134" w:type="dxa"/>
            <w:shd w:val="clear" w:color="auto" w:fill="BDD7EE"/>
            <w:vAlign w:val="center"/>
            <w:hideMark/>
          </w:tcPr>
          <w:p w14:paraId="49262FC5" w14:textId="77777777" w:rsidR="003B4275" w:rsidRPr="00DD6A04" w:rsidRDefault="003B4275">
            <w:pPr>
              <w:spacing w:before="0" w:after="0" w:line="240" w:lineRule="auto"/>
              <w:jc w:val="center"/>
              <w:rPr>
                <w:rFonts w:eastAsia="Times New Roman"/>
                <w:b/>
                <w:noProof/>
                <w:sz w:val="22"/>
              </w:rPr>
            </w:pPr>
            <w:r>
              <w:rPr>
                <w:b/>
                <w:noProof/>
                <w:sz w:val="22"/>
              </w:rPr>
              <w:t>Četrtletje</w:t>
            </w:r>
          </w:p>
        </w:tc>
        <w:tc>
          <w:tcPr>
            <w:tcW w:w="850" w:type="dxa"/>
            <w:shd w:val="clear" w:color="auto" w:fill="BDD7EE"/>
            <w:vAlign w:val="center"/>
            <w:hideMark/>
          </w:tcPr>
          <w:p w14:paraId="59037EEB" w14:textId="77777777" w:rsidR="003B4275" w:rsidRPr="00DD6A04" w:rsidRDefault="003B4275">
            <w:pPr>
              <w:spacing w:before="0" w:after="0" w:line="240" w:lineRule="auto"/>
              <w:jc w:val="center"/>
              <w:rPr>
                <w:rFonts w:eastAsia="Times New Roman"/>
                <w:b/>
                <w:noProof/>
                <w:sz w:val="22"/>
              </w:rPr>
            </w:pPr>
            <w:r>
              <w:rPr>
                <w:b/>
                <w:noProof/>
                <w:sz w:val="22"/>
              </w:rPr>
              <w:t>Leto</w:t>
            </w:r>
          </w:p>
        </w:tc>
        <w:tc>
          <w:tcPr>
            <w:tcW w:w="2977" w:type="dxa"/>
            <w:vMerge/>
            <w:vAlign w:val="center"/>
            <w:hideMark/>
          </w:tcPr>
          <w:p w14:paraId="7628DBDA" w14:textId="77777777" w:rsidR="003B4275" w:rsidRPr="00DD6A04" w:rsidRDefault="003B4275">
            <w:pPr>
              <w:spacing w:before="0" w:after="0" w:line="240" w:lineRule="auto"/>
              <w:rPr>
                <w:rFonts w:eastAsia="Times New Roman"/>
                <w:b/>
                <w:noProof/>
                <w:szCs w:val="24"/>
                <w:lang w:val="en-GB" w:eastAsia="en-GB"/>
              </w:rPr>
            </w:pPr>
          </w:p>
        </w:tc>
      </w:tr>
      <w:tr w:rsidR="008E49B4" w:rsidRPr="00DD6A04" w14:paraId="23FD7777" w14:textId="77777777" w:rsidTr="00922AE5">
        <w:trPr>
          <w:trHeight w:val="299"/>
          <w:jc w:val="center"/>
        </w:trPr>
        <w:tc>
          <w:tcPr>
            <w:tcW w:w="1350" w:type="dxa"/>
            <w:shd w:val="clear" w:color="auto" w:fill="C6EFCE"/>
            <w:noWrap/>
          </w:tcPr>
          <w:p w14:paraId="1720097F" w14:textId="49CAEBB3" w:rsidR="008E49B4" w:rsidRPr="00DD6A04" w:rsidRDefault="008E49B4" w:rsidP="00A144BE">
            <w:pPr>
              <w:spacing w:before="0" w:after="0" w:line="240" w:lineRule="auto"/>
              <w:rPr>
                <w:rFonts w:eastAsia="Times New Roman"/>
                <w:noProof/>
                <w:color w:val="006100"/>
                <w:sz w:val="22"/>
              </w:rPr>
            </w:pPr>
            <w:r>
              <w:rPr>
                <w:noProof/>
                <w:color w:val="006100"/>
                <w:sz w:val="22"/>
              </w:rPr>
              <w:t>182</w:t>
            </w:r>
          </w:p>
        </w:tc>
        <w:tc>
          <w:tcPr>
            <w:tcW w:w="1538" w:type="dxa"/>
            <w:shd w:val="clear" w:color="auto" w:fill="C6EFCE"/>
            <w:noWrap/>
          </w:tcPr>
          <w:p w14:paraId="43190C3A" w14:textId="08C1020E" w:rsidR="008E49B4" w:rsidRPr="00DD6A04" w:rsidRDefault="008E49B4" w:rsidP="008E49B4">
            <w:pPr>
              <w:spacing w:before="0" w:after="0" w:line="240" w:lineRule="auto"/>
              <w:rPr>
                <w:rFonts w:eastAsia="Times New Roman"/>
                <w:noProof/>
                <w:color w:val="006100"/>
                <w:sz w:val="22"/>
              </w:rPr>
            </w:pPr>
            <w:r>
              <w:rPr>
                <w:noProof/>
                <w:color w:val="006100"/>
                <w:sz w:val="22"/>
              </w:rPr>
              <w:t>A: Reforma zdravstvenega sistema</w:t>
            </w:r>
          </w:p>
        </w:tc>
        <w:tc>
          <w:tcPr>
            <w:tcW w:w="1118" w:type="dxa"/>
            <w:shd w:val="clear" w:color="auto" w:fill="C6EFCE"/>
            <w:noWrap/>
          </w:tcPr>
          <w:p w14:paraId="32F6E4AA" w14:textId="6F788642" w:rsidR="008E49B4" w:rsidRPr="00DD6A04" w:rsidRDefault="008E49B4" w:rsidP="008E49B4">
            <w:pPr>
              <w:spacing w:before="0" w:after="0" w:line="240" w:lineRule="auto"/>
              <w:rPr>
                <w:rFonts w:eastAsia="Times New Roman"/>
                <w:noProof/>
                <w:color w:val="006100"/>
                <w:sz w:val="22"/>
              </w:rPr>
            </w:pPr>
            <w:r>
              <w:rPr>
                <w:noProof/>
                <w:color w:val="006100"/>
                <w:sz w:val="22"/>
              </w:rPr>
              <w:t>Mejnik</w:t>
            </w:r>
          </w:p>
        </w:tc>
        <w:tc>
          <w:tcPr>
            <w:tcW w:w="1870" w:type="dxa"/>
            <w:shd w:val="clear" w:color="auto" w:fill="C6EFCE"/>
            <w:noWrap/>
          </w:tcPr>
          <w:p w14:paraId="44AF0E32" w14:textId="7DC39480" w:rsidR="008E49B4" w:rsidRPr="00DD6A04" w:rsidRDefault="008E49B4" w:rsidP="008E49B4">
            <w:pPr>
              <w:spacing w:before="0" w:after="0" w:line="240" w:lineRule="auto"/>
              <w:rPr>
                <w:rFonts w:eastAsia="Times New Roman"/>
                <w:noProof/>
                <w:color w:val="006100"/>
                <w:sz w:val="22"/>
              </w:rPr>
            </w:pPr>
            <w:r>
              <w:rPr>
                <w:noProof/>
                <w:color w:val="006100"/>
                <w:sz w:val="22"/>
              </w:rPr>
              <w:t xml:space="preserve">Vzpostavitev neodvisnega organa za spremljanje in obvladovanje kakovosti v zdravstvenem sistemu </w:t>
            </w:r>
          </w:p>
        </w:tc>
        <w:tc>
          <w:tcPr>
            <w:tcW w:w="1731" w:type="dxa"/>
            <w:shd w:val="clear" w:color="auto" w:fill="C6EFCE"/>
            <w:noWrap/>
          </w:tcPr>
          <w:p w14:paraId="0AC07619" w14:textId="5324DC86" w:rsidR="008E49B4" w:rsidRPr="00DD6A04" w:rsidRDefault="008E49B4" w:rsidP="008E49B4">
            <w:pPr>
              <w:spacing w:before="0" w:after="0" w:line="240" w:lineRule="auto"/>
              <w:rPr>
                <w:rFonts w:eastAsia="Times New Roman"/>
                <w:noProof/>
                <w:color w:val="006100"/>
                <w:sz w:val="22"/>
              </w:rPr>
            </w:pPr>
            <w:r>
              <w:rPr>
                <w:noProof/>
                <w:color w:val="006100"/>
                <w:sz w:val="22"/>
              </w:rPr>
              <w:t>Operativen neodvisni organ za spremljanje in obvladovanje kakovosti v zdravstvenem sistemu</w:t>
            </w:r>
          </w:p>
        </w:tc>
        <w:tc>
          <w:tcPr>
            <w:tcW w:w="1109" w:type="dxa"/>
            <w:shd w:val="clear" w:color="auto" w:fill="C6EFCE"/>
            <w:noWrap/>
          </w:tcPr>
          <w:p w14:paraId="147F6012" w14:textId="77777777"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231" w:type="dxa"/>
            <w:shd w:val="clear" w:color="auto" w:fill="C6EFCE"/>
            <w:noWrap/>
          </w:tcPr>
          <w:p w14:paraId="759554D9" w14:textId="77777777"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870" w:type="dxa"/>
            <w:shd w:val="clear" w:color="auto" w:fill="C6EFCE"/>
            <w:noWrap/>
          </w:tcPr>
          <w:p w14:paraId="7CE4FF84" w14:textId="77777777"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1134" w:type="dxa"/>
            <w:shd w:val="clear" w:color="auto" w:fill="C6EFCE"/>
            <w:noWrap/>
          </w:tcPr>
          <w:p w14:paraId="782B605D" w14:textId="63652B2E" w:rsidR="008E49B4" w:rsidRPr="00DD6A04" w:rsidRDefault="008E49B4" w:rsidP="008E49B4">
            <w:pPr>
              <w:spacing w:before="0" w:after="0" w:line="240" w:lineRule="auto"/>
              <w:jc w:val="center"/>
              <w:rPr>
                <w:rFonts w:eastAsia="Times New Roman"/>
                <w:noProof/>
                <w:color w:val="006100"/>
                <w:sz w:val="22"/>
              </w:rPr>
            </w:pPr>
            <w:r>
              <w:rPr>
                <w:noProof/>
                <w:color w:val="006100"/>
                <w:sz w:val="22"/>
              </w:rPr>
              <w:t>Q4</w:t>
            </w:r>
          </w:p>
        </w:tc>
        <w:tc>
          <w:tcPr>
            <w:tcW w:w="850" w:type="dxa"/>
            <w:shd w:val="clear" w:color="auto" w:fill="C6EFCE"/>
            <w:noWrap/>
          </w:tcPr>
          <w:p w14:paraId="331CC1E7" w14:textId="3B3667F7"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2023</w:t>
            </w:r>
          </w:p>
        </w:tc>
        <w:tc>
          <w:tcPr>
            <w:tcW w:w="2977" w:type="dxa"/>
            <w:shd w:val="clear" w:color="auto" w:fill="C6EFCE"/>
            <w:noWrap/>
          </w:tcPr>
          <w:p w14:paraId="6011BFF1" w14:textId="1DC0CD34" w:rsidR="008E49B4" w:rsidRPr="00DD6A04" w:rsidRDefault="5C019388" w:rsidP="6B3B27EA">
            <w:pPr>
              <w:spacing w:before="0" w:after="0" w:line="240" w:lineRule="auto"/>
              <w:rPr>
                <w:rFonts w:eastAsia="Times New Roman"/>
                <w:noProof/>
                <w:color w:val="006100"/>
                <w:sz w:val="22"/>
              </w:rPr>
            </w:pPr>
            <w:r>
              <w:rPr>
                <w:noProof/>
                <w:color w:val="006100"/>
                <w:sz w:val="22"/>
              </w:rPr>
              <w:t>Organ bo opravljal vse naloge v zvezi z upravljanjem sistema kakovosti, varnostjo, razvojem standardov in spremljanjem kazalnikov kakovosti ter upravljanjem masovnih podatkov v zdravstvenem sistemu za spremljanje kakovosti. Organ bo prav tako skrbel za obnovo strategije upravljanja kakovosti v zdravstvu.</w:t>
            </w:r>
          </w:p>
        </w:tc>
      </w:tr>
      <w:tr w:rsidR="008E49B4" w:rsidRPr="00DD6A04" w14:paraId="5057F229" w14:textId="77777777" w:rsidTr="00922AE5">
        <w:trPr>
          <w:trHeight w:val="299"/>
          <w:jc w:val="center"/>
        </w:trPr>
        <w:tc>
          <w:tcPr>
            <w:tcW w:w="1350" w:type="dxa"/>
            <w:shd w:val="clear" w:color="auto" w:fill="C6EFCE"/>
            <w:noWrap/>
          </w:tcPr>
          <w:p w14:paraId="6FD69E53" w14:textId="71225A55" w:rsidR="008E49B4" w:rsidRPr="00DD6A04" w:rsidRDefault="008E49B4" w:rsidP="00A144BE">
            <w:pPr>
              <w:spacing w:before="0" w:after="0" w:line="240" w:lineRule="auto"/>
              <w:rPr>
                <w:rFonts w:eastAsia="Times New Roman"/>
                <w:noProof/>
                <w:color w:val="006100"/>
                <w:sz w:val="22"/>
              </w:rPr>
            </w:pPr>
            <w:r>
              <w:rPr>
                <w:noProof/>
                <w:color w:val="006100"/>
                <w:sz w:val="22"/>
              </w:rPr>
              <w:t>183</w:t>
            </w:r>
          </w:p>
        </w:tc>
        <w:tc>
          <w:tcPr>
            <w:tcW w:w="1538" w:type="dxa"/>
            <w:shd w:val="clear" w:color="auto" w:fill="C6EFCE"/>
            <w:noWrap/>
          </w:tcPr>
          <w:p w14:paraId="1784C460" w14:textId="4DF0674A" w:rsidR="008E49B4" w:rsidRPr="00DD6A04" w:rsidRDefault="008E49B4" w:rsidP="008E49B4">
            <w:pPr>
              <w:spacing w:before="0" w:after="0" w:line="240" w:lineRule="auto"/>
              <w:rPr>
                <w:rFonts w:eastAsia="Times New Roman"/>
                <w:noProof/>
                <w:color w:val="006100"/>
                <w:sz w:val="22"/>
              </w:rPr>
            </w:pPr>
            <w:r>
              <w:rPr>
                <w:noProof/>
                <w:color w:val="006100"/>
                <w:sz w:val="22"/>
              </w:rPr>
              <w:t>A: Reforma zdravstvenega sistema</w:t>
            </w:r>
          </w:p>
        </w:tc>
        <w:tc>
          <w:tcPr>
            <w:tcW w:w="1118" w:type="dxa"/>
            <w:shd w:val="clear" w:color="auto" w:fill="C6EFCE"/>
            <w:noWrap/>
          </w:tcPr>
          <w:p w14:paraId="5B6E51D8" w14:textId="1AB757D4" w:rsidR="008E49B4" w:rsidRPr="00DD6A04" w:rsidRDefault="008E49B4" w:rsidP="008E49B4">
            <w:pPr>
              <w:spacing w:before="0" w:after="0" w:line="240" w:lineRule="auto"/>
              <w:rPr>
                <w:rFonts w:eastAsia="Times New Roman"/>
                <w:noProof/>
                <w:color w:val="006100"/>
                <w:sz w:val="22"/>
              </w:rPr>
            </w:pPr>
            <w:r>
              <w:rPr>
                <w:noProof/>
                <w:color w:val="006100"/>
                <w:sz w:val="22"/>
              </w:rPr>
              <w:t>Mejnik</w:t>
            </w:r>
          </w:p>
        </w:tc>
        <w:tc>
          <w:tcPr>
            <w:tcW w:w="1870" w:type="dxa"/>
            <w:shd w:val="clear" w:color="auto" w:fill="C6EFCE"/>
            <w:noWrap/>
          </w:tcPr>
          <w:p w14:paraId="3246A370" w14:textId="06B1209C" w:rsidR="008E49B4" w:rsidRPr="00DD6A04" w:rsidRDefault="008E49B4" w:rsidP="008E49B4">
            <w:pPr>
              <w:spacing w:before="0" w:after="0" w:line="240" w:lineRule="auto"/>
              <w:rPr>
                <w:rFonts w:eastAsia="Times New Roman"/>
                <w:noProof/>
                <w:color w:val="006100"/>
                <w:sz w:val="22"/>
              </w:rPr>
            </w:pPr>
            <w:r>
              <w:rPr>
                <w:noProof/>
                <w:color w:val="006100"/>
                <w:sz w:val="22"/>
              </w:rPr>
              <w:t>Začetek veljavnosti sprememb Zakona o zdravstvenem varstvu in zdravstvenem zavarovanju ter začetek veljavnosti sprememb Zakona o zdravstveni dejavnosti</w:t>
            </w:r>
          </w:p>
        </w:tc>
        <w:tc>
          <w:tcPr>
            <w:tcW w:w="1731" w:type="dxa"/>
            <w:shd w:val="clear" w:color="auto" w:fill="C6EFCE"/>
            <w:noWrap/>
          </w:tcPr>
          <w:p w14:paraId="5AF8BC9A" w14:textId="4831DE49" w:rsidR="008E49B4" w:rsidRPr="00DD6A04" w:rsidRDefault="008E49B4" w:rsidP="008E49B4">
            <w:pPr>
              <w:spacing w:before="0" w:after="0" w:line="240" w:lineRule="auto"/>
              <w:rPr>
                <w:rFonts w:eastAsia="Times New Roman"/>
                <w:noProof/>
                <w:color w:val="006100"/>
                <w:sz w:val="22"/>
              </w:rPr>
            </w:pPr>
            <w:r>
              <w:rPr>
                <w:noProof/>
                <w:color w:val="006100"/>
                <w:sz w:val="22"/>
              </w:rPr>
              <w:t>Zakonodajna določba o začetku veljavnosti sprememb Zakona o zdravstvenem varstvu in zdravstvenem zavarovanju</w:t>
            </w:r>
          </w:p>
        </w:tc>
        <w:tc>
          <w:tcPr>
            <w:tcW w:w="1109" w:type="dxa"/>
            <w:shd w:val="clear" w:color="auto" w:fill="C6EFCE"/>
            <w:noWrap/>
          </w:tcPr>
          <w:p w14:paraId="136853A3" w14:textId="3C296D49"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231" w:type="dxa"/>
            <w:shd w:val="clear" w:color="auto" w:fill="C6EFCE"/>
            <w:noWrap/>
          </w:tcPr>
          <w:p w14:paraId="245D5913" w14:textId="1C527066"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870" w:type="dxa"/>
            <w:shd w:val="clear" w:color="auto" w:fill="C6EFCE"/>
            <w:noWrap/>
          </w:tcPr>
          <w:p w14:paraId="2C2F04F8" w14:textId="21AEBB98"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1134" w:type="dxa"/>
            <w:shd w:val="clear" w:color="auto" w:fill="C6EFCE"/>
            <w:noWrap/>
          </w:tcPr>
          <w:p w14:paraId="22DE7A7C" w14:textId="475F7515" w:rsidR="008E49B4" w:rsidRPr="00DD6A04" w:rsidRDefault="008E49B4" w:rsidP="008E49B4">
            <w:pPr>
              <w:spacing w:before="0" w:after="0" w:line="240" w:lineRule="auto"/>
              <w:jc w:val="center"/>
              <w:rPr>
                <w:rFonts w:eastAsia="Times New Roman"/>
                <w:noProof/>
                <w:color w:val="006100"/>
                <w:sz w:val="22"/>
              </w:rPr>
            </w:pPr>
            <w:r>
              <w:rPr>
                <w:noProof/>
                <w:color w:val="006100"/>
                <w:sz w:val="22"/>
              </w:rPr>
              <w:t>Q4</w:t>
            </w:r>
          </w:p>
        </w:tc>
        <w:tc>
          <w:tcPr>
            <w:tcW w:w="850" w:type="dxa"/>
            <w:shd w:val="clear" w:color="auto" w:fill="C6EFCE"/>
            <w:noWrap/>
          </w:tcPr>
          <w:p w14:paraId="4C0D9919" w14:textId="341B8FAE"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2024</w:t>
            </w:r>
          </w:p>
        </w:tc>
        <w:tc>
          <w:tcPr>
            <w:tcW w:w="2977" w:type="dxa"/>
            <w:shd w:val="clear" w:color="auto" w:fill="C6EFCE"/>
            <w:noWrap/>
          </w:tcPr>
          <w:p w14:paraId="2063D304" w14:textId="77777777" w:rsidR="008E49B4" w:rsidRPr="00DD6A04" w:rsidRDefault="008E49B4" w:rsidP="008E49B4">
            <w:pPr>
              <w:spacing w:after="0" w:line="240" w:lineRule="auto"/>
              <w:rPr>
                <w:rFonts w:eastAsia="Times New Roman"/>
                <w:noProof/>
                <w:color w:val="006100"/>
                <w:sz w:val="22"/>
              </w:rPr>
            </w:pPr>
            <w:r>
              <w:rPr>
                <w:noProof/>
                <w:color w:val="006100"/>
                <w:sz w:val="22"/>
              </w:rPr>
              <w:t xml:space="preserve">Spremembe zakonov bodo zagotovile kakovost, dostopnost in finančno vzdržnost zdravstvenega varstva. Zagotovile bodo tudi zadostno financiranje in diverzifikacijo virov financiranja, prilagodile bremena in odgovornosti pri plačevanju prispevkov za obvezno zdravstveno zavarovanje ter ohranile širok nabor pravic iz obveznega zdravstvenega zavarovanja. </w:t>
            </w:r>
          </w:p>
          <w:p w14:paraId="30A2FAE6" w14:textId="17A76BA4" w:rsidR="008E49B4" w:rsidRPr="00DD6A04" w:rsidRDefault="008E49B4" w:rsidP="008E49B4">
            <w:pPr>
              <w:spacing w:after="0" w:line="240" w:lineRule="auto"/>
              <w:rPr>
                <w:rFonts w:eastAsia="Times New Roman"/>
                <w:noProof/>
                <w:color w:val="006100"/>
                <w:sz w:val="22"/>
              </w:rPr>
            </w:pPr>
            <w:r>
              <w:rPr>
                <w:noProof/>
                <w:color w:val="006100"/>
                <w:sz w:val="22"/>
              </w:rPr>
              <w:t xml:space="preserve">Spremembe bodo med drugim vključevale opredelitev pravic iz obveznega zdravstvenega zavarovanja, revizijo postopkov načrtovanja, spremljanja in ocenjevanja pravic iz obveznega zdravstvenega zavarovanja, preoblikovanje dopolnilnega zdravstvenega zavarovanja, opredelitev vlog deležnikov v zdravstvenem sistemu in vodstva Zavoda za zdravstveno zavarovanje Slovenije ter pregled kazalnikov kakovosti zdravja. </w:t>
            </w:r>
          </w:p>
          <w:p w14:paraId="40B73ACF" w14:textId="7780171A" w:rsidR="008E49B4" w:rsidRPr="00DD6A04" w:rsidRDefault="008E49B4" w:rsidP="008E49B4">
            <w:pPr>
              <w:spacing w:before="0" w:after="0" w:line="240" w:lineRule="auto"/>
              <w:rPr>
                <w:rFonts w:eastAsia="Times New Roman"/>
                <w:noProof/>
                <w:color w:val="006100"/>
                <w:sz w:val="22"/>
              </w:rPr>
            </w:pPr>
            <w:r>
              <w:rPr>
                <w:noProof/>
                <w:color w:val="006100"/>
                <w:sz w:val="22"/>
              </w:rPr>
              <w:t>Vključevale bodo tudi spremenjene obračunske modele glede na kakovost opravljene storitve.</w:t>
            </w:r>
          </w:p>
        </w:tc>
      </w:tr>
      <w:tr w:rsidR="008E49B4" w:rsidRPr="00DD6A04" w14:paraId="578D5A68" w14:textId="77777777" w:rsidTr="00922AE5">
        <w:trPr>
          <w:trHeight w:val="299"/>
          <w:jc w:val="center"/>
        </w:trPr>
        <w:tc>
          <w:tcPr>
            <w:tcW w:w="1350" w:type="dxa"/>
            <w:shd w:val="clear" w:color="auto" w:fill="C6EFCE"/>
            <w:noWrap/>
          </w:tcPr>
          <w:p w14:paraId="232AEF54" w14:textId="12B63310" w:rsidR="008E49B4" w:rsidRPr="00DD6A04" w:rsidRDefault="008E49B4" w:rsidP="00A144BE">
            <w:pPr>
              <w:spacing w:before="0" w:after="0" w:line="240" w:lineRule="auto"/>
              <w:rPr>
                <w:rFonts w:eastAsia="Times New Roman"/>
                <w:noProof/>
                <w:color w:val="006100"/>
                <w:sz w:val="22"/>
              </w:rPr>
            </w:pPr>
            <w:r>
              <w:rPr>
                <w:noProof/>
                <w:color w:val="006100"/>
                <w:sz w:val="22"/>
              </w:rPr>
              <w:t>184</w:t>
            </w:r>
          </w:p>
        </w:tc>
        <w:tc>
          <w:tcPr>
            <w:tcW w:w="1538" w:type="dxa"/>
            <w:shd w:val="clear" w:color="auto" w:fill="C6EFCE"/>
            <w:noWrap/>
          </w:tcPr>
          <w:p w14:paraId="412C284E" w14:textId="72D1B291" w:rsidR="008E49B4" w:rsidRPr="00DD6A04" w:rsidRDefault="008E49B4" w:rsidP="008E49B4">
            <w:pPr>
              <w:spacing w:before="0" w:after="0" w:line="240" w:lineRule="auto"/>
              <w:rPr>
                <w:rFonts w:eastAsia="Times New Roman"/>
                <w:noProof/>
                <w:color w:val="006100"/>
                <w:sz w:val="22"/>
              </w:rPr>
            </w:pPr>
            <w:r>
              <w:rPr>
                <w:noProof/>
                <w:color w:val="006100"/>
                <w:sz w:val="22"/>
              </w:rPr>
              <w:t>B: Krepitev kompetenc kadrov v zdravstvu za zagotavljanje kakovosti oskrbe</w:t>
            </w:r>
          </w:p>
        </w:tc>
        <w:tc>
          <w:tcPr>
            <w:tcW w:w="1118" w:type="dxa"/>
            <w:shd w:val="clear" w:color="auto" w:fill="C6EFCE"/>
            <w:noWrap/>
          </w:tcPr>
          <w:p w14:paraId="56131A6B" w14:textId="71BC68FF" w:rsidR="008E49B4" w:rsidRPr="00DD6A04" w:rsidRDefault="008E49B4" w:rsidP="008E49B4">
            <w:pPr>
              <w:spacing w:before="0" w:after="0" w:line="240" w:lineRule="auto"/>
              <w:rPr>
                <w:rFonts w:eastAsia="Times New Roman"/>
                <w:noProof/>
                <w:color w:val="006100"/>
                <w:sz w:val="22"/>
              </w:rPr>
            </w:pPr>
            <w:r>
              <w:rPr>
                <w:noProof/>
                <w:color w:val="006100"/>
                <w:sz w:val="22"/>
              </w:rPr>
              <w:t>Cilj</w:t>
            </w:r>
          </w:p>
        </w:tc>
        <w:tc>
          <w:tcPr>
            <w:tcW w:w="1870" w:type="dxa"/>
            <w:shd w:val="clear" w:color="auto" w:fill="C6EFCE"/>
            <w:noWrap/>
          </w:tcPr>
          <w:p w14:paraId="35E94BCB" w14:textId="6414F672" w:rsidR="008E49B4" w:rsidRPr="00DD6A04" w:rsidRDefault="008E49B4" w:rsidP="008E49B4">
            <w:pPr>
              <w:spacing w:before="0" w:after="0" w:line="240" w:lineRule="auto"/>
              <w:rPr>
                <w:rFonts w:eastAsia="Times New Roman"/>
                <w:noProof/>
                <w:color w:val="006100"/>
                <w:sz w:val="22"/>
              </w:rPr>
            </w:pPr>
            <w:r>
              <w:rPr>
                <w:noProof/>
                <w:color w:val="006100"/>
                <w:sz w:val="22"/>
              </w:rPr>
              <w:t>Dodatne medicinske sestre, usposobljene za obravnavo bolnikov s kroničnimi boleznimi</w:t>
            </w:r>
          </w:p>
        </w:tc>
        <w:tc>
          <w:tcPr>
            <w:tcW w:w="1731" w:type="dxa"/>
            <w:shd w:val="clear" w:color="auto" w:fill="C6EFCE"/>
            <w:noWrap/>
          </w:tcPr>
          <w:p w14:paraId="520D8B2E" w14:textId="133F5E57"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109" w:type="dxa"/>
            <w:shd w:val="clear" w:color="auto" w:fill="C6EFCE"/>
            <w:noWrap/>
          </w:tcPr>
          <w:p w14:paraId="6CA134C8" w14:textId="0112EACE" w:rsidR="008E49B4" w:rsidRPr="00DD6A04" w:rsidRDefault="008E49B4" w:rsidP="008E49B4">
            <w:pPr>
              <w:spacing w:before="0" w:after="0" w:line="240" w:lineRule="auto"/>
              <w:rPr>
                <w:rFonts w:eastAsia="Times New Roman"/>
                <w:noProof/>
                <w:color w:val="006100"/>
                <w:sz w:val="22"/>
              </w:rPr>
            </w:pPr>
            <w:r>
              <w:rPr>
                <w:noProof/>
                <w:color w:val="006100"/>
                <w:sz w:val="22"/>
              </w:rPr>
              <w:t>Število</w:t>
            </w:r>
          </w:p>
        </w:tc>
        <w:tc>
          <w:tcPr>
            <w:tcW w:w="1231" w:type="dxa"/>
            <w:shd w:val="clear" w:color="auto" w:fill="C6EFCE"/>
            <w:noWrap/>
          </w:tcPr>
          <w:p w14:paraId="7F72CB06" w14:textId="4DC680FB" w:rsidR="008E49B4" w:rsidRPr="00DD6A04" w:rsidRDefault="008E49B4" w:rsidP="008E49B4">
            <w:pPr>
              <w:spacing w:before="0" w:after="0" w:line="240" w:lineRule="auto"/>
              <w:jc w:val="right"/>
              <w:rPr>
                <w:rFonts w:eastAsia="Times New Roman"/>
                <w:noProof/>
                <w:color w:val="006100"/>
                <w:sz w:val="22"/>
              </w:rPr>
            </w:pPr>
            <w:r>
              <w:rPr>
                <w:noProof/>
                <w:color w:val="006100"/>
                <w:sz w:val="22"/>
              </w:rPr>
              <w:t>0</w:t>
            </w:r>
          </w:p>
        </w:tc>
        <w:tc>
          <w:tcPr>
            <w:tcW w:w="870" w:type="dxa"/>
            <w:shd w:val="clear" w:color="auto" w:fill="C6EFCE"/>
            <w:noWrap/>
          </w:tcPr>
          <w:p w14:paraId="71E39472" w14:textId="534EF41A" w:rsidR="008E49B4" w:rsidRPr="00DD6A04" w:rsidRDefault="008E49B4" w:rsidP="008E49B4">
            <w:pPr>
              <w:spacing w:before="0" w:after="0" w:line="240" w:lineRule="auto"/>
              <w:jc w:val="right"/>
              <w:rPr>
                <w:rFonts w:eastAsia="Times New Roman"/>
                <w:noProof/>
                <w:color w:val="006100"/>
                <w:sz w:val="22"/>
              </w:rPr>
            </w:pPr>
            <w:r>
              <w:rPr>
                <w:noProof/>
                <w:color w:val="006100"/>
                <w:sz w:val="22"/>
              </w:rPr>
              <w:t>175</w:t>
            </w:r>
          </w:p>
        </w:tc>
        <w:tc>
          <w:tcPr>
            <w:tcW w:w="1134" w:type="dxa"/>
            <w:shd w:val="clear" w:color="auto" w:fill="C6EFCE"/>
            <w:noWrap/>
          </w:tcPr>
          <w:p w14:paraId="42C2CF93" w14:textId="16F7635D" w:rsidR="008E49B4" w:rsidRPr="00DD6A04" w:rsidRDefault="008E49B4" w:rsidP="008E49B4">
            <w:pPr>
              <w:spacing w:before="0" w:after="0" w:line="240" w:lineRule="auto"/>
              <w:jc w:val="center"/>
              <w:rPr>
                <w:rFonts w:eastAsia="Times New Roman"/>
                <w:noProof/>
                <w:color w:val="006100"/>
                <w:sz w:val="22"/>
              </w:rPr>
            </w:pPr>
            <w:r>
              <w:rPr>
                <w:noProof/>
                <w:color w:val="006100"/>
                <w:sz w:val="22"/>
              </w:rPr>
              <w:t>Q4</w:t>
            </w:r>
          </w:p>
        </w:tc>
        <w:tc>
          <w:tcPr>
            <w:tcW w:w="850" w:type="dxa"/>
            <w:shd w:val="clear" w:color="auto" w:fill="C6EFCE"/>
            <w:noWrap/>
          </w:tcPr>
          <w:p w14:paraId="46A2257A" w14:textId="2BAB9910"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2025</w:t>
            </w:r>
          </w:p>
        </w:tc>
        <w:tc>
          <w:tcPr>
            <w:tcW w:w="2977" w:type="dxa"/>
            <w:shd w:val="clear" w:color="auto" w:fill="C6EFCE"/>
            <w:noWrap/>
          </w:tcPr>
          <w:p w14:paraId="711BD014" w14:textId="77777777" w:rsidR="008E49B4" w:rsidRPr="00DD6A04" w:rsidRDefault="008E49B4" w:rsidP="008E49B4">
            <w:pPr>
              <w:spacing w:after="0" w:line="240" w:lineRule="auto"/>
              <w:rPr>
                <w:rFonts w:eastAsia="Times New Roman"/>
                <w:noProof/>
                <w:color w:val="006100"/>
                <w:sz w:val="22"/>
              </w:rPr>
            </w:pPr>
            <w:r>
              <w:rPr>
                <w:noProof/>
                <w:color w:val="006100"/>
                <w:sz w:val="22"/>
              </w:rPr>
              <w:t xml:space="preserve">Dodatno število diplomiranih medicinskih sester na primarni ravni, usposobljenih za samostojno obravnavo kroničnih bolnikov. </w:t>
            </w:r>
          </w:p>
          <w:p w14:paraId="55848273" w14:textId="77777777" w:rsidR="008E49B4" w:rsidRPr="00DD6A04" w:rsidRDefault="008E49B4" w:rsidP="008E49B4">
            <w:pPr>
              <w:spacing w:before="0" w:after="0" w:line="240" w:lineRule="auto"/>
              <w:rPr>
                <w:rFonts w:eastAsia="Times New Roman"/>
                <w:noProof/>
                <w:color w:val="006100"/>
                <w:sz w:val="22"/>
                <w:lang w:val="en-GB" w:eastAsia="en-GB"/>
              </w:rPr>
            </w:pPr>
          </w:p>
        </w:tc>
      </w:tr>
      <w:tr w:rsidR="008E49B4" w:rsidRPr="00DD6A04" w14:paraId="6B950044" w14:textId="77777777" w:rsidTr="00922AE5">
        <w:trPr>
          <w:trHeight w:val="299"/>
          <w:jc w:val="center"/>
        </w:trPr>
        <w:tc>
          <w:tcPr>
            <w:tcW w:w="1350" w:type="dxa"/>
            <w:shd w:val="clear" w:color="auto" w:fill="C6EFCE"/>
            <w:noWrap/>
          </w:tcPr>
          <w:p w14:paraId="40FF6655" w14:textId="530A843A" w:rsidR="008E49B4" w:rsidRPr="00DD6A04" w:rsidRDefault="008E49B4" w:rsidP="00A144BE">
            <w:pPr>
              <w:spacing w:before="0" w:after="0" w:line="240" w:lineRule="auto"/>
              <w:rPr>
                <w:rFonts w:eastAsia="Times New Roman"/>
                <w:noProof/>
                <w:color w:val="006100"/>
                <w:sz w:val="22"/>
              </w:rPr>
            </w:pPr>
            <w:r>
              <w:rPr>
                <w:noProof/>
                <w:color w:val="006100"/>
                <w:sz w:val="22"/>
              </w:rPr>
              <w:t>185</w:t>
            </w:r>
          </w:p>
        </w:tc>
        <w:tc>
          <w:tcPr>
            <w:tcW w:w="1538" w:type="dxa"/>
            <w:shd w:val="clear" w:color="auto" w:fill="C6EFCE"/>
            <w:noWrap/>
          </w:tcPr>
          <w:p w14:paraId="2105AF83" w14:textId="557F93BD" w:rsidR="008E49B4" w:rsidRPr="00DD6A04" w:rsidRDefault="008E49B4" w:rsidP="008E49B4">
            <w:pPr>
              <w:spacing w:before="0" w:after="0" w:line="240" w:lineRule="auto"/>
              <w:rPr>
                <w:rFonts w:eastAsia="Times New Roman"/>
                <w:noProof/>
                <w:color w:val="006100"/>
                <w:sz w:val="22"/>
              </w:rPr>
            </w:pPr>
            <w:r>
              <w:rPr>
                <w:noProof/>
                <w:color w:val="006100"/>
                <w:sz w:val="22"/>
              </w:rPr>
              <w:t>C: Digitalna preobrazba zdravstva</w:t>
            </w:r>
          </w:p>
        </w:tc>
        <w:tc>
          <w:tcPr>
            <w:tcW w:w="1118" w:type="dxa"/>
            <w:shd w:val="clear" w:color="auto" w:fill="C6EFCE"/>
            <w:noWrap/>
          </w:tcPr>
          <w:p w14:paraId="722AE5E4" w14:textId="1A539E5E" w:rsidR="008E49B4" w:rsidRPr="00DD6A04" w:rsidRDefault="008E49B4" w:rsidP="008E49B4">
            <w:pPr>
              <w:spacing w:before="0" w:after="0" w:line="240" w:lineRule="auto"/>
              <w:rPr>
                <w:rFonts w:eastAsia="Times New Roman"/>
                <w:noProof/>
                <w:color w:val="006100"/>
                <w:sz w:val="22"/>
              </w:rPr>
            </w:pPr>
            <w:r>
              <w:rPr>
                <w:noProof/>
                <w:color w:val="006100"/>
                <w:sz w:val="22"/>
              </w:rPr>
              <w:t>Mejnik</w:t>
            </w:r>
          </w:p>
        </w:tc>
        <w:tc>
          <w:tcPr>
            <w:tcW w:w="1870" w:type="dxa"/>
            <w:shd w:val="clear" w:color="auto" w:fill="C6EFCE"/>
            <w:noWrap/>
          </w:tcPr>
          <w:p w14:paraId="72C24998" w14:textId="14EF346C" w:rsidR="008E49B4" w:rsidRPr="00DD6A04" w:rsidRDefault="008E49B4" w:rsidP="008E49B4">
            <w:pPr>
              <w:spacing w:before="0" w:after="0" w:line="240" w:lineRule="auto"/>
              <w:rPr>
                <w:rFonts w:eastAsia="Times New Roman"/>
                <w:noProof/>
                <w:color w:val="006100"/>
                <w:sz w:val="22"/>
              </w:rPr>
            </w:pPr>
            <w:r>
              <w:rPr>
                <w:noProof/>
                <w:color w:val="006100"/>
                <w:sz w:val="22"/>
              </w:rPr>
              <w:t>Oddaja naročila za nacionalni sistem telemedicine</w:t>
            </w:r>
          </w:p>
        </w:tc>
        <w:tc>
          <w:tcPr>
            <w:tcW w:w="1731" w:type="dxa"/>
            <w:shd w:val="clear" w:color="auto" w:fill="C6EFCE"/>
            <w:noWrap/>
          </w:tcPr>
          <w:p w14:paraId="228E5078" w14:textId="37BAD685" w:rsidR="008E49B4" w:rsidRPr="00DD6A04" w:rsidRDefault="008E49B4" w:rsidP="008E49B4">
            <w:pPr>
              <w:spacing w:before="0" w:after="0" w:line="240" w:lineRule="auto"/>
              <w:rPr>
                <w:rFonts w:eastAsia="Times New Roman"/>
                <w:noProof/>
                <w:color w:val="006100"/>
                <w:sz w:val="22"/>
              </w:rPr>
            </w:pPr>
            <w:r>
              <w:rPr>
                <w:noProof/>
                <w:color w:val="006100"/>
                <w:sz w:val="22"/>
              </w:rPr>
              <w:t>Objava rezultatov razpisa</w:t>
            </w:r>
          </w:p>
        </w:tc>
        <w:tc>
          <w:tcPr>
            <w:tcW w:w="1109" w:type="dxa"/>
            <w:shd w:val="clear" w:color="auto" w:fill="C6EFCE"/>
            <w:noWrap/>
          </w:tcPr>
          <w:p w14:paraId="48B1D5FF" w14:textId="15C48A81"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231" w:type="dxa"/>
            <w:shd w:val="clear" w:color="auto" w:fill="C6EFCE"/>
            <w:noWrap/>
          </w:tcPr>
          <w:p w14:paraId="696B7FA3" w14:textId="300236B4"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870" w:type="dxa"/>
            <w:shd w:val="clear" w:color="auto" w:fill="C6EFCE"/>
            <w:noWrap/>
          </w:tcPr>
          <w:p w14:paraId="5C0C6E8C" w14:textId="5FF967F0"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1134" w:type="dxa"/>
            <w:shd w:val="clear" w:color="auto" w:fill="C6EFCE"/>
            <w:noWrap/>
          </w:tcPr>
          <w:p w14:paraId="63F9E4FF" w14:textId="7E154623" w:rsidR="008E49B4" w:rsidRPr="00DD6A04" w:rsidRDefault="008E49B4" w:rsidP="008E49B4">
            <w:pPr>
              <w:spacing w:before="0" w:after="0" w:line="240" w:lineRule="auto"/>
              <w:jc w:val="center"/>
              <w:rPr>
                <w:rFonts w:eastAsia="Times New Roman"/>
                <w:noProof/>
                <w:color w:val="006100"/>
                <w:sz w:val="22"/>
              </w:rPr>
            </w:pPr>
            <w:r>
              <w:rPr>
                <w:noProof/>
                <w:color w:val="006100"/>
                <w:sz w:val="22"/>
              </w:rPr>
              <w:t>Q2</w:t>
            </w:r>
          </w:p>
        </w:tc>
        <w:tc>
          <w:tcPr>
            <w:tcW w:w="850" w:type="dxa"/>
            <w:shd w:val="clear" w:color="auto" w:fill="C6EFCE"/>
            <w:noWrap/>
          </w:tcPr>
          <w:p w14:paraId="04D2F94F" w14:textId="0CD931E5"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2024</w:t>
            </w:r>
          </w:p>
        </w:tc>
        <w:tc>
          <w:tcPr>
            <w:tcW w:w="2977" w:type="dxa"/>
            <w:shd w:val="clear" w:color="auto" w:fill="C6EFCE"/>
            <w:noWrap/>
          </w:tcPr>
          <w:p w14:paraId="2CB30A0B" w14:textId="34491E1E" w:rsidR="008E49B4" w:rsidRPr="00DD6A04" w:rsidRDefault="008E49B4" w:rsidP="008E49B4">
            <w:pPr>
              <w:spacing w:before="0" w:after="0" w:line="240" w:lineRule="auto"/>
              <w:rPr>
                <w:rFonts w:eastAsia="Times New Roman"/>
                <w:noProof/>
                <w:color w:val="006100"/>
                <w:sz w:val="22"/>
              </w:rPr>
            </w:pPr>
            <w:r>
              <w:rPr>
                <w:noProof/>
                <w:color w:val="006100"/>
                <w:sz w:val="22"/>
              </w:rPr>
              <w:t>Izbrani nacionalni sistem telemedicine bo omogočal komunikacijo pacientov z zdravstvenimi delavci in sodelovanje med zdravstvenimi delavci. Zagotavljal bo potrebno digitalno infrastrukturo za izvajanje telemedicinske obravnave, enoten eKarton in enoten podatkovni administrativni model. Zagotavljal bo tudi ustrezne zahteve glede zasebnosti, varstva podatkov, informacijske varnosti, shranjevanja in združljivosti ter specifikacije oblike komunikacije.</w:t>
            </w:r>
          </w:p>
        </w:tc>
      </w:tr>
      <w:tr w:rsidR="008E49B4" w:rsidRPr="00DD6A04" w14:paraId="7EA60325" w14:textId="77777777" w:rsidTr="00922AE5">
        <w:trPr>
          <w:trHeight w:val="299"/>
          <w:jc w:val="center"/>
        </w:trPr>
        <w:tc>
          <w:tcPr>
            <w:tcW w:w="1350" w:type="dxa"/>
            <w:tcBorders>
              <w:bottom w:val="single" w:sz="4" w:space="0" w:color="auto"/>
            </w:tcBorders>
            <w:shd w:val="clear" w:color="auto" w:fill="C6EFCE"/>
            <w:noWrap/>
          </w:tcPr>
          <w:p w14:paraId="055F7266" w14:textId="74154421" w:rsidR="008E49B4" w:rsidRPr="00DD6A04" w:rsidRDefault="008E49B4" w:rsidP="00A144BE">
            <w:pPr>
              <w:spacing w:before="0" w:after="0" w:line="240" w:lineRule="auto"/>
              <w:rPr>
                <w:rFonts w:eastAsia="Times New Roman"/>
                <w:noProof/>
                <w:color w:val="006100"/>
                <w:sz w:val="22"/>
              </w:rPr>
            </w:pPr>
            <w:r>
              <w:rPr>
                <w:noProof/>
                <w:color w:val="006100"/>
                <w:sz w:val="22"/>
              </w:rPr>
              <w:t>186</w:t>
            </w:r>
          </w:p>
        </w:tc>
        <w:tc>
          <w:tcPr>
            <w:tcW w:w="1538" w:type="dxa"/>
            <w:tcBorders>
              <w:bottom w:val="single" w:sz="4" w:space="0" w:color="auto"/>
            </w:tcBorders>
            <w:shd w:val="clear" w:color="auto" w:fill="C6EFCE"/>
            <w:noWrap/>
          </w:tcPr>
          <w:p w14:paraId="39B47930" w14:textId="6EE3A105" w:rsidR="008E49B4" w:rsidRPr="00DD6A04" w:rsidRDefault="008E49B4" w:rsidP="008E49B4">
            <w:pPr>
              <w:spacing w:before="0" w:after="0" w:line="240" w:lineRule="auto"/>
              <w:rPr>
                <w:rFonts w:eastAsia="Times New Roman"/>
                <w:noProof/>
                <w:color w:val="006100"/>
                <w:sz w:val="22"/>
              </w:rPr>
            </w:pPr>
            <w:r>
              <w:rPr>
                <w:noProof/>
                <w:color w:val="006100"/>
                <w:sz w:val="22"/>
              </w:rPr>
              <w:t>C: Digitalna preobrazba zdravstva</w:t>
            </w:r>
          </w:p>
        </w:tc>
        <w:tc>
          <w:tcPr>
            <w:tcW w:w="1118" w:type="dxa"/>
            <w:tcBorders>
              <w:bottom w:val="single" w:sz="4" w:space="0" w:color="auto"/>
            </w:tcBorders>
            <w:shd w:val="clear" w:color="auto" w:fill="C6EFCE"/>
            <w:noWrap/>
          </w:tcPr>
          <w:p w14:paraId="5B9A00E0" w14:textId="2DA5208C" w:rsidR="008E49B4" w:rsidRPr="00DD6A04" w:rsidRDefault="008E49B4" w:rsidP="008E49B4">
            <w:pPr>
              <w:spacing w:before="0" w:after="0" w:line="240" w:lineRule="auto"/>
              <w:rPr>
                <w:rFonts w:eastAsia="Times New Roman"/>
                <w:noProof/>
                <w:color w:val="006100"/>
                <w:sz w:val="22"/>
              </w:rPr>
            </w:pPr>
            <w:r>
              <w:rPr>
                <w:noProof/>
                <w:color w:val="006100"/>
                <w:sz w:val="22"/>
              </w:rPr>
              <w:t>Cilj</w:t>
            </w:r>
          </w:p>
        </w:tc>
        <w:tc>
          <w:tcPr>
            <w:tcW w:w="1870" w:type="dxa"/>
            <w:tcBorders>
              <w:bottom w:val="single" w:sz="4" w:space="0" w:color="auto"/>
            </w:tcBorders>
            <w:shd w:val="clear" w:color="auto" w:fill="C6EFCE"/>
            <w:noWrap/>
          </w:tcPr>
          <w:p w14:paraId="3E20746E" w14:textId="32DE6BB5" w:rsidR="008E49B4" w:rsidRPr="00DD6A04" w:rsidRDefault="008E49B4" w:rsidP="008E49B4">
            <w:pPr>
              <w:spacing w:before="0" w:after="0" w:line="240" w:lineRule="auto"/>
              <w:rPr>
                <w:rFonts w:eastAsia="Times New Roman"/>
                <w:noProof/>
                <w:color w:val="006100"/>
                <w:sz w:val="22"/>
              </w:rPr>
            </w:pPr>
            <w:r>
              <w:rPr>
                <w:noProof/>
                <w:color w:val="006100"/>
                <w:sz w:val="22"/>
              </w:rPr>
              <w:t>Zdravstvene ustanove, ki uporabljajo centralno hrambo slikovnega gradiva</w:t>
            </w:r>
          </w:p>
        </w:tc>
        <w:tc>
          <w:tcPr>
            <w:tcW w:w="1731" w:type="dxa"/>
            <w:tcBorders>
              <w:bottom w:val="single" w:sz="4" w:space="0" w:color="auto"/>
            </w:tcBorders>
            <w:shd w:val="clear" w:color="auto" w:fill="C6EFCE"/>
            <w:noWrap/>
          </w:tcPr>
          <w:p w14:paraId="7E1F7EBE" w14:textId="19D6D839"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109" w:type="dxa"/>
            <w:tcBorders>
              <w:bottom w:val="single" w:sz="4" w:space="0" w:color="auto"/>
            </w:tcBorders>
            <w:shd w:val="clear" w:color="auto" w:fill="C6EFCE"/>
            <w:noWrap/>
          </w:tcPr>
          <w:p w14:paraId="194E369D" w14:textId="6231B189" w:rsidR="008E49B4" w:rsidRPr="00DD6A04" w:rsidRDefault="008E49B4" w:rsidP="008E49B4">
            <w:pPr>
              <w:spacing w:before="0" w:after="0" w:line="240" w:lineRule="auto"/>
              <w:rPr>
                <w:rFonts w:eastAsia="Times New Roman"/>
                <w:noProof/>
                <w:color w:val="006100"/>
                <w:sz w:val="22"/>
              </w:rPr>
            </w:pPr>
            <w:r>
              <w:rPr>
                <w:noProof/>
                <w:color w:val="006100"/>
                <w:sz w:val="22"/>
              </w:rPr>
              <w:t>% (odstotek)</w:t>
            </w:r>
          </w:p>
        </w:tc>
        <w:tc>
          <w:tcPr>
            <w:tcW w:w="1231" w:type="dxa"/>
            <w:tcBorders>
              <w:bottom w:val="single" w:sz="4" w:space="0" w:color="auto"/>
            </w:tcBorders>
            <w:shd w:val="clear" w:color="auto" w:fill="C6EFCE"/>
            <w:noWrap/>
          </w:tcPr>
          <w:p w14:paraId="6891D49D" w14:textId="2774C2C4" w:rsidR="008E49B4" w:rsidRPr="00DD6A04" w:rsidRDefault="008E49B4" w:rsidP="008E49B4">
            <w:pPr>
              <w:spacing w:before="0" w:after="0" w:line="240" w:lineRule="auto"/>
              <w:jc w:val="right"/>
              <w:rPr>
                <w:rFonts w:eastAsia="Times New Roman"/>
                <w:noProof/>
                <w:color w:val="006100"/>
                <w:sz w:val="22"/>
              </w:rPr>
            </w:pPr>
            <w:r>
              <w:rPr>
                <w:noProof/>
                <w:color w:val="006100"/>
                <w:sz w:val="22"/>
              </w:rPr>
              <w:t>0</w:t>
            </w:r>
          </w:p>
        </w:tc>
        <w:tc>
          <w:tcPr>
            <w:tcW w:w="870" w:type="dxa"/>
            <w:tcBorders>
              <w:bottom w:val="single" w:sz="4" w:space="0" w:color="auto"/>
            </w:tcBorders>
            <w:shd w:val="clear" w:color="auto" w:fill="C6EFCE"/>
            <w:noWrap/>
          </w:tcPr>
          <w:p w14:paraId="3D9671FD" w14:textId="4560A58E" w:rsidR="008E49B4" w:rsidRPr="00DD6A04" w:rsidRDefault="008E49B4" w:rsidP="008E49B4">
            <w:pPr>
              <w:spacing w:before="0" w:after="0" w:line="240" w:lineRule="auto"/>
              <w:jc w:val="right"/>
              <w:rPr>
                <w:rFonts w:eastAsia="Times New Roman"/>
                <w:noProof/>
                <w:color w:val="006100"/>
                <w:sz w:val="22"/>
              </w:rPr>
            </w:pPr>
            <w:r>
              <w:rPr>
                <w:noProof/>
                <w:color w:val="006100"/>
                <w:sz w:val="22"/>
              </w:rPr>
              <w:t>10</w:t>
            </w:r>
          </w:p>
        </w:tc>
        <w:tc>
          <w:tcPr>
            <w:tcW w:w="1134" w:type="dxa"/>
            <w:tcBorders>
              <w:bottom w:val="single" w:sz="4" w:space="0" w:color="auto"/>
            </w:tcBorders>
            <w:shd w:val="clear" w:color="auto" w:fill="C6EFCE"/>
            <w:noWrap/>
          </w:tcPr>
          <w:p w14:paraId="4F9FC06A" w14:textId="27BC15F3" w:rsidR="008E49B4" w:rsidRPr="00DD6A04" w:rsidRDefault="008E49B4" w:rsidP="008E49B4">
            <w:pPr>
              <w:spacing w:before="0" w:after="0" w:line="240" w:lineRule="auto"/>
              <w:jc w:val="center"/>
              <w:rPr>
                <w:rFonts w:eastAsia="Times New Roman"/>
                <w:noProof/>
                <w:color w:val="006100"/>
                <w:sz w:val="22"/>
              </w:rPr>
            </w:pPr>
            <w:r>
              <w:rPr>
                <w:noProof/>
                <w:color w:val="006100"/>
                <w:sz w:val="22"/>
              </w:rPr>
              <w:t>Q4</w:t>
            </w:r>
          </w:p>
        </w:tc>
        <w:tc>
          <w:tcPr>
            <w:tcW w:w="850" w:type="dxa"/>
            <w:tcBorders>
              <w:bottom w:val="single" w:sz="4" w:space="0" w:color="auto"/>
            </w:tcBorders>
            <w:shd w:val="clear" w:color="auto" w:fill="C6EFCE"/>
            <w:noWrap/>
          </w:tcPr>
          <w:p w14:paraId="3EA5839E" w14:textId="035BE454"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2024</w:t>
            </w:r>
          </w:p>
        </w:tc>
        <w:tc>
          <w:tcPr>
            <w:tcW w:w="2977" w:type="dxa"/>
            <w:tcBorders>
              <w:bottom w:val="single" w:sz="4" w:space="0" w:color="auto"/>
            </w:tcBorders>
            <w:shd w:val="clear" w:color="auto" w:fill="C6EFCE"/>
            <w:noWrap/>
          </w:tcPr>
          <w:p w14:paraId="6EB70775" w14:textId="41DD640F" w:rsidR="008E49B4" w:rsidRPr="00DD6A04" w:rsidRDefault="008E49B4" w:rsidP="008E49B4">
            <w:pPr>
              <w:spacing w:before="0" w:after="0" w:line="240" w:lineRule="auto"/>
              <w:rPr>
                <w:rFonts w:eastAsia="Times New Roman"/>
                <w:noProof/>
                <w:color w:val="006100"/>
                <w:sz w:val="22"/>
              </w:rPr>
            </w:pPr>
            <w:r>
              <w:rPr>
                <w:noProof/>
                <w:color w:val="006100"/>
                <w:sz w:val="22"/>
              </w:rPr>
              <w:t>Vsaj 10 % zdravstvenih ustanov bo imelo povezavo z osrednjim sistemom za hrambo slikovnega gradiva (PACS) in dostop do njega ter bo lahko vanj shranjevalo slike in jih tam iskalo.</w:t>
            </w:r>
          </w:p>
        </w:tc>
      </w:tr>
      <w:tr w:rsidR="008E49B4" w:rsidRPr="00DD6A04" w14:paraId="4DFFA0A0" w14:textId="77777777" w:rsidTr="00922AE5">
        <w:trPr>
          <w:trHeight w:val="299"/>
          <w:jc w:val="center"/>
        </w:trPr>
        <w:tc>
          <w:tcPr>
            <w:tcW w:w="1350" w:type="dxa"/>
            <w:tcBorders>
              <w:bottom w:val="single" w:sz="4" w:space="0" w:color="auto"/>
            </w:tcBorders>
            <w:shd w:val="clear" w:color="auto" w:fill="C6EFCE"/>
            <w:noWrap/>
          </w:tcPr>
          <w:p w14:paraId="273C7E9A" w14:textId="6554583B" w:rsidR="008E49B4" w:rsidRPr="00DD6A04" w:rsidRDefault="008E49B4" w:rsidP="00A144BE">
            <w:pPr>
              <w:spacing w:before="0" w:after="0" w:line="240" w:lineRule="auto"/>
              <w:rPr>
                <w:rFonts w:eastAsia="Times New Roman"/>
                <w:noProof/>
                <w:color w:val="006100"/>
                <w:sz w:val="22"/>
              </w:rPr>
            </w:pPr>
            <w:r>
              <w:rPr>
                <w:noProof/>
                <w:color w:val="006100"/>
                <w:sz w:val="22"/>
              </w:rPr>
              <w:t>187</w:t>
            </w:r>
          </w:p>
        </w:tc>
        <w:tc>
          <w:tcPr>
            <w:tcW w:w="1538" w:type="dxa"/>
            <w:tcBorders>
              <w:bottom w:val="single" w:sz="4" w:space="0" w:color="auto"/>
            </w:tcBorders>
            <w:shd w:val="clear" w:color="auto" w:fill="C6EFCE"/>
            <w:noWrap/>
          </w:tcPr>
          <w:p w14:paraId="56D1936A" w14:textId="6FC9C5E5" w:rsidR="008E49B4" w:rsidRPr="00DD6A04" w:rsidRDefault="008E49B4" w:rsidP="008E49B4">
            <w:pPr>
              <w:spacing w:before="0" w:after="0" w:line="240" w:lineRule="auto"/>
              <w:rPr>
                <w:rFonts w:eastAsia="Times New Roman"/>
                <w:noProof/>
                <w:color w:val="006100"/>
                <w:sz w:val="22"/>
              </w:rPr>
            </w:pPr>
            <w:r>
              <w:rPr>
                <w:noProof/>
                <w:color w:val="006100"/>
                <w:sz w:val="22"/>
              </w:rPr>
              <w:t>C: Digitalna preobrazba zdravstva</w:t>
            </w:r>
          </w:p>
        </w:tc>
        <w:tc>
          <w:tcPr>
            <w:tcW w:w="1118" w:type="dxa"/>
            <w:tcBorders>
              <w:bottom w:val="single" w:sz="4" w:space="0" w:color="auto"/>
            </w:tcBorders>
            <w:shd w:val="clear" w:color="auto" w:fill="C6EFCE"/>
            <w:noWrap/>
          </w:tcPr>
          <w:p w14:paraId="41112F8F" w14:textId="2AB9C2B3" w:rsidR="008E49B4" w:rsidRPr="00DD6A04" w:rsidRDefault="008E49B4" w:rsidP="008E49B4">
            <w:pPr>
              <w:spacing w:before="0" w:after="0" w:line="240" w:lineRule="auto"/>
              <w:rPr>
                <w:rFonts w:eastAsia="Times New Roman"/>
                <w:noProof/>
                <w:color w:val="006100"/>
                <w:sz w:val="22"/>
              </w:rPr>
            </w:pPr>
            <w:r>
              <w:rPr>
                <w:noProof/>
                <w:color w:val="006100"/>
                <w:sz w:val="22"/>
              </w:rPr>
              <w:t>Cilj</w:t>
            </w:r>
          </w:p>
        </w:tc>
        <w:tc>
          <w:tcPr>
            <w:tcW w:w="1870" w:type="dxa"/>
            <w:tcBorders>
              <w:bottom w:val="single" w:sz="4" w:space="0" w:color="auto"/>
            </w:tcBorders>
            <w:shd w:val="clear" w:color="auto" w:fill="C6EFCE"/>
            <w:noWrap/>
          </w:tcPr>
          <w:p w14:paraId="4B5A69EC" w14:textId="336F2512" w:rsidR="008E49B4" w:rsidRPr="00DD6A04" w:rsidRDefault="008E49B4" w:rsidP="008E49B4">
            <w:pPr>
              <w:spacing w:before="0" w:after="0" w:line="240" w:lineRule="auto"/>
              <w:rPr>
                <w:rFonts w:eastAsia="Times New Roman"/>
                <w:noProof/>
                <w:color w:val="006100"/>
                <w:sz w:val="22"/>
              </w:rPr>
            </w:pPr>
            <w:r>
              <w:rPr>
                <w:noProof/>
                <w:color w:val="006100"/>
                <w:sz w:val="22"/>
              </w:rPr>
              <w:t>Zdravstveni delavci, ki uporabljajo nacionalni sistem telemedicine</w:t>
            </w:r>
          </w:p>
        </w:tc>
        <w:tc>
          <w:tcPr>
            <w:tcW w:w="1731" w:type="dxa"/>
            <w:tcBorders>
              <w:bottom w:val="single" w:sz="4" w:space="0" w:color="auto"/>
            </w:tcBorders>
            <w:shd w:val="clear" w:color="auto" w:fill="C6EFCE"/>
            <w:noWrap/>
          </w:tcPr>
          <w:p w14:paraId="669E6EEE" w14:textId="49EDE76C"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109" w:type="dxa"/>
            <w:tcBorders>
              <w:bottom w:val="single" w:sz="4" w:space="0" w:color="auto"/>
            </w:tcBorders>
            <w:shd w:val="clear" w:color="auto" w:fill="C6EFCE"/>
            <w:noWrap/>
          </w:tcPr>
          <w:p w14:paraId="67128563" w14:textId="46D409CD" w:rsidR="008E49B4" w:rsidRPr="00DD6A04" w:rsidRDefault="008E49B4" w:rsidP="008E49B4">
            <w:pPr>
              <w:spacing w:before="0" w:after="0" w:line="240" w:lineRule="auto"/>
              <w:rPr>
                <w:rFonts w:eastAsia="Times New Roman"/>
                <w:noProof/>
                <w:color w:val="006100"/>
                <w:sz w:val="22"/>
              </w:rPr>
            </w:pPr>
            <w:r>
              <w:rPr>
                <w:noProof/>
                <w:color w:val="006100"/>
                <w:sz w:val="22"/>
              </w:rPr>
              <w:t>Število</w:t>
            </w:r>
          </w:p>
        </w:tc>
        <w:tc>
          <w:tcPr>
            <w:tcW w:w="1231" w:type="dxa"/>
            <w:tcBorders>
              <w:bottom w:val="single" w:sz="4" w:space="0" w:color="auto"/>
            </w:tcBorders>
            <w:shd w:val="clear" w:color="auto" w:fill="C6EFCE"/>
            <w:noWrap/>
          </w:tcPr>
          <w:p w14:paraId="4C941A81" w14:textId="4F88E912" w:rsidR="008E49B4" w:rsidRPr="00DD6A04" w:rsidRDefault="008E49B4" w:rsidP="008E49B4">
            <w:pPr>
              <w:spacing w:before="0" w:after="0" w:line="240" w:lineRule="auto"/>
              <w:jc w:val="right"/>
              <w:rPr>
                <w:rFonts w:eastAsia="Times New Roman"/>
                <w:noProof/>
                <w:color w:val="006100"/>
                <w:sz w:val="22"/>
              </w:rPr>
            </w:pPr>
            <w:r>
              <w:rPr>
                <w:noProof/>
                <w:color w:val="006100"/>
                <w:sz w:val="22"/>
              </w:rPr>
              <w:t>0</w:t>
            </w:r>
          </w:p>
        </w:tc>
        <w:tc>
          <w:tcPr>
            <w:tcW w:w="870" w:type="dxa"/>
            <w:tcBorders>
              <w:bottom w:val="single" w:sz="4" w:space="0" w:color="auto"/>
            </w:tcBorders>
            <w:shd w:val="clear" w:color="auto" w:fill="C6EFCE"/>
            <w:noWrap/>
          </w:tcPr>
          <w:p w14:paraId="68C9A426" w14:textId="52622B15" w:rsidR="008E49B4" w:rsidRPr="00DD6A04" w:rsidRDefault="008E49B4" w:rsidP="008E49B4">
            <w:pPr>
              <w:spacing w:before="0" w:after="0" w:line="240" w:lineRule="auto"/>
              <w:jc w:val="right"/>
              <w:rPr>
                <w:rFonts w:eastAsia="Times New Roman"/>
                <w:noProof/>
                <w:color w:val="006100"/>
                <w:sz w:val="22"/>
              </w:rPr>
            </w:pPr>
            <w:r>
              <w:rPr>
                <w:noProof/>
                <w:color w:val="006100"/>
                <w:sz w:val="22"/>
              </w:rPr>
              <w:t>1500</w:t>
            </w:r>
          </w:p>
        </w:tc>
        <w:tc>
          <w:tcPr>
            <w:tcW w:w="1134" w:type="dxa"/>
            <w:tcBorders>
              <w:bottom w:val="single" w:sz="4" w:space="0" w:color="auto"/>
            </w:tcBorders>
            <w:shd w:val="clear" w:color="auto" w:fill="C6EFCE"/>
            <w:noWrap/>
          </w:tcPr>
          <w:p w14:paraId="1AAB251E" w14:textId="1B1BB2C7" w:rsidR="008E49B4" w:rsidRPr="00DD6A04" w:rsidRDefault="008E49B4" w:rsidP="008E49B4">
            <w:pPr>
              <w:spacing w:before="0" w:after="0" w:line="240" w:lineRule="auto"/>
              <w:jc w:val="center"/>
              <w:rPr>
                <w:rFonts w:eastAsia="Times New Roman"/>
                <w:noProof/>
                <w:color w:val="006100"/>
                <w:sz w:val="22"/>
              </w:rPr>
            </w:pPr>
            <w:r>
              <w:rPr>
                <w:noProof/>
                <w:color w:val="006100"/>
                <w:sz w:val="22"/>
              </w:rPr>
              <w:t>Q4</w:t>
            </w:r>
          </w:p>
        </w:tc>
        <w:tc>
          <w:tcPr>
            <w:tcW w:w="850" w:type="dxa"/>
            <w:tcBorders>
              <w:bottom w:val="single" w:sz="4" w:space="0" w:color="auto"/>
            </w:tcBorders>
            <w:shd w:val="clear" w:color="auto" w:fill="C6EFCE"/>
            <w:noWrap/>
          </w:tcPr>
          <w:p w14:paraId="32BBA52C" w14:textId="10A63039"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2025</w:t>
            </w:r>
          </w:p>
        </w:tc>
        <w:tc>
          <w:tcPr>
            <w:tcW w:w="2977" w:type="dxa"/>
            <w:tcBorders>
              <w:bottom w:val="single" w:sz="4" w:space="0" w:color="auto"/>
            </w:tcBorders>
            <w:shd w:val="clear" w:color="auto" w:fill="C6EFCE"/>
            <w:noWrap/>
          </w:tcPr>
          <w:p w14:paraId="5294A976" w14:textId="77777777" w:rsidR="008E49B4" w:rsidRPr="00DD6A04" w:rsidRDefault="008E49B4" w:rsidP="008E49B4">
            <w:pPr>
              <w:spacing w:after="0" w:line="240" w:lineRule="auto"/>
              <w:rPr>
                <w:rFonts w:eastAsia="Times New Roman"/>
                <w:noProof/>
                <w:color w:val="006100"/>
                <w:sz w:val="22"/>
              </w:rPr>
            </w:pPr>
            <w:r>
              <w:rPr>
                <w:noProof/>
                <w:color w:val="006100"/>
                <w:sz w:val="22"/>
              </w:rPr>
              <w:t>Uporaba nacionalnih rešitev za telemedicino vključuje komunikacijo pacienta z zdravnikom na daljavo, posvetovanja z zdravnikom na daljavo, posvetovanje na daljavo med zdravniki in spremljanje vitalnih znakov pacienta na daljavo.</w:t>
            </w:r>
          </w:p>
          <w:p w14:paraId="63BC6871" w14:textId="2C35FAE5" w:rsidR="008E49B4" w:rsidRPr="00DD6A04" w:rsidRDefault="008E49B4" w:rsidP="008E49B4">
            <w:pPr>
              <w:spacing w:before="0" w:after="0" w:line="240" w:lineRule="auto"/>
              <w:rPr>
                <w:rFonts w:eastAsia="Times New Roman"/>
                <w:noProof/>
                <w:color w:val="006100"/>
                <w:sz w:val="22"/>
              </w:rPr>
            </w:pPr>
            <w:r>
              <w:rPr>
                <w:noProof/>
                <w:color w:val="006100"/>
                <w:sz w:val="22"/>
              </w:rPr>
              <w:t>Cilj zajema število posameznih zdravstvenih delavcev, ki uporabljajo sistem.</w:t>
            </w:r>
          </w:p>
        </w:tc>
      </w:tr>
      <w:tr w:rsidR="008E49B4" w:rsidRPr="00DD6A04" w14:paraId="194AE53C" w14:textId="77777777" w:rsidTr="00922AE5">
        <w:trPr>
          <w:trHeight w:val="299"/>
          <w:jc w:val="center"/>
        </w:trPr>
        <w:tc>
          <w:tcPr>
            <w:tcW w:w="1350" w:type="dxa"/>
            <w:tcBorders>
              <w:top w:val="single" w:sz="4" w:space="0" w:color="auto"/>
            </w:tcBorders>
            <w:shd w:val="clear" w:color="auto" w:fill="C6EFCE"/>
            <w:noWrap/>
          </w:tcPr>
          <w:p w14:paraId="4B65131F" w14:textId="058EDC59" w:rsidR="008E49B4" w:rsidRPr="00DD6A04" w:rsidRDefault="008E49B4" w:rsidP="00A144BE">
            <w:pPr>
              <w:spacing w:before="0" w:after="0" w:line="240" w:lineRule="auto"/>
              <w:rPr>
                <w:rFonts w:eastAsia="Times New Roman"/>
                <w:noProof/>
                <w:color w:val="006100"/>
                <w:sz w:val="22"/>
              </w:rPr>
            </w:pPr>
            <w:r>
              <w:rPr>
                <w:noProof/>
                <w:color w:val="006100"/>
                <w:sz w:val="22"/>
              </w:rPr>
              <w:t>189</w:t>
            </w:r>
          </w:p>
        </w:tc>
        <w:tc>
          <w:tcPr>
            <w:tcW w:w="1538" w:type="dxa"/>
            <w:tcBorders>
              <w:top w:val="single" w:sz="4" w:space="0" w:color="auto"/>
            </w:tcBorders>
            <w:shd w:val="clear" w:color="auto" w:fill="C6EFCE"/>
            <w:noWrap/>
          </w:tcPr>
          <w:p w14:paraId="7F9B7B3A" w14:textId="54A7ECE4" w:rsidR="008E49B4" w:rsidRPr="00DD6A04" w:rsidRDefault="008E49B4" w:rsidP="008E49B4">
            <w:pPr>
              <w:spacing w:before="0" w:after="0" w:line="240" w:lineRule="auto"/>
              <w:rPr>
                <w:rFonts w:eastAsia="Times New Roman"/>
                <w:noProof/>
                <w:color w:val="006100"/>
                <w:sz w:val="22"/>
              </w:rPr>
            </w:pPr>
            <w:r>
              <w:rPr>
                <w:noProof/>
                <w:color w:val="006100"/>
                <w:sz w:val="22"/>
              </w:rPr>
              <w:t>D: Optimizacija dostopnosti zdravstvenega sistema</w:t>
            </w:r>
          </w:p>
        </w:tc>
        <w:tc>
          <w:tcPr>
            <w:tcW w:w="1118" w:type="dxa"/>
            <w:tcBorders>
              <w:top w:val="single" w:sz="4" w:space="0" w:color="auto"/>
            </w:tcBorders>
            <w:shd w:val="clear" w:color="auto" w:fill="C6EFCE"/>
            <w:noWrap/>
          </w:tcPr>
          <w:p w14:paraId="0AD360A7" w14:textId="4937C743" w:rsidR="008E49B4" w:rsidRPr="00DD6A04" w:rsidRDefault="008E49B4" w:rsidP="008E49B4">
            <w:pPr>
              <w:spacing w:before="0" w:after="0" w:line="240" w:lineRule="auto"/>
              <w:rPr>
                <w:rFonts w:eastAsia="Times New Roman"/>
                <w:noProof/>
                <w:color w:val="006100"/>
                <w:sz w:val="22"/>
              </w:rPr>
            </w:pPr>
            <w:r>
              <w:rPr>
                <w:noProof/>
                <w:color w:val="006100"/>
                <w:sz w:val="22"/>
              </w:rPr>
              <w:t>Cilj</w:t>
            </w:r>
          </w:p>
        </w:tc>
        <w:tc>
          <w:tcPr>
            <w:tcW w:w="1870" w:type="dxa"/>
            <w:tcBorders>
              <w:top w:val="single" w:sz="4" w:space="0" w:color="auto"/>
            </w:tcBorders>
            <w:shd w:val="clear" w:color="auto" w:fill="C6EFCE"/>
            <w:noWrap/>
          </w:tcPr>
          <w:p w14:paraId="6A2F8E74" w14:textId="7BE42669" w:rsidR="008E49B4" w:rsidRPr="00DD6A04" w:rsidRDefault="008E49B4" w:rsidP="008E49B4">
            <w:pPr>
              <w:spacing w:before="0" w:after="0" w:line="240" w:lineRule="auto"/>
              <w:rPr>
                <w:rFonts w:eastAsia="Times New Roman"/>
                <w:noProof/>
                <w:color w:val="006100"/>
                <w:sz w:val="22"/>
              </w:rPr>
            </w:pPr>
            <w:r>
              <w:rPr>
                <w:noProof/>
                <w:color w:val="006100"/>
                <w:sz w:val="22"/>
              </w:rPr>
              <w:t>Krajši povprečni čas prihoda enote nujne medicinske pomoči</w:t>
            </w:r>
          </w:p>
        </w:tc>
        <w:tc>
          <w:tcPr>
            <w:tcW w:w="1731" w:type="dxa"/>
            <w:tcBorders>
              <w:top w:val="single" w:sz="4" w:space="0" w:color="auto"/>
            </w:tcBorders>
            <w:shd w:val="clear" w:color="auto" w:fill="C6EFCE"/>
            <w:noWrap/>
          </w:tcPr>
          <w:p w14:paraId="3D78E34A" w14:textId="7AA27883"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109" w:type="dxa"/>
            <w:tcBorders>
              <w:top w:val="single" w:sz="4" w:space="0" w:color="auto"/>
            </w:tcBorders>
            <w:shd w:val="clear" w:color="auto" w:fill="C6EFCE"/>
            <w:noWrap/>
          </w:tcPr>
          <w:p w14:paraId="45F628DC" w14:textId="77777777" w:rsidR="008E49B4" w:rsidRPr="00DD6A04" w:rsidRDefault="008E49B4" w:rsidP="0052082E">
            <w:pPr>
              <w:spacing w:before="0" w:after="0" w:line="240" w:lineRule="auto"/>
              <w:rPr>
                <w:rFonts w:eastAsia="Times New Roman"/>
                <w:noProof/>
                <w:color w:val="006100"/>
                <w:sz w:val="22"/>
              </w:rPr>
            </w:pPr>
            <w:r>
              <w:rPr>
                <w:noProof/>
                <w:color w:val="006100"/>
                <w:sz w:val="22"/>
              </w:rPr>
              <w:t>Število</w:t>
            </w:r>
          </w:p>
          <w:p w14:paraId="61B45DFB" w14:textId="0F8A4FB9" w:rsidR="008E49B4" w:rsidRPr="00DD6A04" w:rsidRDefault="008E49B4" w:rsidP="008E49B4">
            <w:pPr>
              <w:spacing w:before="0" w:after="0" w:line="240" w:lineRule="auto"/>
              <w:rPr>
                <w:rFonts w:eastAsia="Times New Roman"/>
                <w:noProof/>
                <w:color w:val="006100"/>
                <w:sz w:val="22"/>
              </w:rPr>
            </w:pPr>
            <w:r>
              <w:rPr>
                <w:noProof/>
                <w:color w:val="006100"/>
                <w:sz w:val="22"/>
              </w:rPr>
              <w:t>(v minutah)</w:t>
            </w:r>
          </w:p>
        </w:tc>
        <w:tc>
          <w:tcPr>
            <w:tcW w:w="1231" w:type="dxa"/>
            <w:tcBorders>
              <w:top w:val="single" w:sz="4" w:space="0" w:color="auto"/>
            </w:tcBorders>
            <w:shd w:val="clear" w:color="auto" w:fill="C6EFCE"/>
            <w:noWrap/>
          </w:tcPr>
          <w:p w14:paraId="5F8646B1" w14:textId="482130D7" w:rsidR="008E49B4" w:rsidRPr="00DD6A04" w:rsidRDefault="008E49B4" w:rsidP="008E49B4">
            <w:pPr>
              <w:spacing w:before="0" w:after="0" w:line="240" w:lineRule="auto"/>
              <w:jc w:val="right"/>
              <w:rPr>
                <w:rFonts w:eastAsia="Times New Roman"/>
                <w:noProof/>
                <w:color w:val="006100"/>
                <w:sz w:val="22"/>
              </w:rPr>
            </w:pPr>
            <w:r>
              <w:rPr>
                <w:noProof/>
                <w:color w:val="006100"/>
                <w:sz w:val="22"/>
              </w:rPr>
              <w:t>16</w:t>
            </w:r>
          </w:p>
        </w:tc>
        <w:tc>
          <w:tcPr>
            <w:tcW w:w="870" w:type="dxa"/>
            <w:tcBorders>
              <w:top w:val="single" w:sz="4" w:space="0" w:color="auto"/>
            </w:tcBorders>
            <w:shd w:val="clear" w:color="auto" w:fill="C6EFCE"/>
            <w:noWrap/>
          </w:tcPr>
          <w:p w14:paraId="3D52CC58" w14:textId="3C5B90A2" w:rsidR="008E49B4" w:rsidRPr="00DD6A04" w:rsidRDefault="008E49B4" w:rsidP="008E49B4">
            <w:pPr>
              <w:spacing w:before="0" w:after="0" w:line="240" w:lineRule="auto"/>
              <w:jc w:val="right"/>
              <w:rPr>
                <w:rFonts w:eastAsia="Times New Roman"/>
                <w:noProof/>
                <w:color w:val="006100"/>
                <w:sz w:val="22"/>
              </w:rPr>
            </w:pPr>
            <w:r>
              <w:rPr>
                <w:noProof/>
                <w:color w:val="006100"/>
                <w:sz w:val="22"/>
              </w:rPr>
              <w:t>15</w:t>
            </w:r>
          </w:p>
        </w:tc>
        <w:tc>
          <w:tcPr>
            <w:tcW w:w="1134" w:type="dxa"/>
            <w:tcBorders>
              <w:top w:val="single" w:sz="4" w:space="0" w:color="auto"/>
            </w:tcBorders>
            <w:shd w:val="clear" w:color="auto" w:fill="C6EFCE"/>
            <w:noWrap/>
          </w:tcPr>
          <w:p w14:paraId="2C760FDB" w14:textId="1FC8593E" w:rsidR="008E49B4" w:rsidRPr="00DD6A04" w:rsidRDefault="008E49B4" w:rsidP="008E49B4">
            <w:pPr>
              <w:spacing w:before="0" w:after="0" w:line="240" w:lineRule="auto"/>
              <w:jc w:val="center"/>
              <w:rPr>
                <w:rFonts w:eastAsia="Times New Roman"/>
                <w:noProof/>
                <w:color w:val="006100"/>
                <w:sz w:val="22"/>
              </w:rPr>
            </w:pPr>
            <w:r>
              <w:rPr>
                <w:noProof/>
                <w:color w:val="006100"/>
                <w:sz w:val="22"/>
              </w:rPr>
              <w:t>Q2</w:t>
            </w:r>
          </w:p>
        </w:tc>
        <w:tc>
          <w:tcPr>
            <w:tcW w:w="850" w:type="dxa"/>
            <w:tcBorders>
              <w:top w:val="single" w:sz="4" w:space="0" w:color="auto"/>
            </w:tcBorders>
            <w:shd w:val="clear" w:color="auto" w:fill="C6EFCE"/>
            <w:noWrap/>
          </w:tcPr>
          <w:p w14:paraId="484B0DC3" w14:textId="64145073"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2025</w:t>
            </w:r>
          </w:p>
        </w:tc>
        <w:tc>
          <w:tcPr>
            <w:tcW w:w="2977" w:type="dxa"/>
            <w:tcBorders>
              <w:top w:val="single" w:sz="4" w:space="0" w:color="auto"/>
            </w:tcBorders>
            <w:shd w:val="clear" w:color="auto" w:fill="C6EFCE"/>
            <w:noWrap/>
          </w:tcPr>
          <w:p w14:paraId="7A5F3D11" w14:textId="77777777" w:rsidR="008E49B4" w:rsidRPr="00DD6A04" w:rsidRDefault="008E49B4" w:rsidP="008E49B4">
            <w:pPr>
              <w:spacing w:after="0" w:line="240" w:lineRule="auto"/>
              <w:rPr>
                <w:rFonts w:eastAsia="Times New Roman"/>
                <w:noProof/>
                <w:color w:val="006100"/>
                <w:sz w:val="22"/>
              </w:rPr>
            </w:pPr>
            <w:r>
              <w:rPr>
                <w:noProof/>
                <w:color w:val="006100"/>
                <w:sz w:val="22"/>
              </w:rPr>
              <w:t>Po podatkih dispečerske službe je povprečni čas prihoda reševalnih vozil v Sloveniji trenutno 16 minut ali več. Povprečni čas prihoda enot nujne medicinske pomoči v mestnem in podeželskem okolju bo skrajšan na manj kot 15 minut.</w:t>
            </w:r>
          </w:p>
          <w:p w14:paraId="025BDD71" w14:textId="32B6A798" w:rsidR="008E49B4" w:rsidRPr="00DD6A04" w:rsidRDefault="008E49B4" w:rsidP="008E49B4">
            <w:pPr>
              <w:spacing w:before="0" w:after="0" w:line="240" w:lineRule="auto"/>
              <w:rPr>
                <w:rFonts w:eastAsia="Times New Roman"/>
                <w:noProof/>
                <w:color w:val="006100"/>
                <w:sz w:val="22"/>
              </w:rPr>
            </w:pPr>
            <w:r>
              <w:rPr>
                <w:noProof/>
                <w:color w:val="006100"/>
                <w:sz w:val="22"/>
              </w:rPr>
              <w:t>Cilj se bo osredotočal zlasti na skrajšanje povprečnega časa prihoda na območja, za katera je čas prihoda trenutno najdaljši.</w:t>
            </w:r>
          </w:p>
        </w:tc>
      </w:tr>
      <w:tr w:rsidR="008E49B4" w:rsidRPr="00DD6A04" w14:paraId="79216313" w14:textId="77777777" w:rsidTr="00922AE5">
        <w:trPr>
          <w:trHeight w:val="299"/>
          <w:jc w:val="center"/>
        </w:trPr>
        <w:tc>
          <w:tcPr>
            <w:tcW w:w="1350" w:type="dxa"/>
            <w:shd w:val="clear" w:color="auto" w:fill="C6EFCE"/>
            <w:noWrap/>
          </w:tcPr>
          <w:p w14:paraId="1B76EB56" w14:textId="244833C8" w:rsidR="008E49B4" w:rsidRPr="00DD6A04" w:rsidRDefault="008E49B4" w:rsidP="00A144BE">
            <w:pPr>
              <w:spacing w:before="0" w:after="0" w:line="240" w:lineRule="auto"/>
              <w:rPr>
                <w:rFonts w:eastAsia="Times New Roman"/>
                <w:noProof/>
                <w:color w:val="006100"/>
                <w:sz w:val="22"/>
              </w:rPr>
            </w:pPr>
            <w:r>
              <w:rPr>
                <w:noProof/>
                <w:color w:val="006100"/>
                <w:sz w:val="22"/>
              </w:rPr>
              <w:t>190</w:t>
            </w:r>
          </w:p>
        </w:tc>
        <w:tc>
          <w:tcPr>
            <w:tcW w:w="1538" w:type="dxa"/>
            <w:shd w:val="clear" w:color="auto" w:fill="C6EFCE"/>
            <w:noWrap/>
          </w:tcPr>
          <w:p w14:paraId="3C2F000F" w14:textId="00F75707" w:rsidR="008E49B4" w:rsidRPr="00DD6A04" w:rsidRDefault="008E49B4" w:rsidP="008E49B4">
            <w:pPr>
              <w:spacing w:before="0" w:after="0" w:line="240" w:lineRule="auto"/>
              <w:rPr>
                <w:rFonts w:eastAsia="Times New Roman"/>
                <w:noProof/>
                <w:color w:val="006100"/>
                <w:sz w:val="22"/>
              </w:rPr>
            </w:pPr>
            <w:r>
              <w:rPr>
                <w:noProof/>
                <w:color w:val="006100"/>
                <w:sz w:val="22"/>
              </w:rPr>
              <w:t>E: Učinkovita obravnava nalezljivih bolezni</w:t>
            </w:r>
          </w:p>
        </w:tc>
        <w:tc>
          <w:tcPr>
            <w:tcW w:w="1118" w:type="dxa"/>
            <w:shd w:val="clear" w:color="auto" w:fill="C6EFCE"/>
            <w:noWrap/>
          </w:tcPr>
          <w:p w14:paraId="722213AA" w14:textId="2BD25314" w:rsidR="008E49B4" w:rsidRPr="00DD6A04" w:rsidRDefault="008E49B4" w:rsidP="008E49B4">
            <w:pPr>
              <w:spacing w:before="0" w:after="0" w:line="240" w:lineRule="auto"/>
              <w:rPr>
                <w:rFonts w:eastAsia="Times New Roman"/>
                <w:noProof/>
                <w:color w:val="006100"/>
                <w:sz w:val="22"/>
              </w:rPr>
            </w:pPr>
            <w:r>
              <w:rPr>
                <w:noProof/>
                <w:color w:val="006100"/>
                <w:sz w:val="22"/>
              </w:rPr>
              <w:t>Mejnik</w:t>
            </w:r>
          </w:p>
        </w:tc>
        <w:tc>
          <w:tcPr>
            <w:tcW w:w="1870" w:type="dxa"/>
            <w:shd w:val="clear" w:color="auto" w:fill="C6EFCE"/>
            <w:noWrap/>
          </w:tcPr>
          <w:p w14:paraId="20596742" w14:textId="3EC9EE33" w:rsidR="008E49B4" w:rsidRPr="00DD6A04" w:rsidRDefault="008E49B4" w:rsidP="008E49B4">
            <w:pPr>
              <w:spacing w:before="0" w:after="0" w:line="240" w:lineRule="auto"/>
              <w:rPr>
                <w:rFonts w:eastAsia="Times New Roman"/>
                <w:noProof/>
                <w:color w:val="006100"/>
                <w:sz w:val="22"/>
              </w:rPr>
            </w:pPr>
            <w:r>
              <w:rPr>
                <w:noProof/>
                <w:color w:val="006100"/>
                <w:sz w:val="22"/>
              </w:rPr>
              <w:t>Oddaja naročila za gradnjo Infekcijske klinike Ljubljana</w:t>
            </w:r>
          </w:p>
        </w:tc>
        <w:tc>
          <w:tcPr>
            <w:tcW w:w="1731" w:type="dxa"/>
            <w:shd w:val="clear" w:color="auto" w:fill="C6EFCE"/>
            <w:noWrap/>
          </w:tcPr>
          <w:p w14:paraId="20DB0441" w14:textId="6DA3F163" w:rsidR="008E49B4" w:rsidRPr="00DD6A04" w:rsidRDefault="008E49B4" w:rsidP="008E49B4">
            <w:pPr>
              <w:spacing w:before="0" w:after="0" w:line="240" w:lineRule="auto"/>
              <w:rPr>
                <w:rFonts w:eastAsia="Times New Roman"/>
                <w:noProof/>
                <w:color w:val="006100"/>
                <w:sz w:val="22"/>
              </w:rPr>
            </w:pPr>
            <w:r>
              <w:rPr>
                <w:noProof/>
                <w:color w:val="006100"/>
                <w:sz w:val="22"/>
              </w:rPr>
              <w:t>Objava rezultatov razpisa</w:t>
            </w:r>
          </w:p>
        </w:tc>
        <w:tc>
          <w:tcPr>
            <w:tcW w:w="1109" w:type="dxa"/>
            <w:shd w:val="clear" w:color="auto" w:fill="C6EFCE"/>
            <w:noWrap/>
          </w:tcPr>
          <w:p w14:paraId="0D3EEAB6" w14:textId="457061D2"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231" w:type="dxa"/>
            <w:shd w:val="clear" w:color="auto" w:fill="C6EFCE"/>
            <w:noWrap/>
          </w:tcPr>
          <w:p w14:paraId="41BF0B54" w14:textId="03657CB3"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870" w:type="dxa"/>
            <w:shd w:val="clear" w:color="auto" w:fill="C6EFCE"/>
            <w:noWrap/>
          </w:tcPr>
          <w:p w14:paraId="59226CBB" w14:textId="676D9679"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1134" w:type="dxa"/>
            <w:shd w:val="clear" w:color="auto" w:fill="C6EFCE"/>
            <w:noWrap/>
          </w:tcPr>
          <w:p w14:paraId="18B22C42" w14:textId="723289AE" w:rsidR="008E49B4" w:rsidRPr="00DD6A04" w:rsidRDefault="008E49B4" w:rsidP="008E49B4">
            <w:pPr>
              <w:spacing w:before="0" w:after="0" w:line="240" w:lineRule="auto"/>
              <w:jc w:val="center"/>
              <w:rPr>
                <w:rFonts w:eastAsia="Times New Roman"/>
                <w:noProof/>
                <w:color w:val="006100"/>
                <w:sz w:val="22"/>
              </w:rPr>
            </w:pPr>
            <w:r>
              <w:rPr>
                <w:noProof/>
                <w:color w:val="006100"/>
                <w:sz w:val="22"/>
              </w:rPr>
              <w:t>Q4</w:t>
            </w:r>
          </w:p>
        </w:tc>
        <w:tc>
          <w:tcPr>
            <w:tcW w:w="850" w:type="dxa"/>
            <w:shd w:val="clear" w:color="auto" w:fill="C6EFCE"/>
            <w:noWrap/>
          </w:tcPr>
          <w:p w14:paraId="0658B027" w14:textId="17D8BD5E"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2023</w:t>
            </w:r>
          </w:p>
        </w:tc>
        <w:tc>
          <w:tcPr>
            <w:tcW w:w="2977" w:type="dxa"/>
            <w:shd w:val="clear" w:color="auto" w:fill="C6EFCE"/>
            <w:noWrap/>
          </w:tcPr>
          <w:p w14:paraId="70E57B03" w14:textId="77777777" w:rsidR="008E49B4" w:rsidRPr="00DD6A04" w:rsidRDefault="008E49B4" w:rsidP="008E49B4">
            <w:pPr>
              <w:spacing w:after="0" w:line="240" w:lineRule="auto"/>
              <w:rPr>
                <w:rFonts w:eastAsia="Times New Roman"/>
                <w:noProof/>
                <w:color w:val="006100"/>
                <w:sz w:val="22"/>
              </w:rPr>
            </w:pPr>
            <w:r>
              <w:rPr>
                <w:noProof/>
                <w:color w:val="006100"/>
                <w:sz w:val="22"/>
              </w:rPr>
              <w:t xml:space="preserve">Oddaja javnega naročila za gradnjo Infekcijske klinike Ljubljana. </w:t>
            </w:r>
          </w:p>
          <w:p w14:paraId="2EAD2750" w14:textId="77777777" w:rsidR="008E49B4" w:rsidRPr="00DD6A04" w:rsidRDefault="008E49B4" w:rsidP="008E49B4">
            <w:pPr>
              <w:spacing w:after="0" w:line="240" w:lineRule="auto"/>
              <w:rPr>
                <w:rFonts w:eastAsia="Times New Roman"/>
                <w:noProof/>
                <w:color w:val="006100"/>
                <w:sz w:val="22"/>
              </w:rPr>
            </w:pPr>
            <w:r>
              <w:rPr>
                <w:noProof/>
                <w:color w:val="006100"/>
                <w:sz w:val="22"/>
              </w:rPr>
              <w:t>Klinika bo izpolnjevala zahteve za stavbe s skoraj ničelno porabo energije.</w:t>
            </w:r>
          </w:p>
          <w:p w14:paraId="136A8949" w14:textId="77777777" w:rsidR="008E49B4" w:rsidRPr="00DD6A04" w:rsidRDefault="008E49B4" w:rsidP="008E49B4">
            <w:pPr>
              <w:spacing w:before="0" w:after="0" w:line="240" w:lineRule="auto"/>
              <w:rPr>
                <w:rFonts w:eastAsia="Times New Roman"/>
                <w:noProof/>
                <w:color w:val="006100"/>
                <w:sz w:val="22"/>
                <w:lang w:val="en-GB" w:eastAsia="en-GB"/>
              </w:rPr>
            </w:pPr>
          </w:p>
        </w:tc>
      </w:tr>
      <w:tr w:rsidR="008E49B4" w:rsidRPr="00DD6A04" w14:paraId="250A10D5" w14:textId="77777777" w:rsidTr="00922AE5">
        <w:trPr>
          <w:trHeight w:val="299"/>
          <w:jc w:val="center"/>
        </w:trPr>
        <w:tc>
          <w:tcPr>
            <w:tcW w:w="1350" w:type="dxa"/>
            <w:shd w:val="clear" w:color="auto" w:fill="C6EFCE"/>
            <w:noWrap/>
          </w:tcPr>
          <w:p w14:paraId="4A3AED68" w14:textId="43CA0067" w:rsidR="008E49B4" w:rsidRPr="00DD6A04" w:rsidRDefault="008E49B4" w:rsidP="00A144BE">
            <w:pPr>
              <w:spacing w:before="0" w:after="0" w:line="240" w:lineRule="auto"/>
              <w:rPr>
                <w:rFonts w:eastAsia="Times New Roman"/>
                <w:noProof/>
                <w:color w:val="006100"/>
                <w:sz w:val="22"/>
              </w:rPr>
            </w:pPr>
            <w:r>
              <w:rPr>
                <w:noProof/>
                <w:color w:val="006100"/>
                <w:sz w:val="22"/>
              </w:rPr>
              <w:t>191</w:t>
            </w:r>
          </w:p>
        </w:tc>
        <w:tc>
          <w:tcPr>
            <w:tcW w:w="1538" w:type="dxa"/>
            <w:shd w:val="clear" w:color="auto" w:fill="C6EFCE"/>
            <w:noWrap/>
          </w:tcPr>
          <w:p w14:paraId="51B279B5" w14:textId="377E4F2D" w:rsidR="008E49B4" w:rsidRPr="00DD6A04" w:rsidRDefault="008E49B4" w:rsidP="008E49B4">
            <w:pPr>
              <w:spacing w:before="0" w:after="0" w:line="240" w:lineRule="auto"/>
              <w:rPr>
                <w:rFonts w:eastAsia="Times New Roman"/>
                <w:noProof/>
                <w:color w:val="006100"/>
                <w:sz w:val="22"/>
              </w:rPr>
            </w:pPr>
            <w:r>
              <w:rPr>
                <w:noProof/>
                <w:color w:val="006100"/>
                <w:sz w:val="22"/>
              </w:rPr>
              <w:t>E: Učinkovita obravnava nalezljivih bolezni</w:t>
            </w:r>
          </w:p>
        </w:tc>
        <w:tc>
          <w:tcPr>
            <w:tcW w:w="1118" w:type="dxa"/>
            <w:shd w:val="clear" w:color="auto" w:fill="C6EFCE"/>
            <w:noWrap/>
          </w:tcPr>
          <w:p w14:paraId="46F4072B" w14:textId="03B05070" w:rsidR="008E49B4" w:rsidRPr="00DD6A04" w:rsidRDefault="008E49B4" w:rsidP="008E49B4">
            <w:pPr>
              <w:spacing w:before="0" w:after="0" w:line="240" w:lineRule="auto"/>
              <w:rPr>
                <w:rFonts w:eastAsia="Times New Roman"/>
                <w:noProof/>
                <w:color w:val="006100"/>
                <w:sz w:val="22"/>
              </w:rPr>
            </w:pPr>
            <w:r>
              <w:rPr>
                <w:noProof/>
                <w:color w:val="006100"/>
                <w:sz w:val="22"/>
              </w:rPr>
              <w:t>Mejnik</w:t>
            </w:r>
          </w:p>
        </w:tc>
        <w:tc>
          <w:tcPr>
            <w:tcW w:w="1870" w:type="dxa"/>
            <w:shd w:val="clear" w:color="auto" w:fill="C6EFCE"/>
            <w:noWrap/>
          </w:tcPr>
          <w:p w14:paraId="1AC3E479" w14:textId="1E0A790F" w:rsidR="008E49B4" w:rsidRPr="00DD6A04" w:rsidRDefault="008E49B4" w:rsidP="008E49B4">
            <w:pPr>
              <w:spacing w:before="0" w:after="0" w:line="240" w:lineRule="auto"/>
              <w:rPr>
                <w:rFonts w:eastAsia="Times New Roman"/>
                <w:noProof/>
                <w:color w:val="006100"/>
                <w:sz w:val="22"/>
              </w:rPr>
            </w:pPr>
            <w:r>
              <w:rPr>
                <w:noProof/>
                <w:color w:val="006100"/>
                <w:sz w:val="22"/>
              </w:rPr>
              <w:t>Oddaja naročila za nakup opreme za Infekcijsko kliniko Ljubljana</w:t>
            </w:r>
          </w:p>
        </w:tc>
        <w:tc>
          <w:tcPr>
            <w:tcW w:w="1731" w:type="dxa"/>
            <w:shd w:val="clear" w:color="auto" w:fill="C6EFCE"/>
            <w:noWrap/>
          </w:tcPr>
          <w:p w14:paraId="12D2F9E9" w14:textId="77777777" w:rsidR="008E49B4" w:rsidRPr="00DD6A04" w:rsidRDefault="008E49B4" w:rsidP="008E49B4">
            <w:pPr>
              <w:spacing w:after="0" w:line="240" w:lineRule="auto"/>
              <w:rPr>
                <w:rFonts w:eastAsia="Times New Roman"/>
                <w:noProof/>
                <w:color w:val="006100"/>
                <w:sz w:val="22"/>
                <w:lang w:val="en-GB" w:eastAsia="en-GB"/>
              </w:rPr>
            </w:pPr>
          </w:p>
          <w:p w14:paraId="6820C65A" w14:textId="42CA21BB" w:rsidR="008E49B4" w:rsidRPr="00DD6A04" w:rsidRDefault="008E49B4" w:rsidP="008E49B4">
            <w:pPr>
              <w:spacing w:before="0" w:after="0" w:line="240" w:lineRule="auto"/>
              <w:rPr>
                <w:rFonts w:eastAsia="Times New Roman"/>
                <w:noProof/>
                <w:color w:val="006100"/>
                <w:sz w:val="22"/>
              </w:rPr>
            </w:pPr>
            <w:r>
              <w:rPr>
                <w:noProof/>
                <w:color w:val="006100"/>
                <w:sz w:val="22"/>
              </w:rPr>
              <w:t>Objava rezultatov razpisa</w:t>
            </w:r>
          </w:p>
        </w:tc>
        <w:tc>
          <w:tcPr>
            <w:tcW w:w="1109" w:type="dxa"/>
            <w:shd w:val="clear" w:color="auto" w:fill="C6EFCE"/>
            <w:noWrap/>
          </w:tcPr>
          <w:p w14:paraId="4C666713" w14:textId="5F7CE4B7"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231" w:type="dxa"/>
            <w:shd w:val="clear" w:color="auto" w:fill="C6EFCE"/>
            <w:noWrap/>
          </w:tcPr>
          <w:p w14:paraId="0F8D31D3" w14:textId="555F1BE4"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870" w:type="dxa"/>
            <w:shd w:val="clear" w:color="auto" w:fill="C6EFCE"/>
            <w:noWrap/>
          </w:tcPr>
          <w:p w14:paraId="36BD3109" w14:textId="3CBDEABF"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1134" w:type="dxa"/>
            <w:shd w:val="clear" w:color="auto" w:fill="C6EFCE"/>
            <w:noWrap/>
          </w:tcPr>
          <w:p w14:paraId="130F07C1" w14:textId="5CE370F6" w:rsidR="008E49B4" w:rsidRPr="00DD6A04" w:rsidRDefault="008E49B4" w:rsidP="008E49B4">
            <w:pPr>
              <w:spacing w:before="0" w:after="0" w:line="240" w:lineRule="auto"/>
              <w:jc w:val="center"/>
              <w:rPr>
                <w:rFonts w:eastAsia="Times New Roman"/>
                <w:noProof/>
                <w:color w:val="006100"/>
                <w:sz w:val="22"/>
              </w:rPr>
            </w:pPr>
            <w:r>
              <w:rPr>
                <w:noProof/>
                <w:color w:val="006100"/>
                <w:sz w:val="22"/>
              </w:rPr>
              <w:t>Q2</w:t>
            </w:r>
          </w:p>
        </w:tc>
        <w:tc>
          <w:tcPr>
            <w:tcW w:w="850" w:type="dxa"/>
            <w:shd w:val="clear" w:color="auto" w:fill="C6EFCE"/>
            <w:noWrap/>
          </w:tcPr>
          <w:p w14:paraId="42A936A7" w14:textId="1C716376"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2025</w:t>
            </w:r>
          </w:p>
        </w:tc>
        <w:tc>
          <w:tcPr>
            <w:tcW w:w="2977" w:type="dxa"/>
            <w:shd w:val="clear" w:color="auto" w:fill="C6EFCE"/>
            <w:noWrap/>
          </w:tcPr>
          <w:p w14:paraId="70A27FB4" w14:textId="45017464" w:rsidR="008E49B4" w:rsidRPr="00DD6A04" w:rsidRDefault="008E49B4" w:rsidP="008E49B4">
            <w:pPr>
              <w:spacing w:before="0" w:after="0" w:line="240" w:lineRule="auto"/>
              <w:rPr>
                <w:rFonts w:eastAsia="Times New Roman"/>
                <w:noProof/>
                <w:color w:val="006100"/>
                <w:sz w:val="22"/>
              </w:rPr>
            </w:pPr>
            <w:r>
              <w:rPr>
                <w:noProof/>
                <w:color w:val="006100"/>
                <w:sz w:val="22"/>
              </w:rPr>
              <w:t>Oddaja naročila za nakup opreme za Infekcijsko kliniko Ljubljana. Komisija bo razvila tehnične smernice in potrebne specifikacije opreme za zagotovitev, da je oprema varna in omogoča učinkovito zdravljenje bolnikov z nalezljivimi boleznimi v skladu z medicinskimi standardi.</w:t>
            </w:r>
          </w:p>
        </w:tc>
      </w:tr>
      <w:tr w:rsidR="008E49B4" w:rsidRPr="00DD6A04" w14:paraId="1A8BC814" w14:textId="77777777" w:rsidTr="00922AE5">
        <w:trPr>
          <w:trHeight w:val="299"/>
          <w:jc w:val="center"/>
        </w:trPr>
        <w:tc>
          <w:tcPr>
            <w:tcW w:w="1350" w:type="dxa"/>
            <w:shd w:val="clear" w:color="auto" w:fill="C6EFCE"/>
            <w:noWrap/>
          </w:tcPr>
          <w:p w14:paraId="4168A6B8" w14:textId="63DB07F4" w:rsidR="008E49B4" w:rsidRPr="00DD6A04" w:rsidRDefault="008E49B4" w:rsidP="00A144BE">
            <w:pPr>
              <w:spacing w:before="0" w:after="0" w:line="240" w:lineRule="auto"/>
              <w:rPr>
                <w:rFonts w:eastAsia="Times New Roman"/>
                <w:noProof/>
                <w:color w:val="006100"/>
                <w:sz w:val="22"/>
              </w:rPr>
            </w:pPr>
            <w:r>
              <w:rPr>
                <w:noProof/>
                <w:color w:val="006100"/>
                <w:sz w:val="22"/>
              </w:rPr>
              <w:t>192</w:t>
            </w:r>
          </w:p>
        </w:tc>
        <w:tc>
          <w:tcPr>
            <w:tcW w:w="1538" w:type="dxa"/>
            <w:shd w:val="clear" w:color="auto" w:fill="C6EFCE"/>
            <w:noWrap/>
          </w:tcPr>
          <w:p w14:paraId="66D0C086" w14:textId="64CCFD7F" w:rsidR="008E49B4" w:rsidRPr="00DD6A04" w:rsidRDefault="008E49B4" w:rsidP="008E49B4">
            <w:pPr>
              <w:spacing w:before="0" w:after="0" w:line="240" w:lineRule="auto"/>
              <w:rPr>
                <w:rFonts w:eastAsia="Times New Roman"/>
                <w:noProof/>
                <w:color w:val="006100"/>
                <w:sz w:val="22"/>
              </w:rPr>
            </w:pPr>
            <w:r>
              <w:rPr>
                <w:noProof/>
                <w:color w:val="006100"/>
                <w:sz w:val="22"/>
              </w:rPr>
              <w:t>E: Učinkovita obravnava nalezljivih bolezni</w:t>
            </w:r>
          </w:p>
        </w:tc>
        <w:tc>
          <w:tcPr>
            <w:tcW w:w="1118" w:type="dxa"/>
            <w:shd w:val="clear" w:color="auto" w:fill="C6EFCE"/>
            <w:noWrap/>
          </w:tcPr>
          <w:p w14:paraId="7176D328" w14:textId="2725D385" w:rsidR="008E49B4" w:rsidRPr="00DD6A04" w:rsidRDefault="008E49B4" w:rsidP="008E49B4">
            <w:pPr>
              <w:spacing w:before="0" w:after="0" w:line="240" w:lineRule="auto"/>
              <w:rPr>
                <w:rFonts w:eastAsia="Times New Roman"/>
                <w:noProof/>
                <w:color w:val="006100"/>
                <w:sz w:val="22"/>
              </w:rPr>
            </w:pPr>
            <w:r>
              <w:rPr>
                <w:noProof/>
                <w:color w:val="006100"/>
                <w:sz w:val="22"/>
              </w:rPr>
              <w:t>Mejnik</w:t>
            </w:r>
          </w:p>
        </w:tc>
        <w:tc>
          <w:tcPr>
            <w:tcW w:w="1870" w:type="dxa"/>
            <w:shd w:val="clear" w:color="auto" w:fill="C6EFCE"/>
            <w:noWrap/>
          </w:tcPr>
          <w:p w14:paraId="768F96BF" w14:textId="71305BBF" w:rsidR="008E49B4" w:rsidRPr="00DD6A04" w:rsidRDefault="008E49B4" w:rsidP="008E49B4">
            <w:pPr>
              <w:spacing w:before="0" w:after="0" w:line="240" w:lineRule="auto"/>
              <w:rPr>
                <w:rFonts w:eastAsia="Times New Roman"/>
                <w:noProof/>
                <w:color w:val="006100"/>
                <w:sz w:val="22"/>
              </w:rPr>
            </w:pPr>
            <w:r>
              <w:rPr>
                <w:noProof/>
                <w:color w:val="006100"/>
                <w:sz w:val="22"/>
              </w:rPr>
              <w:t>Operativna Infekcijska klinika Ljubljana</w:t>
            </w:r>
          </w:p>
        </w:tc>
        <w:tc>
          <w:tcPr>
            <w:tcW w:w="1731" w:type="dxa"/>
            <w:shd w:val="clear" w:color="auto" w:fill="C6EFCE"/>
            <w:noWrap/>
          </w:tcPr>
          <w:p w14:paraId="673CA4B2" w14:textId="77777777" w:rsidR="008E49B4" w:rsidRPr="00DD6A04" w:rsidRDefault="008E49B4" w:rsidP="0052082E">
            <w:pPr>
              <w:spacing w:before="0" w:after="0" w:line="240" w:lineRule="auto"/>
              <w:rPr>
                <w:rFonts w:eastAsia="Times New Roman"/>
                <w:noProof/>
                <w:color w:val="006100"/>
                <w:sz w:val="22"/>
              </w:rPr>
            </w:pPr>
            <w:r>
              <w:rPr>
                <w:noProof/>
                <w:color w:val="006100"/>
                <w:sz w:val="22"/>
              </w:rPr>
              <w:t>Dokončana gradbena dela in pridobljeno dovoljenje za delovanje</w:t>
            </w:r>
          </w:p>
          <w:p w14:paraId="7D9708E8" w14:textId="77777777" w:rsidR="008E49B4" w:rsidRPr="00DD6A04" w:rsidRDefault="008E49B4" w:rsidP="008E49B4">
            <w:pPr>
              <w:spacing w:before="0" w:after="0" w:line="240" w:lineRule="auto"/>
              <w:rPr>
                <w:rFonts w:eastAsia="Times New Roman"/>
                <w:noProof/>
                <w:color w:val="006100"/>
                <w:sz w:val="22"/>
                <w:lang w:val="en-GB" w:eastAsia="en-GB"/>
              </w:rPr>
            </w:pPr>
          </w:p>
        </w:tc>
        <w:tc>
          <w:tcPr>
            <w:tcW w:w="1109" w:type="dxa"/>
            <w:shd w:val="clear" w:color="auto" w:fill="C6EFCE"/>
            <w:noWrap/>
          </w:tcPr>
          <w:p w14:paraId="263D9F4C" w14:textId="1C8739AD" w:rsidR="008E49B4" w:rsidRPr="00DD6A04" w:rsidRDefault="008E49B4" w:rsidP="008E49B4">
            <w:pPr>
              <w:spacing w:before="0" w:after="0" w:line="240" w:lineRule="auto"/>
              <w:rPr>
                <w:rFonts w:eastAsia="Times New Roman"/>
                <w:noProof/>
                <w:color w:val="006100"/>
                <w:sz w:val="22"/>
              </w:rPr>
            </w:pPr>
            <w:r>
              <w:rPr>
                <w:noProof/>
                <w:color w:val="006100"/>
                <w:sz w:val="22"/>
              </w:rPr>
              <w:t> </w:t>
            </w:r>
          </w:p>
        </w:tc>
        <w:tc>
          <w:tcPr>
            <w:tcW w:w="1231" w:type="dxa"/>
            <w:shd w:val="clear" w:color="auto" w:fill="C6EFCE"/>
            <w:noWrap/>
          </w:tcPr>
          <w:p w14:paraId="2514F98F" w14:textId="0ABC62BD"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870" w:type="dxa"/>
            <w:shd w:val="clear" w:color="auto" w:fill="C6EFCE"/>
            <w:noWrap/>
          </w:tcPr>
          <w:p w14:paraId="30B69959" w14:textId="7824ABAC" w:rsidR="008E49B4" w:rsidRPr="00DD6A04" w:rsidRDefault="008E49B4" w:rsidP="008E49B4">
            <w:pPr>
              <w:spacing w:before="0" w:after="0" w:line="240" w:lineRule="auto"/>
              <w:jc w:val="right"/>
              <w:rPr>
                <w:rFonts w:eastAsia="Times New Roman"/>
                <w:noProof/>
                <w:color w:val="006100"/>
                <w:sz w:val="22"/>
              </w:rPr>
            </w:pPr>
            <w:r>
              <w:rPr>
                <w:noProof/>
                <w:color w:val="006100"/>
                <w:sz w:val="22"/>
              </w:rPr>
              <w:t> </w:t>
            </w:r>
          </w:p>
        </w:tc>
        <w:tc>
          <w:tcPr>
            <w:tcW w:w="1134" w:type="dxa"/>
            <w:shd w:val="clear" w:color="auto" w:fill="C6EFCE"/>
            <w:noWrap/>
          </w:tcPr>
          <w:p w14:paraId="6825C039" w14:textId="31DADC79" w:rsidR="008E49B4" w:rsidRPr="00DD6A04" w:rsidRDefault="008E49B4" w:rsidP="008E49B4">
            <w:pPr>
              <w:spacing w:before="0" w:after="0" w:line="240" w:lineRule="auto"/>
              <w:jc w:val="center"/>
              <w:rPr>
                <w:rFonts w:eastAsia="Times New Roman"/>
                <w:noProof/>
                <w:color w:val="006100"/>
                <w:sz w:val="22"/>
              </w:rPr>
            </w:pPr>
            <w:r>
              <w:rPr>
                <w:noProof/>
                <w:color w:val="006100"/>
                <w:sz w:val="22"/>
              </w:rPr>
              <w:t>Q2</w:t>
            </w:r>
          </w:p>
        </w:tc>
        <w:tc>
          <w:tcPr>
            <w:tcW w:w="850" w:type="dxa"/>
            <w:shd w:val="clear" w:color="auto" w:fill="C6EFCE"/>
            <w:noWrap/>
          </w:tcPr>
          <w:p w14:paraId="0B4C4332" w14:textId="3448D284" w:rsidR="008E49B4" w:rsidRPr="00DD6A04" w:rsidRDefault="008E49B4" w:rsidP="008E49B4">
            <w:pPr>
              <w:spacing w:before="0" w:after="0" w:line="240" w:lineRule="auto"/>
              <w:jc w:val="center"/>
              <w:rPr>
                <w:rFonts w:eastAsia="Times New Roman"/>
                <w:noProof/>
                <w:color w:val="006100"/>
                <w:sz w:val="22"/>
              </w:rPr>
            </w:pPr>
            <w:r>
              <w:rPr>
                <w:noProof/>
                <w:color w:val="006100"/>
                <w:sz w:val="22"/>
              </w:rPr>
              <w:t>2026</w:t>
            </w:r>
          </w:p>
        </w:tc>
        <w:tc>
          <w:tcPr>
            <w:tcW w:w="2977" w:type="dxa"/>
            <w:shd w:val="clear" w:color="auto" w:fill="C6EFCE"/>
            <w:noWrap/>
          </w:tcPr>
          <w:p w14:paraId="07BA8BA4" w14:textId="68C0F382" w:rsidR="008E49B4" w:rsidRPr="00DD6A04" w:rsidRDefault="008E49B4" w:rsidP="008E49B4">
            <w:pPr>
              <w:spacing w:before="0" w:after="0" w:line="240" w:lineRule="auto"/>
              <w:rPr>
                <w:rFonts w:eastAsia="Times New Roman"/>
                <w:noProof/>
                <w:color w:val="006100"/>
                <w:sz w:val="22"/>
              </w:rPr>
            </w:pPr>
            <w:r>
              <w:rPr>
                <w:noProof/>
                <w:color w:val="006100"/>
                <w:sz w:val="22"/>
              </w:rPr>
              <w:t>Začetek delovanja Infekcijske klinike Ljubljana v skladu s specifikacijami iz mejnika 190 in opremljene v skladu z mejnikom 191.</w:t>
            </w:r>
          </w:p>
        </w:tc>
      </w:tr>
    </w:tbl>
    <w:p w14:paraId="3BCDB47E" w14:textId="77777777" w:rsidR="003C6015" w:rsidRPr="00DD6A04" w:rsidRDefault="003C6015" w:rsidP="003C6015">
      <w:pPr>
        <w:spacing w:line="240" w:lineRule="auto"/>
        <w:ind w:left="709"/>
        <w:jc w:val="both"/>
        <w:rPr>
          <w:noProof/>
          <w:lang w:val="en-GB"/>
        </w:rPr>
        <w:sectPr w:rsidR="003C6015" w:rsidRPr="00DD6A04" w:rsidSect="00073927">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26"/>
        </w:sectPr>
      </w:pPr>
    </w:p>
    <w:p w14:paraId="5D920948" w14:textId="77777777" w:rsidR="003C6015" w:rsidRPr="00DD6A04" w:rsidRDefault="003C6015" w:rsidP="003C6015">
      <w:pPr>
        <w:keepNext/>
        <w:tabs>
          <w:tab w:val="left" w:pos="850"/>
        </w:tabs>
        <w:spacing w:line="240" w:lineRule="auto"/>
        <w:ind w:left="850" w:hanging="850"/>
        <w:jc w:val="both"/>
        <w:outlineLvl w:val="0"/>
        <w:rPr>
          <w:b/>
          <w:smallCaps/>
          <w:noProof/>
        </w:rPr>
      </w:pPr>
      <w:r>
        <w:rPr>
          <w:b/>
          <w:smallCaps/>
          <w:noProof/>
        </w:rPr>
        <w:t>O. KOMPONENTA 15: DOLGOTRAJNA OSKRBA</w:t>
      </w:r>
    </w:p>
    <w:p w14:paraId="467B023F" w14:textId="77777777" w:rsidR="003C6015" w:rsidRPr="00DD6A04" w:rsidRDefault="003C6015" w:rsidP="003C6015">
      <w:pPr>
        <w:spacing w:line="240" w:lineRule="auto"/>
        <w:jc w:val="both"/>
        <w:rPr>
          <w:noProof/>
        </w:rPr>
      </w:pPr>
      <w:r>
        <w:rPr>
          <w:noProof/>
        </w:rPr>
        <w:t>Ta komponenta slovenskega načrta za okrevanje in odpornost obravnava ključne izzive, povezane z demografskimi trendi in rastočo potrebo po večjem dostopu do visokokakovostnih storitev dolgotrajne oskrbe.</w:t>
      </w:r>
    </w:p>
    <w:p w14:paraId="781204B9" w14:textId="7226D533" w:rsidR="003C6015" w:rsidRPr="00DD6A04" w:rsidRDefault="003C6015" w:rsidP="003C6015">
      <w:pPr>
        <w:spacing w:line="240" w:lineRule="auto"/>
        <w:jc w:val="both"/>
        <w:rPr>
          <w:noProof/>
        </w:rPr>
      </w:pPr>
      <w:r>
        <w:rPr>
          <w:noProof/>
        </w:rPr>
        <w:t>Cilji komponente so vzpostavitev novega stebra socialne varnosti z vzpostavitvijo celovitega pravnega okvira za visokokakovostno, socialno pravično in finančno vzdržno dolgotrajno oskrbo, povečanje dostopnosti, dosegljivosti in razpoložljivosti storitev za vse upravičence ne glede na starost, krepitev razvoja skupnostnih oblik storitev in povezovanje z zdravstvenimi storitvami, izboljšanje kadrovskih kapacitet zaposlenih ter podpora digitalizaciji sistema.</w:t>
      </w:r>
      <w:r w:rsidR="00037751">
        <w:rPr>
          <w:noProof/>
        </w:rPr>
        <w:t xml:space="preserve"> </w:t>
      </w:r>
    </w:p>
    <w:p w14:paraId="664C253D" w14:textId="77777777" w:rsidR="003C6015" w:rsidRPr="00DD6A04" w:rsidRDefault="003C6015" w:rsidP="003C6015">
      <w:pPr>
        <w:spacing w:line="240" w:lineRule="auto"/>
        <w:jc w:val="both"/>
        <w:rPr>
          <w:noProof/>
        </w:rPr>
      </w:pPr>
      <w:r>
        <w:rPr>
          <w:noProof/>
        </w:rPr>
        <w:t>Te investicije in reforme obravnavajo specifična priporočila za Slovenijo v letih 2019 in 2020, in sicer naj „[s]prejme in izvede reforme zdravstva in dolgotrajne oskrbe, ki zagotavljajo kakovost, dostopnost in dolgoročno javnofinančno vzdržnost“ (specifično priporočilo št. 1 iz leta 2019) ter „[z]agotovi odpornost zdravstvenega sistema in sistema dolgotrajne oskrbe, vključno z zagotavljanjem zadostne oskrbe s kritično medicinsko opremo in odpravo pomanjkanja zdravstvenih delavcev“ (specifično priporočilo št. 1 iz leta 2020).</w:t>
      </w:r>
    </w:p>
    <w:p w14:paraId="123D9511" w14:textId="38E9C6D1"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5F8C62F9" w14:textId="77777777" w:rsidR="003C6015" w:rsidRPr="00DD6A04" w:rsidRDefault="003C6015" w:rsidP="003C6015">
      <w:pPr>
        <w:spacing w:line="240" w:lineRule="auto"/>
        <w:jc w:val="both"/>
        <w:rPr>
          <w:b/>
          <w:i/>
          <w:noProof/>
          <w:color w:val="4F81BD"/>
        </w:rPr>
      </w:pPr>
      <w:r>
        <w:rPr>
          <w:b/>
          <w:noProof/>
          <w:u w:val="single"/>
        </w:rPr>
        <w:t xml:space="preserve">O.1 </w:t>
      </w:r>
      <w:r>
        <w:rPr>
          <w:b/>
          <w:noProof/>
          <w:u w:val="single"/>
        </w:rPr>
        <w:tab/>
        <w:t>Opis reform in naložb za nepovratno finančno podporo</w:t>
      </w:r>
    </w:p>
    <w:p w14:paraId="27BDD455" w14:textId="77777777" w:rsidR="003C6015" w:rsidRPr="00DD6A04" w:rsidRDefault="003C6015" w:rsidP="003C6015">
      <w:pPr>
        <w:spacing w:line="240" w:lineRule="auto"/>
        <w:jc w:val="both"/>
        <w:rPr>
          <w:noProof/>
          <w:u w:val="single"/>
        </w:rPr>
      </w:pPr>
      <w:r>
        <w:rPr>
          <w:noProof/>
          <w:u w:val="single"/>
        </w:rPr>
        <w:t>Reforma A. Vzpostavitev enotne sistemske ureditve na področju dolgotrajne oskrbe ali kontinuirane zdravstvene nege</w:t>
      </w:r>
    </w:p>
    <w:p w14:paraId="38878D9B" w14:textId="77777777" w:rsidR="003C6015" w:rsidRPr="00DD6A04" w:rsidRDefault="003C6015" w:rsidP="003C6015">
      <w:pPr>
        <w:spacing w:line="240" w:lineRule="auto"/>
        <w:jc w:val="both"/>
        <w:rPr>
          <w:noProof/>
        </w:rPr>
      </w:pPr>
      <w:r>
        <w:rPr>
          <w:noProof/>
        </w:rPr>
        <w:t>Cilj reforme je vzpostaviti nov steber socialne varnosti, ki bo osredotočen na posebne potrebe oseb, ki potrebujejo dolgotrajno oskrbo, ter zagotoviti enak dostop ne glede na socialno-ekonomski status. Poseben zakon bo zagotovil bolj raznolike vire financiranja, zlasti z uvedbo obveznega zavarovanja za dolgotrajno oskrbo.</w:t>
      </w:r>
    </w:p>
    <w:p w14:paraId="43504D26" w14:textId="55E4469E" w:rsidR="003C6015" w:rsidRPr="00DD6A04" w:rsidRDefault="003C6015" w:rsidP="003C6015">
      <w:pPr>
        <w:spacing w:line="240" w:lineRule="auto"/>
        <w:jc w:val="both"/>
        <w:rPr>
          <w:noProof/>
        </w:rPr>
      </w:pPr>
      <w:r>
        <w:rPr>
          <w:noProof/>
        </w:rPr>
        <w:t>Reforma vključuje začetek veljavnosti novega zakona o vzpostavitvi nove sistemske ureditve na področju dolgotrajne oskrbe in obveznega zavarovanja za dolgotrajno oskrbo v Sloveniji, vključno s spremembami podzakonskih predpisov na področju socialne varnosti, in vzpostavitev nacionalnega modela spremljanja kakovosti zdravstvene obravnave pri izvajalcih dolgotrajne oskrbe v institucijah.</w:t>
      </w:r>
    </w:p>
    <w:p w14:paraId="7AAC7C79" w14:textId="77777777" w:rsidR="003C6015" w:rsidRPr="00DD6A04" w:rsidRDefault="003C6015" w:rsidP="003C6015">
      <w:pPr>
        <w:spacing w:line="240" w:lineRule="auto"/>
        <w:jc w:val="both"/>
        <w:rPr>
          <w:noProof/>
        </w:rPr>
      </w:pPr>
      <w:r>
        <w:rPr>
          <w:noProof/>
        </w:rPr>
        <w:t>Mejniki v zvezi z izvedbo reforme bodo doseženi do 31. decembra 2025.</w:t>
      </w:r>
    </w:p>
    <w:p w14:paraId="5D63C128" w14:textId="77777777" w:rsidR="003C6015" w:rsidRPr="00DD6A04" w:rsidRDefault="003C6015" w:rsidP="003C6015">
      <w:pPr>
        <w:spacing w:line="240" w:lineRule="auto"/>
        <w:ind w:left="850"/>
        <w:jc w:val="both"/>
        <w:rPr>
          <w:noProof/>
          <w:lang w:val="en-GB"/>
        </w:rPr>
        <w:sectPr w:rsidR="003C6015" w:rsidRPr="00DD6A04" w:rsidSect="00073927">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20"/>
          <w:docGrid w:linePitch="326"/>
        </w:sectPr>
      </w:pPr>
    </w:p>
    <w:p w14:paraId="56F612E4" w14:textId="77777777" w:rsidR="003C6015" w:rsidRPr="00DD6A04" w:rsidRDefault="003C6015" w:rsidP="003C6015">
      <w:pPr>
        <w:spacing w:line="240" w:lineRule="auto"/>
        <w:ind w:left="850"/>
        <w:jc w:val="both"/>
        <w:rPr>
          <w:b/>
          <w:noProof/>
          <w:u w:val="single"/>
        </w:rPr>
      </w:pPr>
      <w:r>
        <w:rPr>
          <w:b/>
          <w:noProof/>
          <w:u w:val="single"/>
        </w:rPr>
        <w:t xml:space="preserve">O.2 </w:t>
      </w:r>
      <w:r>
        <w:rPr>
          <w:b/>
          <w:noProof/>
          <w:u w:val="single"/>
        </w:rPr>
        <w:tab/>
        <w:t>Mejniki, cilji, kazalniki in časovni razpored za spremljanje in izvajanje nepovratne finančne podpore</w:t>
      </w:r>
    </w:p>
    <w:tbl>
      <w:tblPr>
        <w:tblpPr w:leftFromText="180" w:rightFromText="180" w:vertAnchor="text" w:tblpXSpec="center" w:tblpY="1"/>
        <w:tblOverlap w:val="never"/>
        <w:tblW w:w="15390" w:type="dxa"/>
        <w:tblLayout w:type="fixed"/>
        <w:tblCellMar>
          <w:left w:w="57" w:type="dxa"/>
          <w:right w:w="57" w:type="dxa"/>
        </w:tblCellMar>
        <w:tblLook w:val="04A0" w:firstRow="1" w:lastRow="0" w:firstColumn="1" w:lastColumn="0" w:noHBand="0" w:noVBand="1"/>
      </w:tblPr>
      <w:tblGrid>
        <w:gridCol w:w="1261"/>
        <w:gridCol w:w="1417"/>
        <w:gridCol w:w="863"/>
        <w:gridCol w:w="1551"/>
        <w:gridCol w:w="1701"/>
        <w:gridCol w:w="992"/>
        <w:gridCol w:w="919"/>
        <w:gridCol w:w="709"/>
        <w:gridCol w:w="850"/>
        <w:gridCol w:w="783"/>
        <w:gridCol w:w="4344"/>
      </w:tblGrid>
      <w:tr w:rsidR="00B55FCF" w:rsidRPr="00DD6A04" w14:paraId="1E2616BF" w14:textId="77777777" w:rsidTr="00BE4788">
        <w:trPr>
          <w:trHeight w:val="927"/>
          <w:tblHeader/>
        </w:trPr>
        <w:tc>
          <w:tcPr>
            <w:tcW w:w="12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3F9C3B" w14:textId="77777777" w:rsidR="003C6015" w:rsidRPr="00DD6A04" w:rsidRDefault="003C6015" w:rsidP="00BE4788">
            <w:pPr>
              <w:spacing w:before="0" w:after="0" w:line="256" w:lineRule="auto"/>
              <w:jc w:val="center"/>
              <w:rPr>
                <w:rFonts w:eastAsia="Times New Roman"/>
                <w:b/>
                <w:noProof/>
                <w:sz w:val="22"/>
              </w:rPr>
            </w:pPr>
            <w:r>
              <w:rPr>
                <w:b/>
                <w:noProof/>
                <w:sz w:val="22"/>
              </w:rPr>
              <w:t>Zaporedna številka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595062" w14:textId="77777777" w:rsidR="003C6015" w:rsidRPr="00DD6A04" w:rsidRDefault="003C6015" w:rsidP="00BE4788">
            <w:pPr>
              <w:spacing w:before="0" w:after="0" w:line="256" w:lineRule="auto"/>
              <w:jc w:val="center"/>
              <w:rPr>
                <w:rFonts w:eastAsia="Times New Roman"/>
                <w:b/>
                <w:noProof/>
                <w:sz w:val="22"/>
              </w:rPr>
            </w:pPr>
            <w:r>
              <w:rPr>
                <w:b/>
                <w:noProof/>
                <w:sz w:val="22"/>
              </w:rPr>
              <w:t>Povezani ukrep (reforma ali naložba)</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6DAE58" w14:textId="77777777" w:rsidR="003C6015" w:rsidRPr="00DD6A04" w:rsidRDefault="003C6015" w:rsidP="00BE4788">
            <w:pPr>
              <w:spacing w:before="0" w:after="0" w:line="256" w:lineRule="auto"/>
              <w:jc w:val="center"/>
              <w:rPr>
                <w:rFonts w:eastAsia="Times New Roman"/>
                <w:b/>
                <w:noProof/>
                <w:sz w:val="22"/>
              </w:rPr>
            </w:pPr>
            <w:r>
              <w:rPr>
                <w:b/>
                <w:noProof/>
                <w:sz w:val="22"/>
              </w:rPr>
              <w:t>Mejnik/cilj</w:t>
            </w:r>
          </w:p>
        </w:tc>
        <w:tc>
          <w:tcPr>
            <w:tcW w:w="1551" w:type="dxa"/>
            <w:vMerge w:val="restart"/>
            <w:tcBorders>
              <w:top w:val="single" w:sz="4" w:space="0" w:color="auto"/>
              <w:left w:val="nil"/>
              <w:bottom w:val="single" w:sz="4" w:space="0" w:color="auto"/>
              <w:right w:val="single" w:sz="4" w:space="0" w:color="auto"/>
            </w:tcBorders>
            <w:shd w:val="clear" w:color="auto" w:fill="BDD7EE"/>
            <w:vAlign w:val="center"/>
            <w:hideMark/>
          </w:tcPr>
          <w:p w14:paraId="0BC651A5" w14:textId="77777777" w:rsidR="003C6015" w:rsidRPr="00DD6A04" w:rsidRDefault="003C6015" w:rsidP="00BE4788">
            <w:pPr>
              <w:spacing w:before="0" w:after="0" w:line="256" w:lineRule="auto"/>
              <w:jc w:val="center"/>
              <w:rPr>
                <w:rFonts w:eastAsia="Times New Roman"/>
                <w:b/>
                <w:noProof/>
                <w:sz w:val="22"/>
              </w:rPr>
            </w:pPr>
            <w:r>
              <w:rPr>
                <w:b/>
                <w:noProof/>
                <w:sz w:val="22"/>
              </w:rPr>
              <w:t>Ime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36DB2A" w14:textId="2F4E24E6" w:rsidR="003C6015" w:rsidRPr="00DD6A04" w:rsidRDefault="003C6015" w:rsidP="00BE4788">
            <w:pPr>
              <w:spacing w:before="0" w:after="0" w:line="256" w:lineRule="auto"/>
              <w:jc w:val="center"/>
              <w:rPr>
                <w:rFonts w:eastAsia="Times New Roman"/>
                <w:b/>
                <w:noProof/>
                <w:sz w:val="22"/>
              </w:rPr>
            </w:pPr>
            <w:r>
              <w:rPr>
                <w:b/>
                <w:noProof/>
                <w:sz w:val="22"/>
              </w:rPr>
              <w:t>Kvalitativni kazalniki (za mejnike)</w:t>
            </w:r>
          </w:p>
        </w:tc>
        <w:tc>
          <w:tcPr>
            <w:tcW w:w="2620" w:type="dxa"/>
            <w:gridSpan w:val="3"/>
            <w:tcBorders>
              <w:top w:val="single" w:sz="4" w:space="0" w:color="auto"/>
              <w:left w:val="nil"/>
              <w:bottom w:val="single" w:sz="4" w:space="0" w:color="auto"/>
              <w:right w:val="single" w:sz="4" w:space="0" w:color="auto"/>
            </w:tcBorders>
            <w:shd w:val="clear" w:color="auto" w:fill="BDD7EE"/>
            <w:vAlign w:val="center"/>
            <w:hideMark/>
          </w:tcPr>
          <w:p w14:paraId="1D82CB41" w14:textId="77777777" w:rsidR="003C6015" w:rsidRPr="00DD6A04" w:rsidRDefault="003C6015" w:rsidP="00BE4788">
            <w:pPr>
              <w:spacing w:before="0" w:after="0" w:line="256" w:lineRule="auto"/>
              <w:jc w:val="center"/>
              <w:rPr>
                <w:rFonts w:eastAsia="Times New Roman"/>
                <w:b/>
                <w:noProof/>
                <w:sz w:val="22"/>
              </w:rPr>
            </w:pPr>
            <w:r>
              <w:rPr>
                <w:b/>
                <w:noProof/>
                <w:sz w:val="22"/>
              </w:rPr>
              <w:t>Kvantitativni kazalniki (za cilje)</w:t>
            </w:r>
          </w:p>
        </w:tc>
        <w:tc>
          <w:tcPr>
            <w:tcW w:w="1633" w:type="dxa"/>
            <w:gridSpan w:val="2"/>
            <w:tcBorders>
              <w:top w:val="single" w:sz="4" w:space="0" w:color="auto"/>
              <w:left w:val="nil"/>
              <w:bottom w:val="single" w:sz="4" w:space="0" w:color="auto"/>
              <w:right w:val="single" w:sz="4" w:space="0" w:color="auto"/>
            </w:tcBorders>
            <w:shd w:val="clear" w:color="auto" w:fill="BDD7EE"/>
            <w:vAlign w:val="center"/>
            <w:hideMark/>
          </w:tcPr>
          <w:p w14:paraId="3DBC2CCB" w14:textId="77777777" w:rsidR="003C6015" w:rsidRPr="00DD6A04" w:rsidRDefault="003C6015" w:rsidP="00BE4788">
            <w:pPr>
              <w:spacing w:before="0" w:after="0" w:line="256" w:lineRule="auto"/>
              <w:jc w:val="center"/>
              <w:rPr>
                <w:rFonts w:eastAsia="Times New Roman"/>
                <w:b/>
                <w:noProof/>
                <w:sz w:val="22"/>
              </w:rPr>
            </w:pPr>
            <w:r>
              <w:rPr>
                <w:b/>
                <w:noProof/>
                <w:sz w:val="22"/>
              </w:rPr>
              <w:t xml:space="preserve">Okvirni časovni razpored za dokončanje </w:t>
            </w:r>
          </w:p>
        </w:tc>
        <w:tc>
          <w:tcPr>
            <w:tcW w:w="43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0F39B7" w14:textId="77777777" w:rsidR="003C6015" w:rsidRPr="00DD6A04" w:rsidRDefault="003C6015" w:rsidP="00BE4788">
            <w:pPr>
              <w:spacing w:before="0" w:after="0" w:line="256" w:lineRule="auto"/>
              <w:jc w:val="center"/>
              <w:rPr>
                <w:rFonts w:eastAsia="Times New Roman"/>
                <w:b/>
                <w:noProof/>
                <w:sz w:val="22"/>
              </w:rPr>
            </w:pPr>
            <w:r>
              <w:rPr>
                <w:b/>
                <w:noProof/>
                <w:sz w:val="22"/>
              </w:rPr>
              <w:t>Opis vsakega mejnika in cilja</w:t>
            </w:r>
          </w:p>
        </w:tc>
      </w:tr>
      <w:tr w:rsidR="003C6015" w:rsidRPr="00DD6A04" w14:paraId="78427012" w14:textId="77777777" w:rsidTr="00BE4788">
        <w:trPr>
          <w:trHeight w:val="615"/>
          <w:tblHeader/>
        </w:trPr>
        <w:tc>
          <w:tcPr>
            <w:tcW w:w="1261" w:type="dxa"/>
            <w:vMerge/>
            <w:tcBorders>
              <w:top w:val="single" w:sz="4" w:space="0" w:color="auto"/>
              <w:left w:val="single" w:sz="4" w:space="0" w:color="auto"/>
              <w:bottom w:val="single" w:sz="4" w:space="0" w:color="auto"/>
              <w:right w:val="single" w:sz="4" w:space="0" w:color="auto"/>
            </w:tcBorders>
            <w:vAlign w:val="center"/>
            <w:hideMark/>
          </w:tcPr>
          <w:p w14:paraId="36435B34" w14:textId="77777777" w:rsidR="003C6015" w:rsidRPr="00DD6A04" w:rsidRDefault="003C6015" w:rsidP="00BE4788">
            <w:pPr>
              <w:spacing w:before="0" w:after="0" w:line="256" w:lineRule="auto"/>
              <w:rPr>
                <w:rFonts w:eastAsia="Times New Roman"/>
                <w:b/>
                <w:noProof/>
                <w:sz w:val="22"/>
                <w:lang w:val="en-GB"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0EAE1C" w14:textId="77777777" w:rsidR="003C6015" w:rsidRPr="00DD6A04" w:rsidRDefault="003C6015" w:rsidP="00BE4788">
            <w:pPr>
              <w:spacing w:before="0" w:after="0" w:line="256" w:lineRule="auto"/>
              <w:rPr>
                <w:rFonts w:eastAsia="Times New Roman"/>
                <w:b/>
                <w:noProof/>
                <w:sz w:val="22"/>
                <w:lang w:val="en-GB" w:eastAsia="en-GB"/>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3B3A484E" w14:textId="77777777" w:rsidR="003C6015" w:rsidRPr="00DD6A04" w:rsidRDefault="003C6015" w:rsidP="00BE4788">
            <w:pPr>
              <w:spacing w:before="0" w:after="0" w:line="256" w:lineRule="auto"/>
              <w:rPr>
                <w:rFonts w:eastAsia="Times New Roman"/>
                <w:b/>
                <w:noProof/>
                <w:sz w:val="22"/>
                <w:lang w:val="en-GB" w:eastAsia="en-GB"/>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45F4B3E6" w14:textId="77777777" w:rsidR="003C6015" w:rsidRPr="00DD6A04" w:rsidRDefault="003C6015" w:rsidP="00BE4788">
            <w:pPr>
              <w:spacing w:before="0" w:after="0" w:line="256" w:lineRule="auto"/>
              <w:rPr>
                <w:rFonts w:eastAsia="Times New Roman"/>
                <w:b/>
                <w:noProof/>
                <w:sz w:val="22"/>
                <w:lang w:val="en-GB" w:eastAsia="en-GB"/>
              </w:rPr>
            </w:pPr>
          </w:p>
        </w:tc>
        <w:tc>
          <w:tcPr>
            <w:tcW w:w="1701" w:type="dxa"/>
            <w:vMerge/>
            <w:tcBorders>
              <w:top w:val="single" w:sz="4" w:space="0" w:color="auto"/>
              <w:left w:val="single" w:sz="4" w:space="0" w:color="auto"/>
              <w:bottom w:val="single" w:sz="4" w:space="0" w:color="auto"/>
            </w:tcBorders>
            <w:vAlign w:val="center"/>
            <w:hideMark/>
          </w:tcPr>
          <w:p w14:paraId="57A6570B" w14:textId="77777777" w:rsidR="003C6015" w:rsidRPr="00DD6A04" w:rsidRDefault="003C6015" w:rsidP="00BE4788">
            <w:pPr>
              <w:spacing w:before="0" w:after="0" w:line="256" w:lineRule="auto"/>
              <w:rPr>
                <w:rFonts w:eastAsia="Times New Roman"/>
                <w:b/>
                <w:noProof/>
                <w:sz w:val="22"/>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3662EB1" w14:textId="77777777" w:rsidR="003C6015" w:rsidRPr="00DD6A04" w:rsidRDefault="003C6015" w:rsidP="00BE4788">
            <w:pPr>
              <w:spacing w:before="0" w:after="0" w:line="256" w:lineRule="auto"/>
              <w:jc w:val="center"/>
              <w:rPr>
                <w:rFonts w:eastAsia="Times New Roman"/>
                <w:b/>
                <w:noProof/>
                <w:sz w:val="22"/>
              </w:rPr>
            </w:pPr>
            <w:r>
              <w:rPr>
                <w:b/>
                <w:noProof/>
                <w:sz w:val="22"/>
              </w:rPr>
              <w:t>Enota merjenja</w:t>
            </w:r>
          </w:p>
        </w:tc>
        <w:tc>
          <w:tcPr>
            <w:tcW w:w="91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21A1325" w14:textId="77777777" w:rsidR="003C6015" w:rsidRPr="00DD6A04" w:rsidRDefault="003C6015" w:rsidP="00BE4788">
            <w:pPr>
              <w:spacing w:before="0" w:after="0" w:line="256" w:lineRule="auto"/>
              <w:jc w:val="center"/>
              <w:rPr>
                <w:rFonts w:eastAsia="Times New Roman"/>
                <w:b/>
                <w:noProof/>
                <w:sz w:val="22"/>
              </w:rPr>
            </w:pPr>
            <w:r>
              <w:rPr>
                <w:b/>
                <w:noProof/>
                <w:sz w:val="22"/>
              </w:rPr>
              <w:t xml:space="preserve">Izhodiščna raven </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D5D39EC" w14:textId="77777777" w:rsidR="003C6015" w:rsidRPr="00DD6A04" w:rsidRDefault="003C6015" w:rsidP="00BE4788">
            <w:pPr>
              <w:spacing w:before="0" w:after="0" w:line="256" w:lineRule="auto"/>
              <w:jc w:val="center"/>
              <w:rPr>
                <w:rFonts w:eastAsia="Times New Roman"/>
                <w:b/>
                <w:noProof/>
                <w:sz w:val="22"/>
              </w:rPr>
            </w:pPr>
            <w:r>
              <w:rPr>
                <w:b/>
                <w:noProof/>
                <w:sz w:val="22"/>
              </w:rPr>
              <w:t xml:space="preserve">Ciljna raven </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C83F783" w14:textId="77777777" w:rsidR="003C6015" w:rsidRPr="00DD6A04" w:rsidRDefault="003C6015" w:rsidP="00BE4788">
            <w:pPr>
              <w:spacing w:before="0" w:after="0" w:line="256" w:lineRule="auto"/>
              <w:jc w:val="center"/>
              <w:rPr>
                <w:rFonts w:eastAsia="Times New Roman"/>
                <w:b/>
                <w:noProof/>
                <w:sz w:val="22"/>
              </w:rPr>
            </w:pPr>
            <w:r>
              <w:rPr>
                <w:b/>
                <w:noProof/>
                <w:sz w:val="22"/>
              </w:rPr>
              <w:t>Četrtletje</w:t>
            </w:r>
          </w:p>
        </w:tc>
        <w:tc>
          <w:tcPr>
            <w:tcW w:w="78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DBB4231" w14:textId="77777777" w:rsidR="003C6015" w:rsidRPr="00DD6A04" w:rsidRDefault="003C6015" w:rsidP="00BE4788">
            <w:pPr>
              <w:spacing w:before="0" w:after="0" w:line="256" w:lineRule="auto"/>
              <w:jc w:val="center"/>
              <w:rPr>
                <w:rFonts w:eastAsia="Times New Roman"/>
                <w:b/>
                <w:noProof/>
                <w:sz w:val="22"/>
              </w:rPr>
            </w:pPr>
            <w:r>
              <w:rPr>
                <w:b/>
                <w:noProof/>
                <w:sz w:val="22"/>
              </w:rPr>
              <w:t>Leto</w:t>
            </w:r>
          </w:p>
        </w:tc>
        <w:tc>
          <w:tcPr>
            <w:tcW w:w="4344" w:type="dxa"/>
            <w:vMerge/>
            <w:tcBorders>
              <w:bottom w:val="single" w:sz="4" w:space="0" w:color="auto"/>
              <w:right w:val="single" w:sz="4" w:space="0" w:color="auto"/>
            </w:tcBorders>
            <w:vAlign w:val="center"/>
            <w:hideMark/>
          </w:tcPr>
          <w:p w14:paraId="23E73755" w14:textId="77777777" w:rsidR="003C6015" w:rsidRPr="00DD6A04" w:rsidRDefault="003C6015" w:rsidP="00BE4788">
            <w:pPr>
              <w:spacing w:before="0" w:after="0" w:line="256" w:lineRule="auto"/>
              <w:rPr>
                <w:rFonts w:eastAsia="Times New Roman"/>
                <w:b/>
                <w:noProof/>
                <w:sz w:val="22"/>
                <w:lang w:val="en-GB" w:eastAsia="en-GB"/>
              </w:rPr>
            </w:pPr>
          </w:p>
        </w:tc>
      </w:tr>
      <w:tr w:rsidR="003C6015" w:rsidRPr="00DD6A04" w14:paraId="66087B09" w14:textId="77777777" w:rsidTr="00BE4788">
        <w:trPr>
          <w:trHeight w:val="309"/>
        </w:trPr>
        <w:tc>
          <w:tcPr>
            <w:tcW w:w="1261" w:type="dxa"/>
            <w:tcBorders>
              <w:top w:val="single" w:sz="4" w:space="0" w:color="auto"/>
              <w:left w:val="single" w:sz="4" w:space="0" w:color="auto"/>
              <w:bottom w:val="single" w:sz="4" w:space="0" w:color="auto"/>
              <w:right w:val="single" w:sz="4" w:space="0" w:color="auto"/>
            </w:tcBorders>
            <w:shd w:val="clear" w:color="auto" w:fill="C6EFCE"/>
            <w:noWrap/>
          </w:tcPr>
          <w:p w14:paraId="27D26B96"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196</w:t>
            </w:r>
          </w:p>
        </w:tc>
        <w:tc>
          <w:tcPr>
            <w:tcW w:w="1417" w:type="dxa"/>
            <w:tcBorders>
              <w:top w:val="single" w:sz="4" w:space="0" w:color="auto"/>
              <w:left w:val="nil"/>
              <w:bottom w:val="single" w:sz="4" w:space="0" w:color="auto"/>
              <w:right w:val="single" w:sz="4" w:space="0" w:color="auto"/>
            </w:tcBorders>
            <w:shd w:val="clear" w:color="auto" w:fill="C6EFCE"/>
            <w:noWrap/>
          </w:tcPr>
          <w:p w14:paraId="4E761582"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xml:space="preserve">A: Vzpostavitev enotne sistemske ureditve na področju dolgotrajne oskrbe </w:t>
            </w:r>
          </w:p>
        </w:tc>
        <w:tc>
          <w:tcPr>
            <w:tcW w:w="863" w:type="dxa"/>
            <w:tcBorders>
              <w:top w:val="single" w:sz="4" w:space="0" w:color="auto"/>
              <w:left w:val="nil"/>
              <w:bottom w:val="single" w:sz="4" w:space="0" w:color="auto"/>
              <w:right w:val="single" w:sz="4" w:space="0" w:color="auto"/>
            </w:tcBorders>
            <w:shd w:val="clear" w:color="auto" w:fill="C6EFCE"/>
            <w:noWrap/>
          </w:tcPr>
          <w:p w14:paraId="23240906"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Mejnik</w:t>
            </w:r>
          </w:p>
        </w:tc>
        <w:tc>
          <w:tcPr>
            <w:tcW w:w="1551" w:type="dxa"/>
            <w:tcBorders>
              <w:top w:val="single" w:sz="4" w:space="0" w:color="auto"/>
              <w:left w:val="nil"/>
              <w:bottom w:val="single" w:sz="4" w:space="0" w:color="auto"/>
              <w:right w:val="single" w:sz="4" w:space="0" w:color="auto"/>
            </w:tcBorders>
            <w:shd w:val="clear" w:color="auto" w:fill="C6EFCE"/>
            <w:noWrap/>
          </w:tcPr>
          <w:p w14:paraId="387AFB21"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Vzpostavitev nacionalnega modela spremljanja kazalnikov kakovosti za ponudnike dolgotrajne oskrbe</w:t>
            </w:r>
          </w:p>
        </w:tc>
        <w:tc>
          <w:tcPr>
            <w:tcW w:w="1701" w:type="dxa"/>
            <w:tcBorders>
              <w:top w:val="single" w:sz="4" w:space="0" w:color="auto"/>
              <w:left w:val="nil"/>
              <w:bottom w:val="single" w:sz="4" w:space="0" w:color="auto"/>
              <w:right w:val="single" w:sz="4" w:space="0" w:color="auto"/>
            </w:tcBorders>
            <w:shd w:val="clear" w:color="auto" w:fill="C6EFCE"/>
            <w:noWrap/>
          </w:tcPr>
          <w:p w14:paraId="6100F38F"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Sprejetje nacionalnega modela spremljanja s strani Ministrstva za zdravje</w:t>
            </w:r>
          </w:p>
        </w:tc>
        <w:tc>
          <w:tcPr>
            <w:tcW w:w="992" w:type="dxa"/>
            <w:tcBorders>
              <w:top w:val="single" w:sz="4" w:space="0" w:color="auto"/>
              <w:left w:val="nil"/>
              <w:bottom w:val="single" w:sz="4" w:space="0" w:color="auto"/>
              <w:right w:val="single" w:sz="4" w:space="0" w:color="auto"/>
            </w:tcBorders>
            <w:shd w:val="clear" w:color="auto" w:fill="C6EFCE"/>
            <w:noWrap/>
          </w:tcPr>
          <w:p w14:paraId="7C8C953B" w14:textId="77777777" w:rsidR="003C6015" w:rsidRPr="00DD6A04" w:rsidRDefault="003C6015" w:rsidP="00BE4788">
            <w:pPr>
              <w:spacing w:before="0" w:after="0" w:line="256" w:lineRule="auto"/>
              <w:rPr>
                <w:rFonts w:eastAsia="Times New Roman"/>
                <w:noProof/>
                <w:color w:val="006100"/>
                <w:sz w:val="22"/>
                <w:lang w:val="en-GB" w:eastAsia="en-GB"/>
              </w:rPr>
            </w:pPr>
          </w:p>
        </w:tc>
        <w:tc>
          <w:tcPr>
            <w:tcW w:w="919" w:type="dxa"/>
            <w:tcBorders>
              <w:top w:val="single" w:sz="4" w:space="0" w:color="auto"/>
              <w:left w:val="nil"/>
              <w:bottom w:val="single" w:sz="4" w:space="0" w:color="auto"/>
              <w:right w:val="single" w:sz="4" w:space="0" w:color="auto"/>
            </w:tcBorders>
            <w:shd w:val="clear" w:color="auto" w:fill="C6EFCE"/>
            <w:noWrap/>
          </w:tcPr>
          <w:p w14:paraId="3845E1EF" w14:textId="77777777" w:rsidR="003C6015" w:rsidRPr="00DD6A04" w:rsidRDefault="003C6015" w:rsidP="00BE4788">
            <w:pPr>
              <w:spacing w:before="0" w:after="0" w:line="256" w:lineRule="auto"/>
              <w:jc w:val="right"/>
              <w:rPr>
                <w:rFonts w:eastAsia="Times New Roman"/>
                <w:noProof/>
                <w:color w:val="006100"/>
                <w:sz w:val="22"/>
                <w:lang w:val="en-GB"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6BF95E12" w14:textId="77777777" w:rsidR="003C6015" w:rsidRPr="00DD6A04" w:rsidRDefault="003C6015" w:rsidP="00BE4788">
            <w:pPr>
              <w:spacing w:before="0" w:after="0" w:line="256" w:lineRule="auto"/>
              <w:jc w:val="right"/>
              <w:rPr>
                <w:rFonts w:eastAsia="Times New Roman"/>
                <w:noProof/>
                <w:color w:val="006100"/>
                <w:sz w:val="22"/>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589AC6FB" w14:textId="77777777" w:rsidR="003C6015" w:rsidRPr="00DD6A04" w:rsidRDefault="003C6015" w:rsidP="00BE4788">
            <w:pPr>
              <w:spacing w:before="0" w:after="0" w:line="256" w:lineRule="auto"/>
              <w:jc w:val="center"/>
              <w:rPr>
                <w:rFonts w:eastAsia="Times New Roman"/>
                <w:noProof/>
                <w:color w:val="006100"/>
                <w:sz w:val="22"/>
              </w:rPr>
            </w:pPr>
            <w:r>
              <w:rPr>
                <w:noProof/>
                <w:color w:val="006100"/>
                <w:sz w:val="22"/>
              </w:rPr>
              <w:t>Q4</w:t>
            </w:r>
          </w:p>
        </w:tc>
        <w:tc>
          <w:tcPr>
            <w:tcW w:w="783" w:type="dxa"/>
            <w:tcBorders>
              <w:top w:val="single" w:sz="4" w:space="0" w:color="auto"/>
              <w:left w:val="nil"/>
              <w:bottom w:val="single" w:sz="4" w:space="0" w:color="auto"/>
              <w:right w:val="single" w:sz="4" w:space="0" w:color="auto"/>
            </w:tcBorders>
            <w:shd w:val="clear" w:color="auto" w:fill="C6EFCE"/>
            <w:noWrap/>
          </w:tcPr>
          <w:p w14:paraId="44D0817F" w14:textId="77777777" w:rsidR="003C6015" w:rsidRPr="00DD6A04" w:rsidRDefault="003C6015" w:rsidP="00BE4788">
            <w:pPr>
              <w:spacing w:before="0" w:after="0" w:line="256" w:lineRule="auto"/>
              <w:jc w:val="center"/>
              <w:rPr>
                <w:rFonts w:eastAsia="Times New Roman"/>
                <w:noProof/>
                <w:color w:val="006100"/>
                <w:sz w:val="22"/>
              </w:rPr>
            </w:pPr>
            <w:r>
              <w:rPr>
                <w:noProof/>
                <w:color w:val="006100"/>
                <w:sz w:val="22"/>
              </w:rPr>
              <w:t>2021</w:t>
            </w:r>
          </w:p>
        </w:tc>
        <w:tc>
          <w:tcPr>
            <w:tcW w:w="4344" w:type="dxa"/>
            <w:tcBorders>
              <w:top w:val="single" w:sz="4" w:space="0" w:color="auto"/>
              <w:left w:val="nil"/>
              <w:bottom w:val="single" w:sz="4" w:space="0" w:color="auto"/>
              <w:right w:val="single" w:sz="4" w:space="0" w:color="auto"/>
            </w:tcBorders>
            <w:shd w:val="clear" w:color="auto" w:fill="C6EFCE"/>
            <w:noWrap/>
          </w:tcPr>
          <w:p w14:paraId="0E04B7B6"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Sprejetje nacionalnega modela spremljanja kazalnikov kakovosti za izvajalce dolgotrajne oskrbe v institucijah. V okviru modela se bo spremljala kakovost storitev dolgotrajne oskrbe na nacionalni ravni. Spremljali se bodo najmanj naslednji kazalniki: število poškodb, število poškodb zaradi padca, število odstopanj pri dajanju zdravil in število uporabnikov z okužbo z več odpornimi mikroorganizmi.</w:t>
            </w:r>
          </w:p>
        </w:tc>
      </w:tr>
      <w:tr w:rsidR="003C6015" w:rsidRPr="00DD6A04" w14:paraId="6A393DE0" w14:textId="77777777" w:rsidTr="00BE4788">
        <w:trPr>
          <w:trHeight w:val="309"/>
        </w:trPr>
        <w:tc>
          <w:tcPr>
            <w:tcW w:w="1261" w:type="dxa"/>
            <w:tcBorders>
              <w:top w:val="nil"/>
              <w:left w:val="single" w:sz="4" w:space="0" w:color="auto"/>
              <w:bottom w:val="single" w:sz="4" w:space="0" w:color="auto"/>
              <w:right w:val="single" w:sz="4" w:space="0" w:color="auto"/>
            </w:tcBorders>
            <w:shd w:val="clear" w:color="auto" w:fill="C6EFCE"/>
            <w:noWrap/>
          </w:tcPr>
          <w:p w14:paraId="6E64F1C4"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197</w:t>
            </w:r>
          </w:p>
        </w:tc>
        <w:tc>
          <w:tcPr>
            <w:tcW w:w="1417" w:type="dxa"/>
            <w:tcBorders>
              <w:top w:val="nil"/>
              <w:left w:val="nil"/>
              <w:bottom w:val="single" w:sz="4" w:space="0" w:color="auto"/>
              <w:right w:val="single" w:sz="4" w:space="0" w:color="auto"/>
            </w:tcBorders>
            <w:shd w:val="clear" w:color="auto" w:fill="C6EFCE"/>
            <w:noWrap/>
          </w:tcPr>
          <w:p w14:paraId="319BE2D1"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xml:space="preserve">A: Vzpostavitev enotne sistemske ureditve na področju dolgotrajne oskrbe </w:t>
            </w:r>
          </w:p>
        </w:tc>
        <w:tc>
          <w:tcPr>
            <w:tcW w:w="863" w:type="dxa"/>
            <w:tcBorders>
              <w:top w:val="nil"/>
              <w:left w:val="nil"/>
              <w:bottom w:val="single" w:sz="4" w:space="0" w:color="auto"/>
              <w:right w:val="single" w:sz="4" w:space="0" w:color="auto"/>
            </w:tcBorders>
            <w:shd w:val="clear" w:color="auto" w:fill="C6EFCE"/>
            <w:noWrap/>
          </w:tcPr>
          <w:p w14:paraId="44593415"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Mejnik</w:t>
            </w:r>
          </w:p>
        </w:tc>
        <w:tc>
          <w:tcPr>
            <w:tcW w:w="1551" w:type="dxa"/>
            <w:tcBorders>
              <w:top w:val="nil"/>
              <w:left w:val="nil"/>
              <w:bottom w:val="single" w:sz="4" w:space="0" w:color="auto"/>
              <w:right w:val="single" w:sz="4" w:space="0" w:color="auto"/>
            </w:tcBorders>
            <w:shd w:val="clear" w:color="auto" w:fill="C6EFCE"/>
            <w:noWrap/>
          </w:tcPr>
          <w:p w14:paraId="2D2FE066" w14:textId="7E5745A9" w:rsidR="003C6015" w:rsidRPr="00DD6A04" w:rsidRDefault="003C6015" w:rsidP="00BE4788">
            <w:pPr>
              <w:spacing w:before="0" w:after="0" w:line="256" w:lineRule="auto"/>
              <w:rPr>
                <w:rFonts w:eastAsia="Times New Roman"/>
                <w:noProof/>
                <w:color w:val="006100"/>
                <w:sz w:val="22"/>
              </w:rPr>
            </w:pPr>
            <w:r>
              <w:rPr>
                <w:noProof/>
                <w:color w:val="006100"/>
                <w:sz w:val="22"/>
              </w:rPr>
              <w:t xml:space="preserve">Začetek veljavnosti Zakona o dolgotrajni oskrbi, vključno z določbami o obveznem zavarovanju za dolgotrajno oskrbo </w:t>
            </w:r>
          </w:p>
        </w:tc>
        <w:tc>
          <w:tcPr>
            <w:tcW w:w="1701" w:type="dxa"/>
            <w:tcBorders>
              <w:top w:val="nil"/>
              <w:left w:val="nil"/>
              <w:bottom w:val="single" w:sz="4" w:space="0" w:color="auto"/>
              <w:right w:val="single" w:sz="4" w:space="0" w:color="auto"/>
            </w:tcBorders>
            <w:shd w:val="clear" w:color="auto" w:fill="C6EFCE"/>
            <w:noWrap/>
          </w:tcPr>
          <w:p w14:paraId="20C06992"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xml:space="preserve">Zakonodajna določba o začetku veljavnosti Zakona o dolgotrajni oskrbi </w:t>
            </w:r>
          </w:p>
        </w:tc>
        <w:tc>
          <w:tcPr>
            <w:tcW w:w="992" w:type="dxa"/>
            <w:tcBorders>
              <w:top w:val="nil"/>
              <w:left w:val="nil"/>
              <w:bottom w:val="single" w:sz="4" w:space="0" w:color="auto"/>
              <w:right w:val="single" w:sz="4" w:space="0" w:color="auto"/>
            </w:tcBorders>
            <w:shd w:val="clear" w:color="auto" w:fill="C6EFCE"/>
            <w:noWrap/>
          </w:tcPr>
          <w:p w14:paraId="109EC894"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w:t>
            </w:r>
          </w:p>
        </w:tc>
        <w:tc>
          <w:tcPr>
            <w:tcW w:w="919" w:type="dxa"/>
            <w:tcBorders>
              <w:top w:val="nil"/>
              <w:left w:val="nil"/>
              <w:bottom w:val="single" w:sz="4" w:space="0" w:color="auto"/>
              <w:right w:val="single" w:sz="4" w:space="0" w:color="auto"/>
            </w:tcBorders>
            <w:shd w:val="clear" w:color="auto" w:fill="C6EFCE"/>
            <w:noWrap/>
          </w:tcPr>
          <w:p w14:paraId="368194A2" w14:textId="77777777" w:rsidR="003C6015" w:rsidRPr="00DD6A04" w:rsidRDefault="003C6015" w:rsidP="00BE4788">
            <w:pPr>
              <w:spacing w:before="0" w:after="0" w:line="256" w:lineRule="auto"/>
              <w:jc w:val="right"/>
              <w:rPr>
                <w:rFonts w:eastAsia="Times New Roman"/>
                <w:noProof/>
                <w:color w:val="006100"/>
                <w:sz w:val="22"/>
              </w:rPr>
            </w:pPr>
            <w:r>
              <w:rPr>
                <w:noProof/>
                <w:color w:val="006100"/>
                <w:sz w:val="22"/>
              </w:rPr>
              <w:t> </w:t>
            </w:r>
          </w:p>
        </w:tc>
        <w:tc>
          <w:tcPr>
            <w:tcW w:w="709" w:type="dxa"/>
            <w:tcBorders>
              <w:top w:val="nil"/>
              <w:left w:val="nil"/>
              <w:bottom w:val="single" w:sz="4" w:space="0" w:color="auto"/>
              <w:right w:val="single" w:sz="4" w:space="0" w:color="auto"/>
            </w:tcBorders>
            <w:shd w:val="clear" w:color="auto" w:fill="C6EFCE"/>
            <w:noWrap/>
          </w:tcPr>
          <w:p w14:paraId="242FCD8A" w14:textId="77777777" w:rsidR="003C6015" w:rsidRPr="00DD6A04" w:rsidRDefault="003C6015" w:rsidP="00BE4788">
            <w:pPr>
              <w:spacing w:before="0" w:after="0" w:line="256" w:lineRule="auto"/>
              <w:jc w:val="right"/>
              <w:rPr>
                <w:rFonts w:eastAsia="Times New Roman"/>
                <w:noProof/>
                <w:color w:val="006100"/>
                <w:sz w:val="22"/>
              </w:rPr>
            </w:pPr>
            <w:r>
              <w:rPr>
                <w:noProof/>
                <w:color w:val="006100"/>
                <w:sz w:val="22"/>
              </w:rPr>
              <w:t> </w:t>
            </w:r>
          </w:p>
        </w:tc>
        <w:tc>
          <w:tcPr>
            <w:tcW w:w="850" w:type="dxa"/>
            <w:tcBorders>
              <w:top w:val="nil"/>
              <w:left w:val="nil"/>
              <w:bottom w:val="single" w:sz="4" w:space="0" w:color="auto"/>
              <w:right w:val="single" w:sz="4" w:space="0" w:color="auto"/>
            </w:tcBorders>
            <w:shd w:val="clear" w:color="auto" w:fill="C6EFCE"/>
            <w:noWrap/>
          </w:tcPr>
          <w:p w14:paraId="58ECF3EF" w14:textId="75185D8D" w:rsidR="003C6015" w:rsidRPr="00DD6A04" w:rsidRDefault="003C6015" w:rsidP="00BE4788">
            <w:pPr>
              <w:spacing w:before="0" w:after="0" w:line="256" w:lineRule="auto"/>
              <w:jc w:val="center"/>
              <w:rPr>
                <w:rFonts w:eastAsia="Times New Roman"/>
                <w:noProof/>
                <w:color w:val="006100"/>
                <w:sz w:val="22"/>
              </w:rPr>
            </w:pPr>
            <w:r>
              <w:rPr>
                <w:noProof/>
                <w:color w:val="006100"/>
                <w:sz w:val="22"/>
              </w:rPr>
              <w:t>Q4</w:t>
            </w:r>
          </w:p>
        </w:tc>
        <w:tc>
          <w:tcPr>
            <w:tcW w:w="783" w:type="dxa"/>
            <w:tcBorders>
              <w:top w:val="nil"/>
              <w:left w:val="nil"/>
              <w:bottom w:val="single" w:sz="4" w:space="0" w:color="auto"/>
              <w:right w:val="single" w:sz="4" w:space="0" w:color="auto"/>
            </w:tcBorders>
            <w:shd w:val="clear" w:color="auto" w:fill="C6EFCE"/>
            <w:noWrap/>
          </w:tcPr>
          <w:p w14:paraId="1556F8A2" w14:textId="42C9DF7C" w:rsidR="003C6015" w:rsidRPr="00DD6A04" w:rsidRDefault="003C6015" w:rsidP="00BE4788">
            <w:pPr>
              <w:spacing w:before="0" w:after="0" w:line="256" w:lineRule="auto"/>
              <w:jc w:val="center"/>
              <w:rPr>
                <w:rFonts w:eastAsia="Times New Roman"/>
                <w:noProof/>
                <w:color w:val="006100"/>
                <w:sz w:val="22"/>
              </w:rPr>
            </w:pPr>
            <w:r>
              <w:rPr>
                <w:noProof/>
                <w:color w:val="006100"/>
                <w:sz w:val="22"/>
              </w:rPr>
              <w:t>2023</w:t>
            </w:r>
          </w:p>
        </w:tc>
        <w:tc>
          <w:tcPr>
            <w:tcW w:w="4344" w:type="dxa"/>
            <w:tcBorders>
              <w:top w:val="nil"/>
              <w:left w:val="nil"/>
              <w:bottom w:val="single" w:sz="4" w:space="0" w:color="auto"/>
              <w:right w:val="single" w:sz="4" w:space="0" w:color="auto"/>
            </w:tcBorders>
            <w:shd w:val="clear" w:color="auto" w:fill="C6EFCE"/>
            <w:noWrap/>
          </w:tcPr>
          <w:p w14:paraId="448D2C67"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xml:space="preserve">Zakon o dolgotrajni oskrbi bo določal dolgotrajno oskrbo kot nov steber socialne varnosti z vključevanjem socialnih in zdravstvenih storitev. Določal bo pogoje za zagotavljanje kakovostnih in varnih storitev dolgotrajne oskrbe, vključno s standardi in normami za zaposlene na področju dolgotrajne oskrbe. Zagotavljal bo, da bodo imeli upravičenci s primerljivimi potrebami dostop do enakih pravic ne glede na njihove socialne, ekonomske ali druge osebne značilnosti in kraj, kjer želijo uveljavljati pravico do storitev dolgotrajne oskrbe. </w:t>
            </w:r>
          </w:p>
          <w:p w14:paraId="76ED452E" w14:textId="5A1F5D72" w:rsidR="003C6015" w:rsidRPr="00DD6A04" w:rsidRDefault="003C6015" w:rsidP="00BE4788">
            <w:pPr>
              <w:spacing w:before="0" w:after="0" w:line="256" w:lineRule="auto"/>
              <w:rPr>
                <w:rFonts w:eastAsia="Times New Roman"/>
                <w:noProof/>
                <w:color w:val="006100"/>
                <w:sz w:val="22"/>
                <w:lang w:val="en-GB" w:eastAsia="en-GB"/>
              </w:rPr>
            </w:pPr>
          </w:p>
          <w:p w14:paraId="0638D76C" w14:textId="558F7C3A" w:rsidR="00F53D40" w:rsidRPr="00DD6A04" w:rsidRDefault="003C6015" w:rsidP="00BE4788">
            <w:pPr>
              <w:spacing w:before="0" w:after="0" w:line="256" w:lineRule="auto"/>
              <w:rPr>
                <w:rFonts w:eastAsia="Times New Roman"/>
                <w:noProof/>
                <w:color w:val="006100"/>
                <w:sz w:val="22"/>
              </w:rPr>
            </w:pPr>
            <w:r>
              <w:rPr>
                <w:noProof/>
                <w:color w:val="006100"/>
                <w:sz w:val="22"/>
              </w:rPr>
              <w:t xml:space="preserve">Zakon bo zagotovil financiranje sistema dolgotrajne oskrbe iz različnih virov, vključno z državnim proračunom. </w:t>
            </w:r>
          </w:p>
          <w:p w14:paraId="0783E6C8" w14:textId="39D996D1" w:rsidR="003C6015" w:rsidRPr="00DD6A04" w:rsidRDefault="00F0795C" w:rsidP="00BE4788">
            <w:pPr>
              <w:spacing w:before="0" w:after="0" w:line="256" w:lineRule="auto"/>
              <w:rPr>
                <w:rFonts w:eastAsia="Times New Roman"/>
                <w:noProof/>
                <w:color w:val="006100"/>
                <w:sz w:val="22"/>
              </w:rPr>
            </w:pPr>
            <w:r>
              <w:rPr>
                <w:noProof/>
                <w:color w:val="006100"/>
                <w:sz w:val="22"/>
              </w:rPr>
              <w:t xml:space="preserve">Zakon bo zagotovil prehod s pretežno proračunskih sredstev na financiranje predvsem z obveznim zavarovanjem za dolgotrajno oskrbo. Zagotovil bo, da se od 1. januarja 2026 iz takega zavarovanja financira vsaj 30 % stroškov storitev dolgotrajne oskrbe. Zakon bo zagotovil mehanizme za zagotavljanje finančne vzdržnosti sistema dolgotrajne oskrbe. Uvede se lahko sofinanciranje s strani uporabnikov, ki prispevajo k financiranju sistema dolgotrajne oskrbe. </w:t>
            </w:r>
          </w:p>
        </w:tc>
      </w:tr>
      <w:tr w:rsidR="003C6015" w:rsidRPr="00DD6A04" w14:paraId="11B37E7D" w14:textId="77777777" w:rsidTr="00BE4788">
        <w:trPr>
          <w:trHeight w:val="309"/>
        </w:trPr>
        <w:tc>
          <w:tcPr>
            <w:tcW w:w="1261" w:type="dxa"/>
            <w:tcBorders>
              <w:top w:val="nil"/>
              <w:left w:val="single" w:sz="4" w:space="0" w:color="auto"/>
              <w:bottom w:val="single" w:sz="4" w:space="0" w:color="auto"/>
              <w:right w:val="single" w:sz="4" w:space="0" w:color="auto"/>
            </w:tcBorders>
            <w:shd w:val="clear" w:color="auto" w:fill="C6EFCE"/>
            <w:noWrap/>
          </w:tcPr>
          <w:p w14:paraId="3107B58F"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198</w:t>
            </w:r>
          </w:p>
        </w:tc>
        <w:tc>
          <w:tcPr>
            <w:tcW w:w="1417" w:type="dxa"/>
            <w:tcBorders>
              <w:top w:val="nil"/>
              <w:left w:val="nil"/>
              <w:bottom w:val="single" w:sz="4" w:space="0" w:color="auto"/>
              <w:right w:val="single" w:sz="4" w:space="0" w:color="auto"/>
            </w:tcBorders>
            <w:shd w:val="clear" w:color="auto" w:fill="C6EFCE"/>
            <w:noWrap/>
          </w:tcPr>
          <w:p w14:paraId="0FCCFA1B"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xml:space="preserve">A: Vzpostavitev enotne sistemske ureditve na področju dolgotrajne oskrbe </w:t>
            </w:r>
          </w:p>
        </w:tc>
        <w:tc>
          <w:tcPr>
            <w:tcW w:w="863" w:type="dxa"/>
            <w:tcBorders>
              <w:top w:val="nil"/>
              <w:left w:val="nil"/>
              <w:bottom w:val="single" w:sz="4" w:space="0" w:color="auto"/>
              <w:right w:val="single" w:sz="4" w:space="0" w:color="auto"/>
            </w:tcBorders>
            <w:shd w:val="clear" w:color="auto" w:fill="C6EFCE"/>
            <w:noWrap/>
          </w:tcPr>
          <w:p w14:paraId="45A39867"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Mejnik</w:t>
            </w:r>
          </w:p>
        </w:tc>
        <w:tc>
          <w:tcPr>
            <w:tcW w:w="1551" w:type="dxa"/>
            <w:tcBorders>
              <w:top w:val="nil"/>
              <w:left w:val="nil"/>
              <w:bottom w:val="single" w:sz="4" w:space="0" w:color="auto"/>
              <w:right w:val="single" w:sz="4" w:space="0" w:color="auto"/>
            </w:tcBorders>
            <w:shd w:val="clear" w:color="auto" w:fill="C6EFCE"/>
            <w:noWrap/>
          </w:tcPr>
          <w:p w14:paraId="301A82E8"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Začetek veljavnosti podzakonskih aktov Zakona o dolgotrajni oskrbi</w:t>
            </w:r>
          </w:p>
        </w:tc>
        <w:tc>
          <w:tcPr>
            <w:tcW w:w="1701" w:type="dxa"/>
            <w:tcBorders>
              <w:top w:val="nil"/>
              <w:left w:val="nil"/>
              <w:bottom w:val="single" w:sz="4" w:space="0" w:color="auto"/>
              <w:right w:val="single" w:sz="4" w:space="0" w:color="auto"/>
            </w:tcBorders>
            <w:shd w:val="clear" w:color="auto" w:fill="C6EFCE"/>
            <w:noWrap/>
          </w:tcPr>
          <w:p w14:paraId="041CCFCF"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Zakonodajna določba o začetku veljavnosti podzakonskih aktov Zakona o dolgotrajni oskrbi</w:t>
            </w:r>
          </w:p>
        </w:tc>
        <w:tc>
          <w:tcPr>
            <w:tcW w:w="992" w:type="dxa"/>
            <w:tcBorders>
              <w:top w:val="nil"/>
              <w:left w:val="nil"/>
              <w:bottom w:val="single" w:sz="4" w:space="0" w:color="auto"/>
              <w:right w:val="single" w:sz="4" w:space="0" w:color="auto"/>
            </w:tcBorders>
            <w:shd w:val="clear" w:color="auto" w:fill="C6EFCE"/>
            <w:noWrap/>
          </w:tcPr>
          <w:p w14:paraId="605CDD49"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w:t>
            </w:r>
          </w:p>
        </w:tc>
        <w:tc>
          <w:tcPr>
            <w:tcW w:w="919" w:type="dxa"/>
            <w:tcBorders>
              <w:top w:val="nil"/>
              <w:left w:val="nil"/>
              <w:bottom w:val="single" w:sz="4" w:space="0" w:color="auto"/>
              <w:right w:val="single" w:sz="4" w:space="0" w:color="auto"/>
            </w:tcBorders>
            <w:shd w:val="clear" w:color="auto" w:fill="C6EFCE"/>
            <w:noWrap/>
          </w:tcPr>
          <w:p w14:paraId="65A23659" w14:textId="77777777" w:rsidR="003C6015" w:rsidRPr="00DD6A04" w:rsidRDefault="003C6015" w:rsidP="00BE4788">
            <w:pPr>
              <w:spacing w:before="0" w:after="0" w:line="256" w:lineRule="auto"/>
              <w:jc w:val="right"/>
              <w:rPr>
                <w:rFonts w:eastAsia="Times New Roman"/>
                <w:noProof/>
                <w:color w:val="006100"/>
                <w:sz w:val="22"/>
              </w:rPr>
            </w:pPr>
            <w:r>
              <w:rPr>
                <w:noProof/>
                <w:color w:val="006100"/>
                <w:sz w:val="22"/>
              </w:rPr>
              <w:t> </w:t>
            </w:r>
          </w:p>
        </w:tc>
        <w:tc>
          <w:tcPr>
            <w:tcW w:w="709" w:type="dxa"/>
            <w:tcBorders>
              <w:top w:val="nil"/>
              <w:left w:val="nil"/>
              <w:bottom w:val="single" w:sz="4" w:space="0" w:color="auto"/>
              <w:right w:val="single" w:sz="4" w:space="0" w:color="auto"/>
            </w:tcBorders>
            <w:shd w:val="clear" w:color="auto" w:fill="C6EFCE"/>
            <w:noWrap/>
          </w:tcPr>
          <w:p w14:paraId="1B0BE5B3" w14:textId="77777777" w:rsidR="003C6015" w:rsidRPr="00DD6A04" w:rsidRDefault="003C6015" w:rsidP="00BE4788">
            <w:pPr>
              <w:spacing w:before="0" w:after="0" w:line="256" w:lineRule="auto"/>
              <w:jc w:val="right"/>
              <w:rPr>
                <w:rFonts w:eastAsia="Times New Roman"/>
                <w:noProof/>
                <w:color w:val="006100"/>
                <w:sz w:val="22"/>
              </w:rPr>
            </w:pPr>
            <w:r>
              <w:rPr>
                <w:noProof/>
                <w:color w:val="006100"/>
                <w:sz w:val="22"/>
              </w:rPr>
              <w:t> </w:t>
            </w:r>
          </w:p>
        </w:tc>
        <w:tc>
          <w:tcPr>
            <w:tcW w:w="850" w:type="dxa"/>
            <w:tcBorders>
              <w:top w:val="nil"/>
              <w:left w:val="nil"/>
              <w:bottom w:val="single" w:sz="4" w:space="0" w:color="auto"/>
              <w:right w:val="single" w:sz="4" w:space="0" w:color="auto"/>
            </w:tcBorders>
            <w:shd w:val="clear" w:color="auto" w:fill="C6EFCE"/>
            <w:noWrap/>
          </w:tcPr>
          <w:p w14:paraId="3277D70D" w14:textId="6B7B9322" w:rsidR="003C6015" w:rsidRPr="00DD6A04" w:rsidRDefault="003C6015" w:rsidP="00BE4788">
            <w:pPr>
              <w:spacing w:before="0" w:after="0" w:line="256" w:lineRule="auto"/>
              <w:jc w:val="center"/>
              <w:rPr>
                <w:rFonts w:eastAsia="Times New Roman"/>
                <w:noProof/>
                <w:color w:val="006100"/>
                <w:sz w:val="22"/>
              </w:rPr>
            </w:pPr>
            <w:r>
              <w:rPr>
                <w:noProof/>
                <w:color w:val="006100"/>
                <w:sz w:val="22"/>
              </w:rPr>
              <w:t>Q4</w:t>
            </w:r>
          </w:p>
        </w:tc>
        <w:tc>
          <w:tcPr>
            <w:tcW w:w="783" w:type="dxa"/>
            <w:tcBorders>
              <w:top w:val="nil"/>
              <w:left w:val="nil"/>
              <w:bottom w:val="single" w:sz="4" w:space="0" w:color="auto"/>
              <w:right w:val="single" w:sz="4" w:space="0" w:color="auto"/>
            </w:tcBorders>
            <w:shd w:val="clear" w:color="auto" w:fill="C6EFCE"/>
            <w:noWrap/>
          </w:tcPr>
          <w:p w14:paraId="3A81CB17" w14:textId="7EC87CEE" w:rsidR="003C6015" w:rsidRPr="00DD6A04" w:rsidRDefault="003C6015" w:rsidP="00BE4788">
            <w:pPr>
              <w:spacing w:before="0" w:after="0" w:line="256" w:lineRule="auto"/>
              <w:jc w:val="center"/>
              <w:rPr>
                <w:rFonts w:eastAsia="Times New Roman"/>
                <w:noProof/>
                <w:color w:val="006100"/>
                <w:sz w:val="22"/>
              </w:rPr>
            </w:pPr>
            <w:r>
              <w:rPr>
                <w:noProof/>
                <w:color w:val="006100"/>
                <w:sz w:val="22"/>
              </w:rPr>
              <w:t>2023</w:t>
            </w:r>
          </w:p>
        </w:tc>
        <w:tc>
          <w:tcPr>
            <w:tcW w:w="4344" w:type="dxa"/>
            <w:tcBorders>
              <w:top w:val="nil"/>
              <w:left w:val="nil"/>
              <w:bottom w:val="single" w:sz="4" w:space="0" w:color="auto"/>
              <w:right w:val="single" w:sz="4" w:space="0" w:color="auto"/>
            </w:tcBorders>
            <w:shd w:val="clear" w:color="auto" w:fill="C6EFCE"/>
            <w:noWrap/>
          </w:tcPr>
          <w:p w14:paraId="20590221" w14:textId="5C626B79" w:rsidR="003C6015" w:rsidRPr="00DD6A04" w:rsidRDefault="003C6015" w:rsidP="00BE4788">
            <w:pPr>
              <w:spacing w:before="0" w:after="0" w:line="256" w:lineRule="auto"/>
              <w:rPr>
                <w:rFonts w:eastAsia="Times New Roman"/>
                <w:noProof/>
                <w:color w:val="006100"/>
                <w:sz w:val="22"/>
              </w:rPr>
            </w:pPr>
            <w:r>
              <w:rPr>
                <w:noProof/>
                <w:color w:val="006100"/>
                <w:sz w:val="22"/>
              </w:rPr>
              <w:t>Podzakonski akti bodo določali pravila, ki urejajo izvajanje Zakona, zlasti minimalne tehnične in bivalne pogoje v ustanovah, kadrovske pogoje, norme in standarde v zvezi s številom in izobrazbo osebja, število izvajalcev neposredne dolgotrajne oskrbe glede na način zagotavljanja dolgotrajne oskrbe ter kazalnike za spremljanje kakovosti storitev na področju dolgotrajne oskrbe. Pravila bodo določala tudi ustrezno število uporabnikov, ki jih mora oskrbovati strokovno osebje.</w:t>
            </w:r>
          </w:p>
        </w:tc>
      </w:tr>
      <w:tr w:rsidR="003C6015" w:rsidRPr="00DD6A04" w14:paraId="63877FFF" w14:textId="77777777" w:rsidTr="00BE4788">
        <w:trPr>
          <w:trHeight w:val="309"/>
        </w:trPr>
        <w:tc>
          <w:tcPr>
            <w:tcW w:w="1261" w:type="dxa"/>
            <w:tcBorders>
              <w:top w:val="nil"/>
              <w:left w:val="single" w:sz="4" w:space="0" w:color="auto"/>
              <w:bottom w:val="single" w:sz="4" w:space="0" w:color="auto"/>
              <w:right w:val="single" w:sz="4" w:space="0" w:color="auto"/>
            </w:tcBorders>
            <w:shd w:val="clear" w:color="auto" w:fill="C6EFCE"/>
            <w:noWrap/>
          </w:tcPr>
          <w:p w14:paraId="234B211E"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200</w:t>
            </w:r>
          </w:p>
        </w:tc>
        <w:tc>
          <w:tcPr>
            <w:tcW w:w="1417" w:type="dxa"/>
            <w:tcBorders>
              <w:top w:val="nil"/>
              <w:left w:val="nil"/>
              <w:bottom w:val="single" w:sz="4" w:space="0" w:color="auto"/>
              <w:right w:val="single" w:sz="4" w:space="0" w:color="auto"/>
            </w:tcBorders>
            <w:shd w:val="clear" w:color="auto" w:fill="C6EFCE"/>
            <w:noWrap/>
          </w:tcPr>
          <w:p w14:paraId="1442464E"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xml:space="preserve">A: Vzpostavitev enotne sistemske ureditve na področju dolgotrajne oskrbe </w:t>
            </w:r>
          </w:p>
        </w:tc>
        <w:tc>
          <w:tcPr>
            <w:tcW w:w="863" w:type="dxa"/>
            <w:tcBorders>
              <w:top w:val="nil"/>
              <w:left w:val="nil"/>
              <w:bottom w:val="single" w:sz="4" w:space="0" w:color="auto"/>
              <w:right w:val="single" w:sz="4" w:space="0" w:color="auto"/>
            </w:tcBorders>
            <w:shd w:val="clear" w:color="auto" w:fill="C6EFCE"/>
            <w:noWrap/>
          </w:tcPr>
          <w:p w14:paraId="4D8FDFF9"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Mejnik</w:t>
            </w:r>
          </w:p>
        </w:tc>
        <w:tc>
          <w:tcPr>
            <w:tcW w:w="1551" w:type="dxa"/>
            <w:tcBorders>
              <w:top w:val="nil"/>
              <w:left w:val="nil"/>
              <w:bottom w:val="single" w:sz="4" w:space="0" w:color="auto"/>
              <w:right w:val="single" w:sz="4" w:space="0" w:color="auto"/>
            </w:tcBorders>
            <w:shd w:val="clear" w:color="auto" w:fill="C6EFCE"/>
            <w:noWrap/>
          </w:tcPr>
          <w:p w14:paraId="239031CB"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Celovita uporaba vseh pravic in storitev v okviru integriranega sistema dolgotrajne oskrbe</w:t>
            </w:r>
          </w:p>
        </w:tc>
        <w:tc>
          <w:tcPr>
            <w:tcW w:w="1701" w:type="dxa"/>
            <w:tcBorders>
              <w:top w:val="nil"/>
              <w:left w:val="nil"/>
              <w:bottom w:val="single" w:sz="4" w:space="0" w:color="auto"/>
              <w:right w:val="single" w:sz="4" w:space="0" w:color="auto"/>
            </w:tcBorders>
            <w:shd w:val="clear" w:color="auto" w:fill="C6EFCE"/>
            <w:noWrap/>
          </w:tcPr>
          <w:p w14:paraId="6DD30685"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Dokončano uvajanje vseh pravic in storitev v skladu z Zakonom o dolgotrajni oskrbi</w:t>
            </w:r>
          </w:p>
        </w:tc>
        <w:tc>
          <w:tcPr>
            <w:tcW w:w="992" w:type="dxa"/>
            <w:tcBorders>
              <w:top w:val="nil"/>
              <w:left w:val="nil"/>
              <w:bottom w:val="single" w:sz="4" w:space="0" w:color="auto"/>
              <w:right w:val="single" w:sz="4" w:space="0" w:color="auto"/>
            </w:tcBorders>
            <w:shd w:val="clear" w:color="auto" w:fill="C6EFCE"/>
            <w:noWrap/>
          </w:tcPr>
          <w:p w14:paraId="53AE0AFC"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 </w:t>
            </w:r>
          </w:p>
        </w:tc>
        <w:tc>
          <w:tcPr>
            <w:tcW w:w="919" w:type="dxa"/>
            <w:tcBorders>
              <w:top w:val="nil"/>
              <w:left w:val="nil"/>
              <w:bottom w:val="single" w:sz="4" w:space="0" w:color="auto"/>
              <w:right w:val="single" w:sz="4" w:space="0" w:color="auto"/>
            </w:tcBorders>
            <w:shd w:val="clear" w:color="auto" w:fill="C6EFCE"/>
            <w:noWrap/>
          </w:tcPr>
          <w:p w14:paraId="56E84A53" w14:textId="77777777" w:rsidR="003C6015" w:rsidRPr="00DD6A04" w:rsidRDefault="003C6015" w:rsidP="00BE4788">
            <w:pPr>
              <w:spacing w:before="0" w:after="0" w:line="256" w:lineRule="auto"/>
              <w:jc w:val="right"/>
              <w:rPr>
                <w:rFonts w:eastAsia="Times New Roman"/>
                <w:noProof/>
                <w:color w:val="006100"/>
                <w:sz w:val="22"/>
              </w:rPr>
            </w:pPr>
            <w:r>
              <w:rPr>
                <w:noProof/>
                <w:color w:val="006100"/>
                <w:sz w:val="22"/>
              </w:rPr>
              <w:t> </w:t>
            </w:r>
          </w:p>
        </w:tc>
        <w:tc>
          <w:tcPr>
            <w:tcW w:w="709" w:type="dxa"/>
            <w:tcBorders>
              <w:top w:val="nil"/>
              <w:left w:val="nil"/>
              <w:bottom w:val="single" w:sz="4" w:space="0" w:color="auto"/>
              <w:right w:val="single" w:sz="4" w:space="0" w:color="auto"/>
            </w:tcBorders>
            <w:shd w:val="clear" w:color="auto" w:fill="C6EFCE"/>
            <w:noWrap/>
          </w:tcPr>
          <w:p w14:paraId="287837C2" w14:textId="77777777" w:rsidR="003C6015" w:rsidRPr="00DD6A04" w:rsidRDefault="003C6015" w:rsidP="00BE4788">
            <w:pPr>
              <w:spacing w:before="0" w:after="0" w:line="256" w:lineRule="auto"/>
              <w:jc w:val="right"/>
              <w:rPr>
                <w:rFonts w:eastAsia="Times New Roman"/>
                <w:noProof/>
                <w:color w:val="006100"/>
                <w:sz w:val="22"/>
              </w:rPr>
            </w:pPr>
            <w:r>
              <w:rPr>
                <w:noProof/>
                <w:color w:val="006100"/>
                <w:sz w:val="22"/>
              </w:rPr>
              <w:t> </w:t>
            </w:r>
          </w:p>
        </w:tc>
        <w:tc>
          <w:tcPr>
            <w:tcW w:w="850" w:type="dxa"/>
            <w:tcBorders>
              <w:top w:val="nil"/>
              <w:left w:val="nil"/>
              <w:bottom w:val="single" w:sz="4" w:space="0" w:color="auto"/>
              <w:right w:val="single" w:sz="4" w:space="0" w:color="auto"/>
            </w:tcBorders>
            <w:shd w:val="clear" w:color="auto" w:fill="C6EFCE"/>
            <w:noWrap/>
          </w:tcPr>
          <w:p w14:paraId="26FFCCA5" w14:textId="77777777" w:rsidR="003C6015" w:rsidRPr="00DD6A04" w:rsidRDefault="003C6015" w:rsidP="00BE4788">
            <w:pPr>
              <w:spacing w:before="0" w:after="0" w:line="256" w:lineRule="auto"/>
              <w:jc w:val="center"/>
              <w:rPr>
                <w:rFonts w:eastAsia="Times New Roman"/>
                <w:noProof/>
                <w:color w:val="006100"/>
                <w:sz w:val="22"/>
              </w:rPr>
            </w:pPr>
            <w:r>
              <w:rPr>
                <w:noProof/>
                <w:color w:val="006100"/>
                <w:sz w:val="22"/>
              </w:rPr>
              <w:t>Q4</w:t>
            </w:r>
          </w:p>
        </w:tc>
        <w:tc>
          <w:tcPr>
            <w:tcW w:w="783" w:type="dxa"/>
            <w:tcBorders>
              <w:top w:val="nil"/>
              <w:left w:val="nil"/>
              <w:bottom w:val="single" w:sz="4" w:space="0" w:color="auto"/>
              <w:right w:val="single" w:sz="4" w:space="0" w:color="auto"/>
            </w:tcBorders>
            <w:shd w:val="clear" w:color="auto" w:fill="C6EFCE"/>
            <w:noWrap/>
          </w:tcPr>
          <w:p w14:paraId="3E5A8E23" w14:textId="77777777" w:rsidR="003C6015" w:rsidRPr="00DD6A04" w:rsidRDefault="003C6015" w:rsidP="00BE4788">
            <w:pPr>
              <w:spacing w:before="0" w:after="0" w:line="256" w:lineRule="auto"/>
              <w:jc w:val="center"/>
              <w:rPr>
                <w:rFonts w:eastAsia="Times New Roman"/>
                <w:noProof/>
                <w:color w:val="006100"/>
                <w:sz w:val="22"/>
              </w:rPr>
            </w:pPr>
            <w:r>
              <w:rPr>
                <w:noProof/>
                <w:color w:val="006100"/>
                <w:sz w:val="22"/>
              </w:rPr>
              <w:t>2025</w:t>
            </w:r>
          </w:p>
        </w:tc>
        <w:tc>
          <w:tcPr>
            <w:tcW w:w="4344" w:type="dxa"/>
            <w:tcBorders>
              <w:top w:val="nil"/>
              <w:left w:val="nil"/>
              <w:bottom w:val="single" w:sz="4" w:space="0" w:color="auto"/>
              <w:right w:val="single" w:sz="4" w:space="0" w:color="auto"/>
            </w:tcBorders>
            <w:shd w:val="clear" w:color="auto" w:fill="C6EFCE"/>
            <w:noWrap/>
          </w:tcPr>
          <w:p w14:paraId="330BB766" w14:textId="77777777" w:rsidR="003C6015" w:rsidRPr="00DD6A04" w:rsidRDefault="003C6015" w:rsidP="00BE4788">
            <w:pPr>
              <w:spacing w:before="0" w:after="0" w:line="256" w:lineRule="auto"/>
              <w:rPr>
                <w:rFonts w:eastAsia="Times New Roman"/>
                <w:noProof/>
                <w:color w:val="006100"/>
                <w:sz w:val="22"/>
              </w:rPr>
            </w:pPr>
            <w:r>
              <w:rPr>
                <w:noProof/>
                <w:color w:val="006100"/>
                <w:sz w:val="22"/>
              </w:rPr>
              <w:t>Vse osebe, ki potrebujejo dolgotrajno oskrbo, bodo upravičene do vseh pravic in storitev v skladu z Zakonom o dolgotrajni oskrbi, zlasti do dostopa do celovitega zdravljenja na domu, pravice do skrbnika za družinskega člana in pravice do denarnih dajatev. Upravičenih naj bi bilo najmanj 69 000 oseb.</w:t>
            </w:r>
          </w:p>
        </w:tc>
      </w:tr>
    </w:tbl>
    <w:p w14:paraId="2E70F3E6" w14:textId="506A0EAD" w:rsidR="003C6015" w:rsidRPr="00DD6A04" w:rsidRDefault="00BE4788" w:rsidP="003C6015">
      <w:pPr>
        <w:spacing w:before="0" w:after="0" w:line="240" w:lineRule="auto"/>
        <w:rPr>
          <w:noProof/>
          <w:lang w:val="en-GB"/>
        </w:rPr>
        <w:sectPr w:rsidR="003C6015" w:rsidRPr="00DD6A04" w:rsidSect="00073927">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20"/>
          <w:docGrid w:linePitch="326"/>
        </w:sectPr>
      </w:pPr>
      <w:r>
        <w:rPr>
          <w:noProof/>
          <w:lang w:val="en-GB"/>
        </w:rPr>
        <w:br w:type="textWrapping" w:clear="all"/>
      </w:r>
    </w:p>
    <w:p w14:paraId="3E498822" w14:textId="77777777" w:rsidR="003C6015" w:rsidRPr="00DD6A04" w:rsidRDefault="003C6015" w:rsidP="003C6015">
      <w:pPr>
        <w:spacing w:line="240" w:lineRule="auto"/>
        <w:jc w:val="both"/>
        <w:rPr>
          <w:b/>
          <w:i/>
          <w:noProof/>
          <w:color w:val="4F81BD"/>
          <w:u w:val="single"/>
        </w:rPr>
      </w:pPr>
      <w:r>
        <w:rPr>
          <w:b/>
          <w:noProof/>
          <w:u w:val="single"/>
        </w:rPr>
        <w:t xml:space="preserve">O.3 </w:t>
      </w:r>
      <w:r>
        <w:rPr>
          <w:b/>
          <w:noProof/>
          <w:u w:val="single"/>
        </w:rPr>
        <w:tab/>
        <w:t xml:space="preserve">Opis reform in naložb za pridobitev posojila </w:t>
      </w:r>
    </w:p>
    <w:p w14:paraId="25F8686E" w14:textId="77777777" w:rsidR="003C6015" w:rsidRPr="00DD6A04" w:rsidRDefault="003C6015" w:rsidP="003C6015">
      <w:pPr>
        <w:spacing w:line="240" w:lineRule="auto"/>
        <w:jc w:val="both"/>
        <w:rPr>
          <w:noProof/>
          <w:u w:val="single"/>
        </w:rPr>
      </w:pPr>
      <w:r>
        <w:rPr>
          <w:noProof/>
          <w:u w:val="single"/>
        </w:rPr>
        <w:t>Investicija C. Zagotovitev varnega okolja bivanja za osebe, ki so odvisne od pomoči drugih</w:t>
      </w:r>
    </w:p>
    <w:p w14:paraId="45CB02E7" w14:textId="77777777" w:rsidR="003C6015" w:rsidRPr="00DD6A04" w:rsidRDefault="003C6015" w:rsidP="003C6015">
      <w:pPr>
        <w:spacing w:line="240" w:lineRule="auto"/>
        <w:jc w:val="both"/>
        <w:rPr>
          <w:noProof/>
        </w:rPr>
      </w:pPr>
      <w:r>
        <w:rPr>
          <w:noProof/>
        </w:rPr>
        <w:t xml:space="preserve">Cilj investicije je zagotoviti ustrezna stanovanja za obravnavanje pričakovanega povečanja povpraševanja po institucionalni oskrbi zaradi staranja družbe. </w:t>
      </w:r>
    </w:p>
    <w:p w14:paraId="183B2193" w14:textId="46C1E7D5" w:rsidR="003C6015" w:rsidRPr="00DD6A04" w:rsidRDefault="35369403" w:rsidP="003C6015">
      <w:pPr>
        <w:spacing w:line="240" w:lineRule="auto"/>
        <w:jc w:val="both"/>
        <w:rPr>
          <w:noProof/>
        </w:rPr>
      </w:pPr>
      <w:r>
        <w:rPr>
          <w:noProof/>
        </w:rPr>
        <w:t>Z investicijo bo zgrajena nova infrastruktura za vsaj 539 mest, in sicer v obliki manjših samostojnih bivalnih enot, ki bodo namenjene uporabnikom dolgotrajnega oskrbe, ki potrebujejo osnovno, socialno in zdravstveno oskrbo. Investicija bo osredotočena na zagotavljanje ustreznih prostorskih pogojev za izvajanje skupnostnih storitev in programov, da se omogoči neodvisno življenje in prepreči socialna izključenost uporabnikov, zagotovi učinkovito obvladovanje tveganj, povezanih z nalezljivimi boleznimi, ter zagotovi kakovostno in varno obravnavo oseb, ki so zelo odvisne od pomoči drugih.</w:t>
      </w:r>
    </w:p>
    <w:p w14:paraId="2F83CD16" w14:textId="77777777" w:rsidR="003C6015" w:rsidRPr="00DD6A04" w:rsidRDefault="003C6015" w:rsidP="003C6015">
      <w:pPr>
        <w:spacing w:line="240" w:lineRule="auto"/>
        <w:jc w:val="both"/>
        <w:rPr>
          <w:noProof/>
        </w:rPr>
      </w:pPr>
      <w:r>
        <w:rPr>
          <w:noProof/>
        </w:rPr>
        <w:t>Investicija bo dokončana do 30. junija 2026.</w:t>
      </w:r>
    </w:p>
    <w:p w14:paraId="6E5F7FCF" w14:textId="77777777" w:rsidR="003C6015" w:rsidRPr="00DD6A04" w:rsidRDefault="003C6015" w:rsidP="003C6015">
      <w:pPr>
        <w:spacing w:line="240" w:lineRule="auto"/>
        <w:ind w:left="850"/>
        <w:jc w:val="both"/>
        <w:rPr>
          <w:noProof/>
        </w:rPr>
      </w:pPr>
      <w:r>
        <w:rPr>
          <w:noProof/>
        </w:rPr>
        <w:t xml:space="preserve"> </w:t>
      </w:r>
    </w:p>
    <w:p w14:paraId="60B71897" w14:textId="77777777" w:rsidR="003C6015" w:rsidRPr="00DD6A04" w:rsidRDefault="003C6015" w:rsidP="003C6015">
      <w:pPr>
        <w:spacing w:line="240" w:lineRule="auto"/>
        <w:ind w:left="850"/>
        <w:jc w:val="both"/>
        <w:rPr>
          <w:noProof/>
          <w:lang w:val="en-GB"/>
        </w:rPr>
      </w:pPr>
    </w:p>
    <w:p w14:paraId="6B374460" w14:textId="77777777" w:rsidR="003C6015" w:rsidRPr="00DD6A04" w:rsidRDefault="003C6015" w:rsidP="003C6015">
      <w:pPr>
        <w:spacing w:line="240" w:lineRule="auto"/>
        <w:ind w:left="850"/>
        <w:jc w:val="both"/>
        <w:rPr>
          <w:i/>
          <w:noProof/>
          <w:lang w:val="en-GB"/>
        </w:rPr>
        <w:sectPr w:rsidR="003C6015" w:rsidRPr="00DD6A04" w:rsidSect="00073927">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20"/>
          <w:docGrid w:linePitch="326"/>
        </w:sectPr>
      </w:pPr>
    </w:p>
    <w:p w14:paraId="3A5062FB" w14:textId="77777777" w:rsidR="003C6015" w:rsidRPr="00DD6A04" w:rsidRDefault="003C6015" w:rsidP="003C6015">
      <w:pPr>
        <w:spacing w:line="240" w:lineRule="auto"/>
        <w:ind w:left="850"/>
        <w:jc w:val="both"/>
        <w:rPr>
          <w:b/>
          <w:noProof/>
          <w:u w:val="single"/>
        </w:rPr>
      </w:pPr>
      <w:r>
        <w:rPr>
          <w:b/>
          <w:noProof/>
          <w:u w:val="single"/>
        </w:rPr>
        <w:t xml:space="preserve">O.4 </w:t>
      </w:r>
      <w:r>
        <w:rPr>
          <w:b/>
          <w:noProof/>
          <w:u w:val="single"/>
        </w:rPr>
        <w:tab/>
        <w:t xml:space="preserve">Mejniki, cilji, kazalniki in časovni razpored za spremljanje in izvajanje posojila </w:t>
      </w:r>
    </w:p>
    <w:p w14:paraId="38F1F8AC" w14:textId="77777777" w:rsidR="003C6015" w:rsidRPr="00DD6A04" w:rsidRDefault="003C6015" w:rsidP="003C6015">
      <w:pPr>
        <w:spacing w:line="240" w:lineRule="auto"/>
        <w:ind w:left="850"/>
        <w:jc w:val="both"/>
        <w:rPr>
          <w:b/>
          <w:noProof/>
          <w:u w:val="single"/>
          <w:lang w:val="en-GB"/>
        </w:rPr>
      </w:pPr>
    </w:p>
    <w:tbl>
      <w:tblPr>
        <w:tblW w:w="15390" w:type="dxa"/>
        <w:jc w:val="center"/>
        <w:tblLayout w:type="fixed"/>
        <w:tblCellMar>
          <w:left w:w="57" w:type="dxa"/>
          <w:right w:w="57" w:type="dxa"/>
        </w:tblCellMar>
        <w:tblLook w:val="04A0" w:firstRow="1" w:lastRow="0" w:firstColumn="1" w:lastColumn="0" w:noHBand="0" w:noVBand="1"/>
      </w:tblPr>
      <w:tblGrid>
        <w:gridCol w:w="1261"/>
        <w:gridCol w:w="1276"/>
        <w:gridCol w:w="850"/>
        <w:gridCol w:w="1529"/>
        <w:gridCol w:w="1579"/>
        <w:gridCol w:w="1091"/>
        <w:gridCol w:w="955"/>
        <w:gridCol w:w="983"/>
        <w:gridCol w:w="809"/>
        <w:gridCol w:w="830"/>
        <w:gridCol w:w="4227"/>
      </w:tblGrid>
      <w:tr w:rsidR="003D7F05" w:rsidRPr="00DD6A04" w14:paraId="06239E1A" w14:textId="77777777" w:rsidTr="00BE4788">
        <w:trPr>
          <w:trHeight w:val="927"/>
          <w:jc w:val="center"/>
        </w:trPr>
        <w:tc>
          <w:tcPr>
            <w:tcW w:w="12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DDAEE2" w14:textId="77777777" w:rsidR="003C6015" w:rsidRPr="00DD6A04" w:rsidRDefault="003C6015" w:rsidP="003C6015">
            <w:pPr>
              <w:spacing w:before="0" w:after="0" w:line="256" w:lineRule="auto"/>
              <w:jc w:val="center"/>
              <w:rPr>
                <w:rFonts w:eastAsia="Times New Roman"/>
                <w:b/>
                <w:noProof/>
                <w:sz w:val="22"/>
              </w:rPr>
            </w:pPr>
            <w:r>
              <w:rPr>
                <w:b/>
                <w:noProof/>
                <w:sz w:val="22"/>
              </w:rPr>
              <w:t>Zaporedna številka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8AEA1F" w14:textId="77777777" w:rsidR="003C6015" w:rsidRPr="00DD6A04" w:rsidRDefault="003C6015" w:rsidP="003C6015">
            <w:pPr>
              <w:spacing w:before="0" w:after="0" w:line="256" w:lineRule="auto"/>
              <w:jc w:val="center"/>
              <w:rPr>
                <w:rFonts w:eastAsia="Times New Roman"/>
                <w:b/>
                <w:noProof/>
                <w:sz w:val="22"/>
              </w:rPr>
            </w:pPr>
            <w:r>
              <w:rPr>
                <w:b/>
                <w:noProof/>
                <w:sz w:val="22"/>
              </w:rPr>
              <w:t>Povezani ukrep (reforma ali naložba)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446ED2" w14:textId="77777777" w:rsidR="003C6015" w:rsidRPr="00DD6A04" w:rsidRDefault="003C6015" w:rsidP="003C6015">
            <w:pPr>
              <w:spacing w:before="0" w:after="0" w:line="256" w:lineRule="auto"/>
              <w:jc w:val="center"/>
              <w:rPr>
                <w:rFonts w:eastAsia="Times New Roman"/>
                <w:b/>
                <w:noProof/>
                <w:sz w:val="22"/>
              </w:rPr>
            </w:pPr>
            <w:r>
              <w:rPr>
                <w:b/>
                <w:noProof/>
                <w:sz w:val="22"/>
              </w:rPr>
              <w:t>Mejnik/cilj</w:t>
            </w:r>
          </w:p>
        </w:tc>
        <w:tc>
          <w:tcPr>
            <w:tcW w:w="1529" w:type="dxa"/>
            <w:vMerge w:val="restart"/>
            <w:tcBorders>
              <w:top w:val="single" w:sz="4" w:space="0" w:color="auto"/>
              <w:left w:val="nil"/>
              <w:bottom w:val="single" w:sz="4" w:space="0" w:color="auto"/>
              <w:right w:val="single" w:sz="4" w:space="0" w:color="auto"/>
            </w:tcBorders>
            <w:shd w:val="clear" w:color="auto" w:fill="BDD7EE"/>
            <w:vAlign w:val="center"/>
            <w:hideMark/>
          </w:tcPr>
          <w:p w14:paraId="4C5C33AC" w14:textId="77777777" w:rsidR="003C6015" w:rsidRPr="00DD6A04" w:rsidRDefault="003C6015" w:rsidP="003C6015">
            <w:pPr>
              <w:spacing w:before="0" w:after="0" w:line="256" w:lineRule="auto"/>
              <w:jc w:val="center"/>
              <w:rPr>
                <w:rFonts w:eastAsia="Times New Roman"/>
                <w:b/>
                <w:noProof/>
                <w:sz w:val="22"/>
              </w:rPr>
            </w:pPr>
            <w:r>
              <w:rPr>
                <w:b/>
                <w:noProof/>
                <w:sz w:val="22"/>
              </w:rPr>
              <w:t>Ime</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372EF8" w14:textId="77777777" w:rsidR="003C6015" w:rsidRPr="00DD6A04" w:rsidRDefault="003C6015" w:rsidP="003C6015">
            <w:pPr>
              <w:spacing w:before="0" w:after="0" w:line="256" w:lineRule="auto"/>
              <w:jc w:val="center"/>
              <w:rPr>
                <w:rFonts w:eastAsia="Times New Roman"/>
                <w:b/>
                <w:noProof/>
                <w:sz w:val="22"/>
              </w:rPr>
            </w:pPr>
            <w:r>
              <w:rPr>
                <w:b/>
                <w:noProof/>
                <w:sz w:val="22"/>
              </w:rPr>
              <w:t>Kvalitativni kazalniki (za mejnike)</w:t>
            </w:r>
          </w:p>
        </w:tc>
        <w:tc>
          <w:tcPr>
            <w:tcW w:w="3029" w:type="dxa"/>
            <w:gridSpan w:val="3"/>
            <w:tcBorders>
              <w:top w:val="single" w:sz="4" w:space="0" w:color="auto"/>
              <w:left w:val="nil"/>
              <w:bottom w:val="single" w:sz="4" w:space="0" w:color="auto"/>
              <w:right w:val="single" w:sz="4" w:space="0" w:color="auto"/>
            </w:tcBorders>
            <w:shd w:val="clear" w:color="auto" w:fill="BDD7EE"/>
            <w:vAlign w:val="center"/>
            <w:hideMark/>
          </w:tcPr>
          <w:p w14:paraId="48119FA2" w14:textId="77777777" w:rsidR="003C6015" w:rsidRPr="00DD6A04" w:rsidRDefault="003C6015" w:rsidP="003C6015">
            <w:pPr>
              <w:spacing w:before="0" w:after="0" w:line="256" w:lineRule="auto"/>
              <w:jc w:val="center"/>
              <w:rPr>
                <w:rFonts w:eastAsia="Times New Roman"/>
                <w:b/>
                <w:noProof/>
                <w:sz w:val="22"/>
              </w:rPr>
            </w:pPr>
            <w:r>
              <w:rPr>
                <w:b/>
                <w:noProof/>
                <w:sz w:val="22"/>
              </w:rPr>
              <w:t>Kvantitativni kazalniki (za cilje)</w:t>
            </w:r>
          </w:p>
        </w:tc>
        <w:tc>
          <w:tcPr>
            <w:tcW w:w="1639" w:type="dxa"/>
            <w:gridSpan w:val="2"/>
            <w:tcBorders>
              <w:top w:val="single" w:sz="4" w:space="0" w:color="auto"/>
              <w:left w:val="nil"/>
              <w:bottom w:val="single" w:sz="4" w:space="0" w:color="auto"/>
              <w:right w:val="single" w:sz="4" w:space="0" w:color="auto"/>
            </w:tcBorders>
            <w:shd w:val="clear" w:color="auto" w:fill="BDD7EE"/>
            <w:vAlign w:val="center"/>
            <w:hideMark/>
          </w:tcPr>
          <w:p w14:paraId="6725E4E3"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Okvirni časovni razpored za dokončanje </w:t>
            </w:r>
          </w:p>
        </w:tc>
        <w:tc>
          <w:tcPr>
            <w:tcW w:w="42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CACCE8" w14:textId="77777777" w:rsidR="003C6015" w:rsidRPr="00DD6A04" w:rsidRDefault="003C6015" w:rsidP="003C6015">
            <w:pPr>
              <w:spacing w:before="0" w:after="0" w:line="256" w:lineRule="auto"/>
              <w:jc w:val="center"/>
              <w:rPr>
                <w:rFonts w:eastAsia="Times New Roman"/>
                <w:b/>
                <w:noProof/>
                <w:sz w:val="22"/>
              </w:rPr>
            </w:pPr>
            <w:r>
              <w:rPr>
                <w:b/>
                <w:noProof/>
                <w:sz w:val="22"/>
              </w:rPr>
              <w:t>Opis vsakega mejnika in cilja</w:t>
            </w:r>
          </w:p>
        </w:tc>
      </w:tr>
      <w:tr w:rsidR="004C3BDA" w:rsidRPr="00DD6A04" w14:paraId="7D91BC88" w14:textId="77777777" w:rsidTr="00BE4788">
        <w:trPr>
          <w:trHeight w:val="1013"/>
          <w:jc w:val="center"/>
        </w:trPr>
        <w:tc>
          <w:tcPr>
            <w:tcW w:w="1261" w:type="dxa"/>
            <w:vMerge/>
            <w:tcBorders>
              <w:top w:val="single" w:sz="4" w:space="0" w:color="auto"/>
              <w:left w:val="single" w:sz="4" w:space="0" w:color="auto"/>
              <w:bottom w:val="single" w:sz="4" w:space="0" w:color="auto"/>
              <w:right w:val="single" w:sz="4" w:space="0" w:color="auto"/>
            </w:tcBorders>
            <w:vAlign w:val="center"/>
            <w:hideMark/>
          </w:tcPr>
          <w:p w14:paraId="1F74F94E" w14:textId="77777777" w:rsidR="003C6015" w:rsidRPr="00DD6A04" w:rsidRDefault="003C6015" w:rsidP="003C6015">
            <w:pPr>
              <w:spacing w:before="0" w:after="0" w:line="256" w:lineRule="auto"/>
              <w:rPr>
                <w:rFonts w:eastAsia="Times New Roman"/>
                <w:b/>
                <w:noProof/>
                <w:sz w:val="22"/>
                <w:lang w:val="en-GB"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8CDF1B" w14:textId="77777777" w:rsidR="003C6015" w:rsidRPr="00DD6A04" w:rsidRDefault="003C6015" w:rsidP="003C6015">
            <w:pPr>
              <w:spacing w:before="0" w:after="0" w:line="256" w:lineRule="auto"/>
              <w:rPr>
                <w:rFonts w:eastAsia="Times New Roman"/>
                <w:b/>
                <w:noProof/>
                <w:sz w:val="22"/>
                <w:lang w:val="en-GB" w:eastAsia="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57EA5E" w14:textId="77777777" w:rsidR="003C6015" w:rsidRPr="00DD6A04" w:rsidRDefault="003C6015" w:rsidP="003C6015">
            <w:pPr>
              <w:spacing w:before="0" w:after="0" w:line="256" w:lineRule="auto"/>
              <w:rPr>
                <w:rFonts w:eastAsia="Times New Roman"/>
                <w:b/>
                <w:noProof/>
                <w:sz w:val="22"/>
                <w:lang w:val="en-GB" w:eastAsia="en-GB"/>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0FC71701" w14:textId="77777777" w:rsidR="003C6015" w:rsidRPr="00DD6A04" w:rsidRDefault="003C6015" w:rsidP="003C6015">
            <w:pPr>
              <w:spacing w:before="0" w:after="0" w:line="256" w:lineRule="auto"/>
              <w:rPr>
                <w:rFonts w:eastAsia="Times New Roman"/>
                <w:b/>
                <w:noProof/>
                <w:sz w:val="22"/>
                <w:lang w:val="en-GB" w:eastAsia="en-GB"/>
              </w:rPr>
            </w:pPr>
          </w:p>
        </w:tc>
        <w:tc>
          <w:tcPr>
            <w:tcW w:w="1579" w:type="dxa"/>
            <w:vMerge/>
            <w:tcBorders>
              <w:top w:val="single" w:sz="4" w:space="0" w:color="auto"/>
              <w:left w:val="single" w:sz="4" w:space="0" w:color="auto"/>
              <w:bottom w:val="single" w:sz="4" w:space="0" w:color="auto"/>
            </w:tcBorders>
            <w:vAlign w:val="center"/>
            <w:hideMark/>
          </w:tcPr>
          <w:p w14:paraId="63CA48B1" w14:textId="77777777" w:rsidR="003C6015" w:rsidRPr="00DD6A04" w:rsidRDefault="003C6015" w:rsidP="003C6015">
            <w:pPr>
              <w:spacing w:before="0" w:after="0" w:line="256" w:lineRule="auto"/>
              <w:rPr>
                <w:rFonts w:eastAsia="Times New Roman"/>
                <w:b/>
                <w:noProof/>
                <w:sz w:val="22"/>
                <w:lang w:val="en-GB" w:eastAsia="en-GB"/>
              </w:rPr>
            </w:pPr>
          </w:p>
        </w:tc>
        <w:tc>
          <w:tcPr>
            <w:tcW w:w="109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253AB81" w14:textId="77777777" w:rsidR="003C6015" w:rsidRPr="00DD6A04" w:rsidRDefault="003C6015" w:rsidP="003C6015">
            <w:pPr>
              <w:spacing w:before="0" w:after="0" w:line="256" w:lineRule="auto"/>
              <w:jc w:val="center"/>
              <w:rPr>
                <w:rFonts w:eastAsia="Times New Roman"/>
                <w:b/>
                <w:noProof/>
                <w:sz w:val="22"/>
              </w:rPr>
            </w:pPr>
            <w:r>
              <w:rPr>
                <w:b/>
                <w:noProof/>
                <w:sz w:val="22"/>
              </w:rPr>
              <w:t>Enota merjenja</w:t>
            </w:r>
          </w:p>
        </w:tc>
        <w:tc>
          <w:tcPr>
            <w:tcW w:w="95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E761B5"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Izhodiščna raven </w:t>
            </w:r>
          </w:p>
        </w:tc>
        <w:tc>
          <w:tcPr>
            <w:tcW w:w="98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D9C4188"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Ciljna raven </w:t>
            </w:r>
          </w:p>
        </w:tc>
        <w:tc>
          <w:tcPr>
            <w:tcW w:w="8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E8AE401" w14:textId="77777777" w:rsidR="003C6015" w:rsidRPr="00DD6A04" w:rsidRDefault="003C6015" w:rsidP="003C6015">
            <w:pPr>
              <w:spacing w:before="0" w:after="0" w:line="256" w:lineRule="auto"/>
              <w:jc w:val="center"/>
              <w:rPr>
                <w:rFonts w:eastAsia="Times New Roman"/>
                <w:b/>
                <w:noProof/>
                <w:sz w:val="22"/>
              </w:rPr>
            </w:pPr>
            <w:r>
              <w:rPr>
                <w:b/>
                <w:noProof/>
                <w:sz w:val="22"/>
              </w:rPr>
              <w:t>Četrtletje</w:t>
            </w:r>
          </w:p>
        </w:tc>
        <w:tc>
          <w:tcPr>
            <w:tcW w:w="83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15A0641" w14:textId="77777777" w:rsidR="003C6015" w:rsidRPr="00DD6A04" w:rsidRDefault="003C6015" w:rsidP="003C6015">
            <w:pPr>
              <w:spacing w:before="0" w:after="0" w:line="256" w:lineRule="auto"/>
              <w:jc w:val="center"/>
              <w:rPr>
                <w:rFonts w:eastAsia="Times New Roman"/>
                <w:b/>
                <w:noProof/>
                <w:sz w:val="22"/>
              </w:rPr>
            </w:pPr>
            <w:r>
              <w:rPr>
                <w:b/>
                <w:noProof/>
                <w:sz w:val="22"/>
              </w:rPr>
              <w:t>Leto</w:t>
            </w:r>
          </w:p>
        </w:tc>
        <w:tc>
          <w:tcPr>
            <w:tcW w:w="4227" w:type="dxa"/>
            <w:vMerge/>
            <w:tcBorders>
              <w:bottom w:val="single" w:sz="4" w:space="0" w:color="auto"/>
              <w:right w:val="single" w:sz="4" w:space="0" w:color="auto"/>
            </w:tcBorders>
            <w:vAlign w:val="center"/>
            <w:hideMark/>
          </w:tcPr>
          <w:p w14:paraId="65AECA3F" w14:textId="77777777" w:rsidR="003C6015" w:rsidRPr="00DD6A04" w:rsidRDefault="003C6015" w:rsidP="003C6015">
            <w:pPr>
              <w:spacing w:before="0" w:after="0" w:line="256" w:lineRule="auto"/>
              <w:rPr>
                <w:rFonts w:eastAsia="Times New Roman"/>
                <w:b/>
                <w:noProof/>
                <w:sz w:val="22"/>
                <w:lang w:val="en-GB" w:eastAsia="en-GB"/>
              </w:rPr>
            </w:pPr>
          </w:p>
        </w:tc>
      </w:tr>
      <w:tr w:rsidR="004C3BDA" w:rsidRPr="00DD6A04" w14:paraId="1A53A434" w14:textId="77777777" w:rsidTr="00BE4788">
        <w:trPr>
          <w:trHeight w:val="309"/>
          <w:jc w:val="center"/>
        </w:trPr>
        <w:tc>
          <w:tcPr>
            <w:tcW w:w="1261" w:type="dxa"/>
            <w:tcBorders>
              <w:top w:val="single" w:sz="4" w:space="0" w:color="auto"/>
              <w:left w:val="single" w:sz="4" w:space="0" w:color="auto"/>
              <w:bottom w:val="single" w:sz="4" w:space="0" w:color="auto"/>
              <w:right w:val="single" w:sz="4" w:space="0" w:color="auto"/>
            </w:tcBorders>
            <w:shd w:val="clear" w:color="auto" w:fill="C6EFCE"/>
            <w:noWrap/>
          </w:tcPr>
          <w:p w14:paraId="5AFAB1F4"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203</w:t>
            </w:r>
          </w:p>
        </w:tc>
        <w:tc>
          <w:tcPr>
            <w:tcW w:w="1276" w:type="dxa"/>
            <w:tcBorders>
              <w:top w:val="single" w:sz="4" w:space="0" w:color="auto"/>
              <w:left w:val="nil"/>
              <w:bottom w:val="single" w:sz="4" w:space="0" w:color="auto"/>
              <w:right w:val="single" w:sz="4" w:space="0" w:color="auto"/>
            </w:tcBorders>
            <w:shd w:val="clear" w:color="auto" w:fill="C6EFCE"/>
            <w:noWrap/>
          </w:tcPr>
          <w:p w14:paraId="5E89C3E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Zagotovitev varnega okolja bivanja za osebe, ki so odvisne od pomoči drugih</w:t>
            </w:r>
          </w:p>
        </w:tc>
        <w:tc>
          <w:tcPr>
            <w:tcW w:w="850" w:type="dxa"/>
            <w:tcBorders>
              <w:top w:val="single" w:sz="4" w:space="0" w:color="auto"/>
              <w:left w:val="nil"/>
              <w:bottom w:val="single" w:sz="4" w:space="0" w:color="auto"/>
              <w:right w:val="single" w:sz="4" w:space="0" w:color="auto"/>
            </w:tcBorders>
            <w:shd w:val="clear" w:color="auto" w:fill="C6EFCE"/>
            <w:noWrap/>
          </w:tcPr>
          <w:p w14:paraId="662DE5E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529" w:type="dxa"/>
            <w:tcBorders>
              <w:top w:val="single" w:sz="4" w:space="0" w:color="auto"/>
              <w:left w:val="nil"/>
              <w:bottom w:val="single" w:sz="4" w:space="0" w:color="auto"/>
              <w:right w:val="single" w:sz="4" w:space="0" w:color="auto"/>
            </w:tcBorders>
            <w:shd w:val="clear" w:color="auto" w:fill="C6EFCE"/>
            <w:noWrap/>
          </w:tcPr>
          <w:p w14:paraId="09D9154D" w14:textId="17E7BF48" w:rsidR="003C6015" w:rsidRPr="00DD6A04" w:rsidRDefault="003C6015" w:rsidP="003C6015">
            <w:pPr>
              <w:spacing w:before="0" w:after="0" w:line="256" w:lineRule="auto"/>
              <w:rPr>
                <w:rFonts w:eastAsia="Times New Roman"/>
                <w:noProof/>
                <w:color w:val="006100"/>
                <w:sz w:val="22"/>
              </w:rPr>
            </w:pPr>
            <w:r>
              <w:rPr>
                <w:noProof/>
                <w:color w:val="006100"/>
                <w:sz w:val="22"/>
              </w:rPr>
              <w:t>Dodelitev sredstev za gradnjo novih ustanov za institucionalno varstvo</w:t>
            </w:r>
          </w:p>
        </w:tc>
        <w:tc>
          <w:tcPr>
            <w:tcW w:w="1579" w:type="dxa"/>
            <w:tcBorders>
              <w:top w:val="single" w:sz="4" w:space="0" w:color="auto"/>
              <w:left w:val="nil"/>
              <w:bottom w:val="single" w:sz="4" w:space="0" w:color="auto"/>
              <w:right w:val="single" w:sz="4" w:space="0" w:color="auto"/>
            </w:tcBorders>
            <w:shd w:val="clear" w:color="auto" w:fill="C6EFCE"/>
            <w:noWrap/>
          </w:tcPr>
          <w:p w14:paraId="6812EAA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Objava rezultatov razpisa</w:t>
            </w:r>
          </w:p>
        </w:tc>
        <w:tc>
          <w:tcPr>
            <w:tcW w:w="1091" w:type="dxa"/>
            <w:tcBorders>
              <w:top w:val="single" w:sz="4" w:space="0" w:color="auto"/>
              <w:left w:val="nil"/>
              <w:bottom w:val="single" w:sz="4" w:space="0" w:color="auto"/>
              <w:right w:val="single" w:sz="4" w:space="0" w:color="auto"/>
            </w:tcBorders>
            <w:shd w:val="clear" w:color="auto" w:fill="C6EFCE"/>
            <w:noWrap/>
          </w:tcPr>
          <w:p w14:paraId="38C13E5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955" w:type="dxa"/>
            <w:tcBorders>
              <w:top w:val="single" w:sz="4" w:space="0" w:color="auto"/>
              <w:left w:val="nil"/>
              <w:bottom w:val="single" w:sz="4" w:space="0" w:color="auto"/>
              <w:right w:val="single" w:sz="4" w:space="0" w:color="auto"/>
            </w:tcBorders>
            <w:shd w:val="clear" w:color="auto" w:fill="C6EFCE"/>
            <w:noWrap/>
          </w:tcPr>
          <w:p w14:paraId="68828858"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983" w:type="dxa"/>
            <w:tcBorders>
              <w:top w:val="single" w:sz="4" w:space="0" w:color="auto"/>
              <w:left w:val="nil"/>
              <w:bottom w:val="single" w:sz="4" w:space="0" w:color="auto"/>
              <w:right w:val="single" w:sz="4" w:space="0" w:color="auto"/>
            </w:tcBorders>
            <w:shd w:val="clear" w:color="auto" w:fill="C6EFCE"/>
            <w:noWrap/>
          </w:tcPr>
          <w:p w14:paraId="72B57CE5"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809" w:type="dxa"/>
            <w:tcBorders>
              <w:top w:val="single" w:sz="4" w:space="0" w:color="auto"/>
              <w:left w:val="nil"/>
              <w:bottom w:val="single" w:sz="4" w:space="0" w:color="auto"/>
              <w:right w:val="single" w:sz="4" w:space="0" w:color="auto"/>
            </w:tcBorders>
            <w:shd w:val="clear" w:color="auto" w:fill="C6EFCE"/>
            <w:noWrap/>
          </w:tcPr>
          <w:p w14:paraId="378550BB"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30" w:type="dxa"/>
            <w:tcBorders>
              <w:top w:val="single" w:sz="4" w:space="0" w:color="auto"/>
              <w:left w:val="nil"/>
              <w:bottom w:val="single" w:sz="4" w:space="0" w:color="auto"/>
              <w:right w:val="single" w:sz="4" w:space="0" w:color="auto"/>
            </w:tcBorders>
            <w:shd w:val="clear" w:color="auto" w:fill="C6EFCE"/>
            <w:noWrap/>
          </w:tcPr>
          <w:p w14:paraId="1076F35F"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2023</w:t>
            </w:r>
          </w:p>
        </w:tc>
        <w:tc>
          <w:tcPr>
            <w:tcW w:w="4227" w:type="dxa"/>
            <w:tcBorders>
              <w:top w:val="single" w:sz="4" w:space="0" w:color="auto"/>
              <w:left w:val="nil"/>
              <w:bottom w:val="single" w:sz="4" w:space="0" w:color="auto"/>
              <w:right w:val="single" w:sz="4" w:space="0" w:color="auto"/>
            </w:tcBorders>
            <w:shd w:val="clear" w:color="auto" w:fill="C6EFCE"/>
            <w:noWrap/>
          </w:tcPr>
          <w:p w14:paraId="3E634A6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Izbrani projekti bodo zagotovili, da bodo nove ustanove za institucionalno varstvo v obliki manjših samostojnih bivalnih enot, namenjenih uporabnikom dolgotrajne oskrbe, ki potrebujejo osnovno, socialno in zdravstveno oskrbo, prilagojeno njihovim potrebam, ter da bodo zagotavljale kakovostno in varno obravnavo oseb, ki so zelo odvisne od pomoči drugih. </w:t>
            </w:r>
          </w:p>
          <w:p w14:paraId="0229D81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Nove stavbe bodo izpolnjevale zahteve za stavbe s skoraj ničelno porabo energije.</w:t>
            </w:r>
          </w:p>
        </w:tc>
      </w:tr>
      <w:tr w:rsidR="003D7F05" w:rsidRPr="00DD6A04" w14:paraId="2C5B6D89" w14:textId="77777777" w:rsidTr="00BE4788">
        <w:trPr>
          <w:trHeight w:val="309"/>
          <w:jc w:val="center"/>
        </w:trPr>
        <w:tc>
          <w:tcPr>
            <w:tcW w:w="1261" w:type="dxa"/>
            <w:tcBorders>
              <w:top w:val="nil"/>
              <w:left w:val="single" w:sz="4" w:space="0" w:color="auto"/>
              <w:bottom w:val="single" w:sz="4" w:space="0" w:color="auto"/>
              <w:right w:val="single" w:sz="4" w:space="0" w:color="auto"/>
            </w:tcBorders>
            <w:shd w:val="clear" w:color="auto" w:fill="C6EFCE"/>
            <w:noWrap/>
          </w:tcPr>
          <w:p w14:paraId="15CF1B10"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204</w:t>
            </w:r>
          </w:p>
        </w:tc>
        <w:tc>
          <w:tcPr>
            <w:tcW w:w="1276" w:type="dxa"/>
            <w:tcBorders>
              <w:top w:val="nil"/>
              <w:left w:val="nil"/>
              <w:bottom w:val="single" w:sz="4" w:space="0" w:color="auto"/>
              <w:right w:val="single" w:sz="4" w:space="0" w:color="auto"/>
            </w:tcBorders>
            <w:shd w:val="clear" w:color="auto" w:fill="C6EFCE"/>
            <w:noWrap/>
          </w:tcPr>
          <w:p w14:paraId="454DF9D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 Zagotovitev varnega okolja bivanja za osebe, ki so odvisne od pomoči drugih</w:t>
            </w:r>
          </w:p>
        </w:tc>
        <w:tc>
          <w:tcPr>
            <w:tcW w:w="850" w:type="dxa"/>
            <w:tcBorders>
              <w:top w:val="nil"/>
              <w:left w:val="nil"/>
              <w:bottom w:val="single" w:sz="4" w:space="0" w:color="auto"/>
              <w:right w:val="single" w:sz="4" w:space="0" w:color="auto"/>
            </w:tcBorders>
            <w:shd w:val="clear" w:color="auto" w:fill="C6EFCE"/>
            <w:noWrap/>
          </w:tcPr>
          <w:p w14:paraId="5B75D24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529" w:type="dxa"/>
            <w:tcBorders>
              <w:top w:val="nil"/>
              <w:left w:val="nil"/>
              <w:bottom w:val="single" w:sz="4" w:space="0" w:color="auto"/>
              <w:right w:val="single" w:sz="4" w:space="0" w:color="auto"/>
            </w:tcBorders>
            <w:shd w:val="clear" w:color="auto" w:fill="C6EFCE"/>
            <w:noWrap/>
          </w:tcPr>
          <w:p w14:paraId="52115B6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Dodatna razpoložljiva mesta v ustanovah za institucionalno varstvo </w:t>
            </w:r>
          </w:p>
        </w:tc>
        <w:tc>
          <w:tcPr>
            <w:tcW w:w="1579" w:type="dxa"/>
            <w:tcBorders>
              <w:top w:val="nil"/>
              <w:left w:val="nil"/>
              <w:bottom w:val="single" w:sz="4" w:space="0" w:color="auto"/>
              <w:right w:val="single" w:sz="4" w:space="0" w:color="auto"/>
            </w:tcBorders>
            <w:shd w:val="clear" w:color="auto" w:fill="C6EFCE"/>
            <w:noWrap/>
          </w:tcPr>
          <w:p w14:paraId="7EEBE47D"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91" w:type="dxa"/>
            <w:tcBorders>
              <w:top w:val="nil"/>
              <w:left w:val="nil"/>
              <w:bottom w:val="single" w:sz="4" w:space="0" w:color="auto"/>
              <w:right w:val="single" w:sz="4" w:space="0" w:color="auto"/>
            </w:tcBorders>
            <w:shd w:val="clear" w:color="auto" w:fill="C6EFCE"/>
            <w:noWrap/>
          </w:tcPr>
          <w:p w14:paraId="3AA9957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955" w:type="dxa"/>
            <w:tcBorders>
              <w:top w:val="nil"/>
              <w:left w:val="nil"/>
              <w:bottom w:val="single" w:sz="4" w:space="0" w:color="auto"/>
              <w:right w:val="single" w:sz="4" w:space="0" w:color="auto"/>
            </w:tcBorders>
            <w:shd w:val="clear" w:color="auto" w:fill="C6EFCE"/>
            <w:noWrap/>
          </w:tcPr>
          <w:p w14:paraId="16D781B3"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983" w:type="dxa"/>
            <w:tcBorders>
              <w:top w:val="nil"/>
              <w:left w:val="nil"/>
              <w:bottom w:val="single" w:sz="4" w:space="0" w:color="auto"/>
              <w:right w:val="single" w:sz="4" w:space="0" w:color="auto"/>
            </w:tcBorders>
            <w:shd w:val="clear" w:color="auto" w:fill="C6EFCE"/>
            <w:noWrap/>
          </w:tcPr>
          <w:p w14:paraId="64975B7C" w14:textId="30A1EC06" w:rsidR="003C6015" w:rsidRPr="00DD6A04" w:rsidRDefault="0C386B42" w:rsidP="594A365F">
            <w:pPr>
              <w:spacing w:before="0" w:after="0" w:line="256" w:lineRule="auto"/>
              <w:jc w:val="right"/>
              <w:rPr>
                <w:rFonts w:eastAsia="Times New Roman"/>
                <w:noProof/>
                <w:sz w:val="22"/>
              </w:rPr>
            </w:pPr>
            <w:r>
              <w:rPr>
                <w:noProof/>
                <w:color w:val="006100"/>
                <w:sz w:val="22"/>
              </w:rPr>
              <w:t>539</w:t>
            </w:r>
          </w:p>
        </w:tc>
        <w:tc>
          <w:tcPr>
            <w:tcW w:w="809" w:type="dxa"/>
            <w:tcBorders>
              <w:top w:val="nil"/>
              <w:left w:val="nil"/>
              <w:bottom w:val="single" w:sz="4" w:space="0" w:color="auto"/>
              <w:right w:val="single" w:sz="4" w:space="0" w:color="auto"/>
            </w:tcBorders>
            <w:shd w:val="clear" w:color="auto" w:fill="C6EFCE"/>
            <w:noWrap/>
          </w:tcPr>
          <w:p w14:paraId="1D9D8B60"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830" w:type="dxa"/>
            <w:tcBorders>
              <w:top w:val="nil"/>
              <w:left w:val="nil"/>
              <w:bottom w:val="single" w:sz="4" w:space="0" w:color="auto"/>
              <w:right w:val="single" w:sz="4" w:space="0" w:color="auto"/>
            </w:tcBorders>
            <w:shd w:val="clear" w:color="auto" w:fill="C6EFCE"/>
            <w:noWrap/>
          </w:tcPr>
          <w:p w14:paraId="3FF8A7DC"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4227" w:type="dxa"/>
            <w:tcBorders>
              <w:top w:val="nil"/>
              <w:left w:val="nil"/>
              <w:bottom w:val="single" w:sz="4" w:space="0" w:color="auto"/>
              <w:right w:val="single" w:sz="4" w:space="0" w:color="auto"/>
            </w:tcBorders>
            <w:shd w:val="clear" w:color="auto" w:fill="C6EFCE"/>
            <w:noWrap/>
          </w:tcPr>
          <w:p w14:paraId="414C6F6D" w14:textId="44726573" w:rsidR="003C6015" w:rsidRPr="00DD6A04" w:rsidRDefault="35369403" w:rsidP="594A365F">
            <w:pPr>
              <w:spacing w:before="0" w:after="0" w:line="256" w:lineRule="auto"/>
              <w:rPr>
                <w:rFonts w:eastAsia="Times New Roman"/>
                <w:noProof/>
                <w:color w:val="006100"/>
                <w:sz w:val="22"/>
              </w:rPr>
            </w:pPr>
            <w:r>
              <w:rPr>
                <w:noProof/>
                <w:color w:val="006100"/>
                <w:sz w:val="22"/>
              </w:rPr>
              <w:t>Dokončana gradbena dela in pridobljeno dovoljenje za delovanje za dodatnih 539 mest v ustanovah za institucionalno varstvo v skladu z zahtevami iz mejnika 203.</w:t>
            </w:r>
          </w:p>
        </w:tc>
      </w:tr>
    </w:tbl>
    <w:p w14:paraId="4A85D871" w14:textId="77777777" w:rsidR="003C6015" w:rsidRPr="00DD6A04" w:rsidRDefault="003C6015" w:rsidP="003C6015">
      <w:pPr>
        <w:spacing w:line="240" w:lineRule="auto"/>
        <w:jc w:val="both"/>
        <w:rPr>
          <w:rFonts w:eastAsia="Times New Roman"/>
          <w:noProof/>
          <w:color w:val="006100"/>
          <w:sz w:val="22"/>
          <w:lang w:val="en-GB" w:eastAsia="en-GB"/>
        </w:rPr>
      </w:pPr>
    </w:p>
    <w:p w14:paraId="0BCD3F52" w14:textId="77777777" w:rsidR="003C6015" w:rsidRPr="00DD6A04" w:rsidRDefault="003C6015" w:rsidP="003C6015">
      <w:pPr>
        <w:keepNext/>
        <w:tabs>
          <w:tab w:val="left" w:pos="850"/>
        </w:tabs>
        <w:spacing w:before="360" w:line="240" w:lineRule="auto"/>
        <w:jc w:val="both"/>
        <w:outlineLvl w:val="0"/>
        <w:rPr>
          <w:smallCaps/>
          <w:noProof/>
          <w:lang w:val="en-GB"/>
        </w:rPr>
        <w:sectPr w:rsidR="003C6015" w:rsidRPr="00DD6A04" w:rsidSect="00073927">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20"/>
          <w:docGrid w:linePitch="326"/>
        </w:sectPr>
      </w:pPr>
    </w:p>
    <w:p w14:paraId="5C02DF37" w14:textId="77777777" w:rsidR="003C6015" w:rsidRPr="00DD6A04" w:rsidRDefault="003C6015" w:rsidP="003C6015">
      <w:pPr>
        <w:keepNext/>
        <w:tabs>
          <w:tab w:val="left" w:pos="850"/>
        </w:tabs>
        <w:spacing w:line="240" w:lineRule="auto"/>
        <w:jc w:val="both"/>
        <w:outlineLvl w:val="0"/>
        <w:rPr>
          <w:b/>
          <w:smallCaps/>
          <w:noProof/>
        </w:rPr>
      </w:pPr>
      <w:r>
        <w:rPr>
          <w:b/>
          <w:smallCaps/>
          <w:noProof/>
        </w:rPr>
        <w:t>P. KOMPONENTA 16: STANOVANJSKA POLITIKA</w:t>
      </w:r>
    </w:p>
    <w:p w14:paraId="753A242F" w14:textId="77777777" w:rsidR="003C6015" w:rsidRPr="00DD6A04" w:rsidRDefault="003C6015" w:rsidP="003C6015">
      <w:pPr>
        <w:spacing w:line="240" w:lineRule="auto"/>
        <w:jc w:val="both"/>
        <w:rPr>
          <w:noProof/>
        </w:rPr>
      </w:pPr>
      <w:r>
        <w:rPr>
          <w:noProof/>
        </w:rPr>
        <w:t xml:space="preserve">Ta komponenta slovenskega načrta za okrevanje in odpornost obravnava pomanjkanje javnih najemnih stanovanj v Sloveniji. Dostop do ustreznih stanovanj je še posebej težaven za mlade, mlade družine, socialno ogrožene in druge marginalizirane skupine. </w:t>
      </w:r>
    </w:p>
    <w:p w14:paraId="528B0BCB" w14:textId="77777777" w:rsidR="003C6015" w:rsidRPr="00DD6A04" w:rsidRDefault="003C6015" w:rsidP="003C6015">
      <w:pPr>
        <w:spacing w:line="240" w:lineRule="auto"/>
        <w:jc w:val="both"/>
        <w:rPr>
          <w:noProof/>
        </w:rPr>
      </w:pPr>
      <w:r>
        <w:rPr>
          <w:noProof/>
        </w:rPr>
        <w:t>Cilj te komponente je vzpostaviti pogoje za krepitev fonda javnih najemnih stanovanj z reformo stanovanjske politike in s tem povezanimi investicijami v nova najemna stanovanja ter nakup in obnovo obstoječih praznih stanovanj. S tem se bodo zmanjšali stanovanjski stroški za ciljne skupine, vključno s socialno ogroženimi posamezniki in družinami.</w:t>
      </w:r>
    </w:p>
    <w:p w14:paraId="3B505A2A" w14:textId="77777777" w:rsidR="003C6015" w:rsidRPr="00DD6A04" w:rsidRDefault="003C6015" w:rsidP="003C6015">
      <w:pPr>
        <w:spacing w:line="240" w:lineRule="auto"/>
        <w:jc w:val="both"/>
        <w:rPr>
          <w:noProof/>
        </w:rPr>
      </w:pPr>
      <w:r>
        <w:rPr>
          <w:noProof/>
        </w:rPr>
        <w:t>Te investicije in reforme obravnavajo specifična priporočila za Slovenijo v letu 2020, in sicer naj ukrepa za „[zagotovitev] ustreznega nadomestila dohodka in socialne zaščite“ (specifično priporočilo št. 2 iz leta 2020).</w:t>
      </w:r>
    </w:p>
    <w:p w14:paraId="149FDAEC" w14:textId="07D3F714" w:rsidR="003C6015" w:rsidRPr="00DD6A04" w:rsidRDefault="003C6015" w:rsidP="003C6015">
      <w:pPr>
        <w:spacing w:line="240" w:lineRule="auto"/>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r w:rsidR="00037751">
        <w:rPr>
          <w:noProof/>
        </w:rPr>
        <w:t xml:space="preserve"> </w:t>
      </w:r>
    </w:p>
    <w:p w14:paraId="539E4528" w14:textId="77777777" w:rsidR="003C6015" w:rsidRPr="00DD6A04" w:rsidRDefault="003C6015" w:rsidP="003C6015">
      <w:pPr>
        <w:spacing w:line="240" w:lineRule="auto"/>
        <w:jc w:val="both"/>
        <w:rPr>
          <w:b/>
          <w:noProof/>
          <w:u w:val="single"/>
        </w:rPr>
      </w:pPr>
      <w:r>
        <w:rPr>
          <w:b/>
          <w:noProof/>
          <w:u w:val="single"/>
        </w:rPr>
        <w:t xml:space="preserve">P.1 </w:t>
      </w:r>
      <w:r>
        <w:rPr>
          <w:b/>
          <w:noProof/>
          <w:u w:val="single"/>
        </w:rPr>
        <w:tab/>
        <w:t>Opis reform in naložb za nepovratno finančno podporo</w:t>
      </w:r>
    </w:p>
    <w:p w14:paraId="79CFFCEC" w14:textId="77777777" w:rsidR="003C6015" w:rsidRPr="00DD6A04" w:rsidRDefault="003C6015" w:rsidP="003C6015">
      <w:pPr>
        <w:spacing w:line="240" w:lineRule="auto"/>
        <w:jc w:val="both"/>
        <w:rPr>
          <w:noProof/>
        </w:rPr>
      </w:pPr>
      <w:r>
        <w:rPr>
          <w:noProof/>
        </w:rPr>
        <w:t>Ta komponenta slovenskega načrta za okrevanje in odpornost ne vključuje reform in naložb v okviru nepovratne finančne podpore.</w:t>
      </w:r>
    </w:p>
    <w:p w14:paraId="6008E100" w14:textId="77777777" w:rsidR="003C6015" w:rsidRPr="00DD6A04" w:rsidRDefault="003C6015" w:rsidP="003C6015">
      <w:pPr>
        <w:spacing w:line="240" w:lineRule="auto"/>
        <w:jc w:val="both"/>
        <w:rPr>
          <w:b/>
          <w:noProof/>
          <w:u w:val="single"/>
        </w:rPr>
      </w:pPr>
      <w:r>
        <w:rPr>
          <w:b/>
          <w:noProof/>
          <w:u w:val="single"/>
        </w:rPr>
        <w:t xml:space="preserve">P.2 </w:t>
      </w:r>
      <w:r>
        <w:rPr>
          <w:b/>
          <w:noProof/>
          <w:u w:val="single"/>
        </w:rPr>
        <w:tab/>
        <w:t>Mejniki, cilji, kazalniki in časovni razpored za spremljanje in izvajanje nepovratne finančne podpore</w:t>
      </w:r>
    </w:p>
    <w:p w14:paraId="4FACA73F" w14:textId="77777777" w:rsidR="003C6015" w:rsidRPr="00DD6A04" w:rsidRDefault="003C6015" w:rsidP="003C6015">
      <w:pPr>
        <w:spacing w:line="240" w:lineRule="auto"/>
        <w:jc w:val="both"/>
        <w:rPr>
          <w:noProof/>
        </w:rPr>
      </w:pPr>
      <w:r>
        <w:rPr>
          <w:noProof/>
        </w:rPr>
        <w:t>Ta komponenta slovenskega načrta za okrevanje in odpornost ne vključuje reform in naložb v okviru nepovratne finančne podpore.</w:t>
      </w:r>
    </w:p>
    <w:p w14:paraId="2D990B75" w14:textId="77777777" w:rsidR="003C6015" w:rsidRPr="00DD6A04" w:rsidRDefault="003C6015" w:rsidP="003C6015">
      <w:pPr>
        <w:spacing w:line="240" w:lineRule="auto"/>
        <w:jc w:val="both"/>
        <w:rPr>
          <w:b/>
          <w:i/>
          <w:noProof/>
          <w:color w:val="4F81BD"/>
          <w:u w:val="single"/>
        </w:rPr>
      </w:pPr>
      <w:r>
        <w:rPr>
          <w:b/>
          <w:noProof/>
          <w:u w:val="single"/>
        </w:rPr>
        <w:t xml:space="preserve">P.3 </w:t>
      </w:r>
      <w:r>
        <w:rPr>
          <w:b/>
          <w:noProof/>
          <w:u w:val="single"/>
        </w:rPr>
        <w:tab/>
        <w:t xml:space="preserve">Opis reform in naložb za pridobitev posojila </w:t>
      </w:r>
    </w:p>
    <w:p w14:paraId="63594CBC" w14:textId="77777777" w:rsidR="003C6015" w:rsidRPr="00DD6A04" w:rsidRDefault="003C6015" w:rsidP="003C6015">
      <w:pPr>
        <w:spacing w:line="240" w:lineRule="auto"/>
        <w:jc w:val="both"/>
        <w:rPr>
          <w:noProof/>
          <w:u w:val="single"/>
        </w:rPr>
      </w:pPr>
      <w:r>
        <w:rPr>
          <w:noProof/>
          <w:u w:val="single"/>
        </w:rPr>
        <w:t>Reforma A. Krepitev fonda javnih najemnih stanovanj</w:t>
      </w:r>
    </w:p>
    <w:p w14:paraId="73E1C234" w14:textId="77777777" w:rsidR="003C6015" w:rsidRPr="00DD6A04" w:rsidRDefault="003C6015" w:rsidP="003C6015">
      <w:pPr>
        <w:spacing w:line="240" w:lineRule="auto"/>
        <w:jc w:val="both"/>
        <w:rPr>
          <w:noProof/>
        </w:rPr>
      </w:pPr>
      <w:r>
        <w:rPr>
          <w:noProof/>
        </w:rPr>
        <w:t xml:space="preserve">Cilj reforme je povečati število javnih najemnih v Sloveniji, predvsem za socialno prikrajšane in marginalizirane skupine. </w:t>
      </w:r>
    </w:p>
    <w:p w14:paraId="36E43309" w14:textId="77777777" w:rsidR="003C6015" w:rsidRPr="00DD6A04" w:rsidRDefault="003C6015" w:rsidP="003C6015">
      <w:pPr>
        <w:spacing w:line="240" w:lineRule="auto"/>
        <w:jc w:val="both"/>
        <w:rPr>
          <w:noProof/>
        </w:rPr>
      </w:pPr>
      <w:r>
        <w:rPr>
          <w:noProof/>
        </w:rPr>
        <w:t xml:space="preserve">Reforma vključuje začetek veljavnosti sprememb Stanovanjskega zakona, ki bodo uskladile višino neprofitne najemnine javnih stanovanjskih skladov in omogočile dodatno zadolževanje teh skladov. Te spremembe naj bi zagotovile dolgoročno finančno stabilnost javnih stanovanjskih skladov v Sloveniji. </w:t>
      </w:r>
    </w:p>
    <w:p w14:paraId="6B86BAB5" w14:textId="77777777" w:rsidR="003C6015" w:rsidRPr="00DD6A04" w:rsidRDefault="003C6015" w:rsidP="003C6015">
      <w:pPr>
        <w:spacing w:line="240" w:lineRule="auto"/>
        <w:jc w:val="both"/>
        <w:rPr>
          <w:noProof/>
        </w:rPr>
      </w:pPr>
      <w:r>
        <w:rPr>
          <w:noProof/>
        </w:rPr>
        <w:t xml:space="preserve">S spremembami bo vzpostavljena tudi storitev javnega najema stanovanj, katere cilj je pridobiti in prenoviti obstoječa prazna stanovanja v zasebni lasti za namen cenovno dostopnih stanovanj. </w:t>
      </w:r>
    </w:p>
    <w:p w14:paraId="2AB594D0" w14:textId="77777777" w:rsidR="003C6015" w:rsidRPr="00DD6A04" w:rsidRDefault="003C6015" w:rsidP="003C6015">
      <w:pPr>
        <w:spacing w:line="240" w:lineRule="auto"/>
        <w:jc w:val="both"/>
        <w:rPr>
          <w:noProof/>
        </w:rPr>
      </w:pPr>
      <w:r>
        <w:rPr>
          <w:noProof/>
        </w:rPr>
        <w:t>Na splošno naj bi reforma olajšala gradnjo vsaj 5 000 dodatnih najemnih stanovanj in aktiviranje približno 2 000 trenutno praznih zasebnih stanovanj, ki naj bi jih kupili in prenovili javni stanovanjski skladi.</w:t>
      </w:r>
    </w:p>
    <w:p w14:paraId="131AA823" w14:textId="2594DFDE" w:rsidR="003C6015" w:rsidRPr="00DD6A04" w:rsidRDefault="003C6015" w:rsidP="003C6015">
      <w:pPr>
        <w:spacing w:line="240" w:lineRule="auto"/>
        <w:jc w:val="both"/>
        <w:rPr>
          <w:noProof/>
        </w:rPr>
      </w:pPr>
      <w:r>
        <w:rPr>
          <w:noProof/>
        </w:rPr>
        <w:t>Mejnik in cilj v zvezi z izvedbo reforme bosta dosežena do 30. junija 2026.</w:t>
      </w:r>
    </w:p>
    <w:p w14:paraId="5B5D1220" w14:textId="77777777" w:rsidR="00040E32" w:rsidRPr="00DD6A04" w:rsidRDefault="00040E32" w:rsidP="003C6015">
      <w:pPr>
        <w:spacing w:line="240" w:lineRule="auto"/>
        <w:jc w:val="both"/>
        <w:rPr>
          <w:noProof/>
          <w:lang w:val="en-GB"/>
        </w:rPr>
      </w:pPr>
    </w:p>
    <w:p w14:paraId="00B0FF84" w14:textId="77777777" w:rsidR="003C6015" w:rsidRPr="00DD6A04" w:rsidRDefault="003C6015" w:rsidP="003C6015">
      <w:pPr>
        <w:spacing w:line="240" w:lineRule="auto"/>
        <w:jc w:val="both"/>
        <w:rPr>
          <w:noProof/>
          <w:u w:val="single"/>
        </w:rPr>
      </w:pPr>
      <w:r>
        <w:rPr>
          <w:noProof/>
          <w:u w:val="single"/>
        </w:rPr>
        <w:t>Investicija B. Zagotavljanje javnih najemnih stanovanj</w:t>
      </w:r>
    </w:p>
    <w:p w14:paraId="2147124B" w14:textId="77777777" w:rsidR="003C6015" w:rsidRPr="00DD6A04" w:rsidRDefault="003C6015" w:rsidP="003C6015">
      <w:pPr>
        <w:spacing w:line="240" w:lineRule="auto"/>
        <w:jc w:val="both"/>
        <w:rPr>
          <w:noProof/>
        </w:rPr>
      </w:pPr>
      <w:r>
        <w:rPr>
          <w:noProof/>
        </w:rPr>
        <w:t xml:space="preserve">Cilj investicije je zmanjšati primanjkljaj javnih najemnih stanovanj v Sloveniji. </w:t>
      </w:r>
    </w:p>
    <w:p w14:paraId="3E958896" w14:textId="73AACD95" w:rsidR="003C6015" w:rsidRPr="00DD6A04" w:rsidRDefault="34058E0A" w:rsidP="003C6015">
      <w:pPr>
        <w:spacing w:line="240" w:lineRule="auto"/>
        <w:jc w:val="both"/>
        <w:rPr>
          <w:noProof/>
        </w:rPr>
      </w:pPr>
      <w:r>
        <w:rPr>
          <w:noProof/>
        </w:rPr>
        <w:t>Investicija vključuje gradnjo 480 stanovanjskih enot. Projekti občinskih stanovanjskih skladov ter drugih organizacij, ustanovljenih s ciljem zadovoljevanja potreb po javnih stanovanjih, bodo izbrani z javnim razpisom.</w:t>
      </w:r>
    </w:p>
    <w:p w14:paraId="09A5B075" w14:textId="77777777" w:rsidR="003C6015" w:rsidRPr="00DD6A04" w:rsidRDefault="003C6015" w:rsidP="003C6015">
      <w:pPr>
        <w:spacing w:line="240" w:lineRule="auto"/>
        <w:jc w:val="both"/>
        <w:rPr>
          <w:noProof/>
        </w:rPr>
      </w:pPr>
      <w:r>
        <w:rPr>
          <w:noProof/>
        </w:rPr>
        <w:t>Mejnik in cilji v zvezi z izvedbo investicije bodo doseženi do 31. decembra 2025.</w:t>
      </w:r>
    </w:p>
    <w:p w14:paraId="346F3F16" w14:textId="77777777" w:rsidR="003C6015" w:rsidRPr="00DD6A04" w:rsidRDefault="003C6015" w:rsidP="003C6015">
      <w:pPr>
        <w:spacing w:line="240" w:lineRule="auto"/>
        <w:ind w:left="850"/>
        <w:jc w:val="both"/>
        <w:rPr>
          <w:i/>
          <w:noProof/>
          <w:lang w:val="en-GB"/>
        </w:rPr>
      </w:pPr>
    </w:p>
    <w:p w14:paraId="2AD40CE1" w14:textId="77777777" w:rsidR="003C6015" w:rsidRPr="00DD6A04" w:rsidRDefault="003C6015" w:rsidP="003C6015">
      <w:pPr>
        <w:spacing w:line="240" w:lineRule="auto"/>
        <w:ind w:left="850"/>
        <w:jc w:val="both"/>
        <w:rPr>
          <w:i/>
          <w:noProof/>
          <w:lang w:val="en-GB"/>
        </w:rPr>
      </w:pPr>
    </w:p>
    <w:p w14:paraId="23FEDE12" w14:textId="77777777" w:rsidR="003C6015" w:rsidRPr="00DD6A04" w:rsidRDefault="003C6015" w:rsidP="003C6015">
      <w:pPr>
        <w:spacing w:line="240" w:lineRule="auto"/>
        <w:ind w:left="850"/>
        <w:jc w:val="both"/>
        <w:rPr>
          <w:i/>
          <w:noProof/>
          <w:lang w:val="en-GB"/>
        </w:rPr>
        <w:sectPr w:rsidR="003C6015" w:rsidRPr="00DD6A04" w:rsidSect="00073927">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20"/>
          <w:docGrid w:linePitch="326"/>
        </w:sectPr>
      </w:pPr>
    </w:p>
    <w:p w14:paraId="039A1336" w14:textId="77777777" w:rsidR="003C6015" w:rsidRPr="00DD6A04" w:rsidRDefault="003C6015" w:rsidP="003C6015">
      <w:pPr>
        <w:spacing w:line="240" w:lineRule="auto"/>
        <w:ind w:left="850"/>
        <w:jc w:val="both"/>
        <w:rPr>
          <w:b/>
          <w:noProof/>
          <w:u w:val="single"/>
        </w:rPr>
      </w:pPr>
      <w:r>
        <w:rPr>
          <w:b/>
          <w:noProof/>
          <w:u w:val="single"/>
        </w:rPr>
        <w:t xml:space="preserve">P.4 </w:t>
      </w:r>
      <w:r>
        <w:rPr>
          <w:b/>
          <w:noProof/>
          <w:u w:val="single"/>
        </w:rPr>
        <w:tab/>
        <w:t xml:space="preserve">Mejniki, cilji, kazalniki in časovni razpored za spremljanje in izvajanje posojila </w:t>
      </w:r>
    </w:p>
    <w:tbl>
      <w:tblPr>
        <w:tblW w:w="15547" w:type="dxa"/>
        <w:jc w:val="center"/>
        <w:tblLayout w:type="fixed"/>
        <w:tblCellMar>
          <w:left w:w="57" w:type="dxa"/>
          <w:right w:w="57" w:type="dxa"/>
        </w:tblCellMar>
        <w:tblLook w:val="04A0" w:firstRow="1" w:lastRow="0" w:firstColumn="1" w:lastColumn="0" w:noHBand="0" w:noVBand="1"/>
      </w:tblPr>
      <w:tblGrid>
        <w:gridCol w:w="1188"/>
        <w:gridCol w:w="1427"/>
        <w:gridCol w:w="850"/>
        <w:gridCol w:w="1637"/>
        <w:gridCol w:w="1576"/>
        <w:gridCol w:w="1040"/>
        <w:gridCol w:w="1134"/>
        <w:gridCol w:w="869"/>
        <w:gridCol w:w="832"/>
        <w:gridCol w:w="778"/>
        <w:gridCol w:w="4216"/>
      </w:tblGrid>
      <w:tr w:rsidR="003C6015" w:rsidRPr="00DD6A04" w14:paraId="45114058" w14:textId="77777777" w:rsidTr="00BE4788">
        <w:trPr>
          <w:trHeight w:val="927"/>
          <w:tblHeader/>
          <w:jc w:val="center"/>
        </w:trPr>
        <w:tc>
          <w:tcPr>
            <w:tcW w:w="118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8DFBAB6" w14:textId="77777777" w:rsidR="003C6015" w:rsidRPr="00DD6A04" w:rsidRDefault="003C6015" w:rsidP="003C6015">
            <w:pPr>
              <w:spacing w:before="0" w:after="0" w:line="256" w:lineRule="auto"/>
              <w:jc w:val="center"/>
              <w:rPr>
                <w:rFonts w:eastAsia="Times New Roman"/>
                <w:b/>
                <w:noProof/>
                <w:sz w:val="22"/>
              </w:rPr>
            </w:pPr>
            <w:r>
              <w:rPr>
                <w:b/>
                <w:noProof/>
                <w:sz w:val="22"/>
              </w:rPr>
              <w:t>Zaporedna številka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A0AA585" w14:textId="77777777" w:rsidR="003C6015" w:rsidRPr="00DD6A04" w:rsidRDefault="003C6015" w:rsidP="003C6015">
            <w:pPr>
              <w:spacing w:before="0" w:after="0" w:line="256" w:lineRule="auto"/>
              <w:jc w:val="center"/>
              <w:rPr>
                <w:rFonts w:eastAsia="Times New Roman"/>
                <w:b/>
                <w:noProof/>
                <w:sz w:val="22"/>
              </w:rPr>
            </w:pPr>
            <w:r>
              <w:rPr>
                <w:b/>
                <w:noProof/>
                <w:sz w:val="22"/>
              </w:rPr>
              <w:t>Povezani ukrep (reforma ali naložba)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57CAB26" w14:textId="77777777" w:rsidR="003C6015" w:rsidRPr="00DD6A04" w:rsidRDefault="003C6015" w:rsidP="003C6015">
            <w:pPr>
              <w:spacing w:before="0" w:after="0" w:line="256" w:lineRule="auto"/>
              <w:jc w:val="center"/>
              <w:rPr>
                <w:rFonts w:eastAsia="Times New Roman"/>
                <w:b/>
                <w:noProof/>
                <w:sz w:val="22"/>
              </w:rPr>
            </w:pPr>
            <w:r>
              <w:rPr>
                <w:b/>
                <w:noProof/>
                <w:sz w:val="22"/>
              </w:rPr>
              <w:t>Mejnik/cilj</w:t>
            </w:r>
          </w:p>
        </w:tc>
        <w:tc>
          <w:tcPr>
            <w:tcW w:w="1637" w:type="dxa"/>
            <w:vMerge w:val="restart"/>
            <w:tcBorders>
              <w:top w:val="single" w:sz="4" w:space="0" w:color="auto"/>
              <w:left w:val="nil"/>
              <w:bottom w:val="single" w:sz="4" w:space="0" w:color="000000"/>
              <w:right w:val="single" w:sz="4" w:space="0" w:color="auto"/>
            </w:tcBorders>
            <w:shd w:val="clear" w:color="auto" w:fill="BDD7EE"/>
            <w:vAlign w:val="center"/>
            <w:hideMark/>
          </w:tcPr>
          <w:p w14:paraId="6ABE7D62" w14:textId="77777777" w:rsidR="003C6015" w:rsidRPr="00DD6A04" w:rsidRDefault="003C6015" w:rsidP="003C6015">
            <w:pPr>
              <w:spacing w:before="0" w:after="0" w:line="256" w:lineRule="auto"/>
              <w:jc w:val="center"/>
              <w:rPr>
                <w:rFonts w:eastAsia="Times New Roman"/>
                <w:b/>
                <w:noProof/>
                <w:sz w:val="22"/>
              </w:rPr>
            </w:pPr>
            <w:r>
              <w:rPr>
                <w:b/>
                <w:noProof/>
                <w:sz w:val="22"/>
              </w:rPr>
              <w:t>Ime</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8DD1BBA" w14:textId="4674AEF9" w:rsidR="003C6015" w:rsidRPr="00DD6A04" w:rsidRDefault="003C6015" w:rsidP="003C6015">
            <w:pPr>
              <w:spacing w:before="0" w:after="0" w:line="256" w:lineRule="auto"/>
              <w:jc w:val="center"/>
              <w:rPr>
                <w:rFonts w:eastAsia="Times New Roman"/>
                <w:b/>
                <w:noProof/>
                <w:sz w:val="22"/>
              </w:rPr>
            </w:pPr>
            <w:r>
              <w:rPr>
                <w:b/>
                <w:noProof/>
                <w:sz w:val="22"/>
              </w:rPr>
              <w:t>Kvalitativni kazalniki (za mejnike)</w:t>
            </w:r>
          </w:p>
        </w:tc>
        <w:tc>
          <w:tcPr>
            <w:tcW w:w="3043" w:type="dxa"/>
            <w:gridSpan w:val="3"/>
            <w:tcBorders>
              <w:top w:val="single" w:sz="4" w:space="0" w:color="auto"/>
              <w:left w:val="nil"/>
              <w:bottom w:val="single" w:sz="4" w:space="0" w:color="auto"/>
              <w:right w:val="single" w:sz="4" w:space="0" w:color="auto"/>
            </w:tcBorders>
            <w:shd w:val="clear" w:color="auto" w:fill="BDD7EE"/>
            <w:vAlign w:val="center"/>
            <w:hideMark/>
          </w:tcPr>
          <w:p w14:paraId="457D8377" w14:textId="77777777" w:rsidR="003C6015" w:rsidRPr="00DD6A04" w:rsidRDefault="003C6015" w:rsidP="003C6015">
            <w:pPr>
              <w:spacing w:before="0" w:after="0" w:line="256" w:lineRule="auto"/>
              <w:jc w:val="center"/>
              <w:rPr>
                <w:rFonts w:eastAsia="Times New Roman"/>
                <w:b/>
                <w:noProof/>
                <w:sz w:val="22"/>
              </w:rPr>
            </w:pPr>
            <w:r>
              <w:rPr>
                <w:b/>
                <w:noProof/>
                <w:sz w:val="22"/>
              </w:rPr>
              <w:t>Kvantitativni kazalniki (za cilje)</w:t>
            </w:r>
          </w:p>
        </w:tc>
        <w:tc>
          <w:tcPr>
            <w:tcW w:w="1610" w:type="dxa"/>
            <w:gridSpan w:val="2"/>
            <w:tcBorders>
              <w:top w:val="single" w:sz="4" w:space="0" w:color="auto"/>
              <w:left w:val="nil"/>
              <w:bottom w:val="single" w:sz="4" w:space="0" w:color="auto"/>
              <w:right w:val="single" w:sz="4" w:space="0" w:color="auto"/>
            </w:tcBorders>
            <w:shd w:val="clear" w:color="auto" w:fill="BDD7EE"/>
            <w:vAlign w:val="center"/>
            <w:hideMark/>
          </w:tcPr>
          <w:p w14:paraId="7B293E59"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Okvirni časovni razpored za dokončanje </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49DF87" w14:textId="77777777" w:rsidR="003C6015" w:rsidRPr="00DD6A04" w:rsidRDefault="003C6015" w:rsidP="003C6015">
            <w:pPr>
              <w:spacing w:before="0" w:after="0" w:line="256" w:lineRule="auto"/>
              <w:jc w:val="center"/>
              <w:rPr>
                <w:rFonts w:eastAsia="Times New Roman"/>
                <w:b/>
                <w:noProof/>
                <w:sz w:val="22"/>
              </w:rPr>
            </w:pPr>
            <w:r>
              <w:rPr>
                <w:b/>
                <w:noProof/>
                <w:sz w:val="22"/>
              </w:rPr>
              <w:t>Opis vsakega mejnika in cilja</w:t>
            </w:r>
          </w:p>
        </w:tc>
      </w:tr>
      <w:tr w:rsidR="002E7B11" w:rsidRPr="00DD6A04" w14:paraId="2F17571F" w14:textId="77777777" w:rsidTr="00BE4788">
        <w:trPr>
          <w:trHeight w:val="750"/>
          <w:tblHeader/>
          <w:jc w:val="center"/>
        </w:trPr>
        <w:tc>
          <w:tcPr>
            <w:tcW w:w="1188" w:type="dxa"/>
            <w:vMerge/>
            <w:tcBorders>
              <w:top w:val="single" w:sz="4" w:space="0" w:color="auto"/>
              <w:left w:val="single" w:sz="4" w:space="0" w:color="auto"/>
              <w:bottom w:val="single" w:sz="4" w:space="0" w:color="000000"/>
              <w:right w:val="single" w:sz="4" w:space="0" w:color="auto"/>
            </w:tcBorders>
            <w:vAlign w:val="center"/>
            <w:hideMark/>
          </w:tcPr>
          <w:p w14:paraId="41DE4503" w14:textId="77777777" w:rsidR="003C6015" w:rsidRPr="00DD6A04" w:rsidRDefault="003C6015" w:rsidP="003C6015">
            <w:pPr>
              <w:spacing w:before="0" w:after="0" w:line="256" w:lineRule="auto"/>
              <w:rPr>
                <w:rFonts w:eastAsia="Times New Roman"/>
                <w:b/>
                <w:noProof/>
                <w:sz w:val="22"/>
                <w:lang w:val="en-GB" w:eastAsia="en-GB"/>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14:paraId="070A6427" w14:textId="77777777" w:rsidR="003C6015" w:rsidRPr="00DD6A04" w:rsidRDefault="003C6015" w:rsidP="003C6015">
            <w:pPr>
              <w:spacing w:before="0" w:after="0" w:line="256" w:lineRule="auto"/>
              <w:rPr>
                <w:rFonts w:eastAsia="Times New Roman"/>
                <w:b/>
                <w:noProof/>
                <w:sz w:val="22"/>
                <w:lang w:val="en-GB" w:eastAsia="en-GB"/>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B0DA66" w14:textId="77777777" w:rsidR="003C6015" w:rsidRPr="00DD6A04" w:rsidRDefault="003C6015" w:rsidP="003C6015">
            <w:pPr>
              <w:spacing w:before="0" w:after="0" w:line="256" w:lineRule="auto"/>
              <w:rPr>
                <w:rFonts w:eastAsia="Times New Roman"/>
                <w:b/>
                <w:noProof/>
                <w:sz w:val="22"/>
                <w:lang w:val="en-GB" w:eastAsia="en-GB"/>
              </w:rPr>
            </w:pPr>
          </w:p>
        </w:tc>
        <w:tc>
          <w:tcPr>
            <w:tcW w:w="1637" w:type="dxa"/>
            <w:vMerge/>
            <w:tcBorders>
              <w:top w:val="single" w:sz="4" w:space="0" w:color="auto"/>
              <w:left w:val="nil"/>
              <w:bottom w:val="single" w:sz="4" w:space="0" w:color="000000"/>
              <w:right w:val="single" w:sz="4" w:space="0" w:color="auto"/>
            </w:tcBorders>
            <w:vAlign w:val="center"/>
            <w:hideMark/>
          </w:tcPr>
          <w:p w14:paraId="7FB757AA" w14:textId="77777777" w:rsidR="003C6015" w:rsidRPr="00DD6A04" w:rsidRDefault="003C6015" w:rsidP="003C6015">
            <w:pPr>
              <w:spacing w:before="0" w:after="0" w:line="256" w:lineRule="auto"/>
              <w:rPr>
                <w:rFonts w:eastAsia="Times New Roman"/>
                <w:b/>
                <w:noProof/>
                <w:sz w:val="22"/>
                <w:lang w:val="en-GB" w:eastAsia="en-GB"/>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14:paraId="37AB0214" w14:textId="77777777" w:rsidR="003C6015" w:rsidRPr="00DD6A04" w:rsidRDefault="003C6015" w:rsidP="003C6015">
            <w:pPr>
              <w:spacing w:before="0" w:after="0" w:line="256" w:lineRule="auto"/>
              <w:rPr>
                <w:rFonts w:eastAsia="Times New Roman"/>
                <w:b/>
                <w:noProof/>
                <w:sz w:val="22"/>
                <w:lang w:val="en-GB" w:eastAsia="en-GB"/>
              </w:rPr>
            </w:pPr>
          </w:p>
        </w:tc>
        <w:tc>
          <w:tcPr>
            <w:tcW w:w="1040" w:type="dxa"/>
            <w:tcBorders>
              <w:top w:val="nil"/>
              <w:left w:val="nil"/>
              <w:bottom w:val="single" w:sz="4" w:space="0" w:color="auto"/>
              <w:right w:val="single" w:sz="4" w:space="0" w:color="auto"/>
            </w:tcBorders>
            <w:shd w:val="clear" w:color="auto" w:fill="BDD7EE"/>
            <w:vAlign w:val="center"/>
            <w:hideMark/>
          </w:tcPr>
          <w:p w14:paraId="367B93B4" w14:textId="77777777" w:rsidR="003C6015" w:rsidRPr="00DD6A04" w:rsidRDefault="003C6015" w:rsidP="003C6015">
            <w:pPr>
              <w:spacing w:before="0" w:after="0" w:line="256" w:lineRule="auto"/>
              <w:jc w:val="center"/>
              <w:rPr>
                <w:rFonts w:eastAsia="Times New Roman"/>
                <w:b/>
                <w:noProof/>
                <w:sz w:val="22"/>
              </w:rPr>
            </w:pPr>
            <w:r>
              <w:rPr>
                <w:b/>
                <w:noProof/>
                <w:sz w:val="22"/>
              </w:rPr>
              <w:t>Enota merjenja</w:t>
            </w:r>
          </w:p>
        </w:tc>
        <w:tc>
          <w:tcPr>
            <w:tcW w:w="1134" w:type="dxa"/>
            <w:tcBorders>
              <w:top w:val="nil"/>
              <w:left w:val="nil"/>
              <w:bottom w:val="single" w:sz="4" w:space="0" w:color="auto"/>
              <w:right w:val="single" w:sz="4" w:space="0" w:color="auto"/>
            </w:tcBorders>
            <w:shd w:val="clear" w:color="auto" w:fill="BDD7EE"/>
            <w:vAlign w:val="center"/>
            <w:hideMark/>
          </w:tcPr>
          <w:p w14:paraId="3DDE4372"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Izhodiščna raven </w:t>
            </w:r>
          </w:p>
        </w:tc>
        <w:tc>
          <w:tcPr>
            <w:tcW w:w="869" w:type="dxa"/>
            <w:tcBorders>
              <w:top w:val="nil"/>
              <w:left w:val="nil"/>
              <w:bottom w:val="single" w:sz="4" w:space="0" w:color="auto"/>
              <w:right w:val="single" w:sz="4" w:space="0" w:color="auto"/>
            </w:tcBorders>
            <w:shd w:val="clear" w:color="auto" w:fill="BDD7EE"/>
            <w:vAlign w:val="center"/>
            <w:hideMark/>
          </w:tcPr>
          <w:p w14:paraId="12CE4B34" w14:textId="77777777" w:rsidR="003C6015" w:rsidRPr="00DD6A04" w:rsidRDefault="003C6015" w:rsidP="003C6015">
            <w:pPr>
              <w:spacing w:before="0" w:after="0" w:line="256" w:lineRule="auto"/>
              <w:jc w:val="center"/>
              <w:rPr>
                <w:rFonts w:eastAsia="Times New Roman"/>
                <w:b/>
                <w:noProof/>
                <w:sz w:val="22"/>
              </w:rPr>
            </w:pPr>
            <w:r>
              <w:rPr>
                <w:b/>
                <w:noProof/>
                <w:sz w:val="22"/>
              </w:rPr>
              <w:t xml:space="preserve">Ciljna raven </w:t>
            </w:r>
          </w:p>
        </w:tc>
        <w:tc>
          <w:tcPr>
            <w:tcW w:w="832" w:type="dxa"/>
            <w:tcBorders>
              <w:top w:val="nil"/>
              <w:left w:val="nil"/>
              <w:bottom w:val="single" w:sz="4" w:space="0" w:color="auto"/>
              <w:right w:val="single" w:sz="4" w:space="0" w:color="auto"/>
            </w:tcBorders>
            <w:shd w:val="clear" w:color="auto" w:fill="BDD7EE"/>
            <w:vAlign w:val="center"/>
            <w:hideMark/>
          </w:tcPr>
          <w:p w14:paraId="0F27B4C1" w14:textId="77777777" w:rsidR="003C6015" w:rsidRPr="00DD6A04" w:rsidRDefault="003C6015" w:rsidP="003C6015">
            <w:pPr>
              <w:spacing w:before="0" w:after="0" w:line="256" w:lineRule="auto"/>
              <w:jc w:val="center"/>
              <w:rPr>
                <w:rFonts w:eastAsia="Times New Roman"/>
                <w:b/>
                <w:noProof/>
                <w:sz w:val="22"/>
              </w:rPr>
            </w:pPr>
            <w:r>
              <w:rPr>
                <w:b/>
                <w:noProof/>
                <w:sz w:val="22"/>
              </w:rPr>
              <w:t>Četrtletje</w:t>
            </w:r>
          </w:p>
        </w:tc>
        <w:tc>
          <w:tcPr>
            <w:tcW w:w="778" w:type="dxa"/>
            <w:tcBorders>
              <w:top w:val="nil"/>
              <w:left w:val="nil"/>
              <w:bottom w:val="single" w:sz="4" w:space="0" w:color="auto"/>
              <w:right w:val="single" w:sz="4" w:space="0" w:color="auto"/>
            </w:tcBorders>
            <w:shd w:val="clear" w:color="auto" w:fill="BDD7EE"/>
            <w:vAlign w:val="center"/>
            <w:hideMark/>
          </w:tcPr>
          <w:p w14:paraId="014DFFB2" w14:textId="77777777" w:rsidR="003C6015" w:rsidRPr="00DD6A04" w:rsidRDefault="003C6015" w:rsidP="003C6015">
            <w:pPr>
              <w:spacing w:before="0" w:after="0" w:line="256" w:lineRule="auto"/>
              <w:jc w:val="center"/>
              <w:rPr>
                <w:rFonts w:eastAsia="Times New Roman"/>
                <w:b/>
                <w:noProof/>
                <w:sz w:val="22"/>
              </w:rPr>
            </w:pPr>
            <w:r>
              <w:rPr>
                <w:b/>
                <w:noProof/>
                <w:sz w:val="22"/>
              </w:rPr>
              <w:t>Leto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14:paraId="28571041" w14:textId="77777777" w:rsidR="003C6015" w:rsidRPr="00DD6A04" w:rsidRDefault="003C6015" w:rsidP="003C6015">
            <w:pPr>
              <w:spacing w:before="0" w:after="0" w:line="256" w:lineRule="auto"/>
              <w:rPr>
                <w:rFonts w:eastAsia="Times New Roman"/>
                <w:b/>
                <w:noProof/>
                <w:sz w:val="22"/>
                <w:lang w:val="en-GB" w:eastAsia="en-GB"/>
              </w:rPr>
            </w:pPr>
          </w:p>
        </w:tc>
      </w:tr>
      <w:tr w:rsidR="002E7B11" w:rsidRPr="00DD6A04" w14:paraId="7DCE1818" w14:textId="77777777" w:rsidTr="00BE478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2D760682"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205</w:t>
            </w:r>
          </w:p>
        </w:tc>
        <w:tc>
          <w:tcPr>
            <w:tcW w:w="1427" w:type="dxa"/>
            <w:tcBorders>
              <w:top w:val="nil"/>
              <w:left w:val="nil"/>
              <w:bottom w:val="single" w:sz="4" w:space="0" w:color="auto"/>
              <w:right w:val="single" w:sz="4" w:space="0" w:color="auto"/>
            </w:tcBorders>
            <w:shd w:val="clear" w:color="auto" w:fill="C6EFCE"/>
            <w:noWrap/>
          </w:tcPr>
          <w:p w14:paraId="23E47AF0" w14:textId="58C697B3" w:rsidR="003C6015" w:rsidRPr="00DD6A04" w:rsidRDefault="001D23D2" w:rsidP="003C6015">
            <w:pPr>
              <w:spacing w:before="0" w:after="0" w:line="256" w:lineRule="auto"/>
              <w:rPr>
                <w:rFonts w:eastAsia="Times New Roman"/>
                <w:noProof/>
                <w:color w:val="006100"/>
                <w:sz w:val="22"/>
              </w:rPr>
            </w:pPr>
            <w:r>
              <w:rPr>
                <w:noProof/>
                <w:color w:val="006100"/>
              </w:rPr>
              <w:t xml:space="preserve">A: </w:t>
            </w:r>
            <w:r>
              <w:rPr>
                <w:noProof/>
                <w:color w:val="006100"/>
                <w:sz w:val="22"/>
              </w:rPr>
              <w:t xml:space="preserve">Krepitev fonda javnih najemnih stanovanj </w:t>
            </w:r>
          </w:p>
        </w:tc>
        <w:tc>
          <w:tcPr>
            <w:tcW w:w="850" w:type="dxa"/>
            <w:tcBorders>
              <w:top w:val="nil"/>
              <w:left w:val="nil"/>
              <w:bottom w:val="single" w:sz="4" w:space="0" w:color="auto"/>
              <w:right w:val="single" w:sz="4" w:space="0" w:color="auto"/>
            </w:tcBorders>
            <w:shd w:val="clear" w:color="auto" w:fill="C6EFCE"/>
            <w:noWrap/>
          </w:tcPr>
          <w:p w14:paraId="0F4D12E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637" w:type="dxa"/>
            <w:tcBorders>
              <w:top w:val="nil"/>
              <w:left w:val="nil"/>
              <w:bottom w:val="single" w:sz="4" w:space="0" w:color="auto"/>
              <w:right w:val="single" w:sz="4" w:space="0" w:color="auto"/>
            </w:tcBorders>
            <w:shd w:val="clear" w:color="auto" w:fill="C6EFCE"/>
            <w:noWrap/>
          </w:tcPr>
          <w:p w14:paraId="1ADA211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Začetek veljavnosti sprememb Stanovanjskega zakona</w:t>
            </w:r>
          </w:p>
        </w:tc>
        <w:tc>
          <w:tcPr>
            <w:tcW w:w="1576" w:type="dxa"/>
            <w:tcBorders>
              <w:top w:val="nil"/>
              <w:left w:val="nil"/>
              <w:bottom w:val="single" w:sz="4" w:space="0" w:color="auto"/>
              <w:right w:val="single" w:sz="4" w:space="0" w:color="auto"/>
            </w:tcBorders>
            <w:shd w:val="clear" w:color="auto" w:fill="C6EFCE"/>
            <w:noWrap/>
          </w:tcPr>
          <w:p w14:paraId="3D3414E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Zakonodajna določba o začetku veljavnosti sprememb Stanovanjskega zakona</w:t>
            </w:r>
          </w:p>
        </w:tc>
        <w:tc>
          <w:tcPr>
            <w:tcW w:w="1040" w:type="dxa"/>
            <w:tcBorders>
              <w:top w:val="nil"/>
              <w:left w:val="nil"/>
              <w:bottom w:val="single" w:sz="4" w:space="0" w:color="auto"/>
              <w:right w:val="single" w:sz="4" w:space="0" w:color="auto"/>
            </w:tcBorders>
            <w:shd w:val="clear" w:color="auto" w:fill="C6EFCE"/>
            <w:noWrap/>
          </w:tcPr>
          <w:p w14:paraId="1213DF0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134" w:type="dxa"/>
            <w:tcBorders>
              <w:top w:val="nil"/>
              <w:left w:val="nil"/>
              <w:bottom w:val="single" w:sz="4" w:space="0" w:color="auto"/>
              <w:right w:val="single" w:sz="4" w:space="0" w:color="auto"/>
            </w:tcBorders>
            <w:shd w:val="clear" w:color="auto" w:fill="C6EFCE"/>
            <w:noWrap/>
          </w:tcPr>
          <w:p w14:paraId="1F606C6F"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869" w:type="dxa"/>
            <w:tcBorders>
              <w:top w:val="nil"/>
              <w:left w:val="nil"/>
              <w:bottom w:val="single" w:sz="4" w:space="0" w:color="auto"/>
              <w:right w:val="single" w:sz="4" w:space="0" w:color="auto"/>
            </w:tcBorders>
            <w:shd w:val="clear" w:color="auto" w:fill="C6EFCE"/>
            <w:noWrap/>
          </w:tcPr>
          <w:p w14:paraId="512CA415"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832" w:type="dxa"/>
            <w:tcBorders>
              <w:top w:val="nil"/>
              <w:left w:val="nil"/>
              <w:bottom w:val="single" w:sz="4" w:space="0" w:color="auto"/>
              <w:right w:val="single" w:sz="4" w:space="0" w:color="auto"/>
            </w:tcBorders>
            <w:shd w:val="clear" w:color="auto" w:fill="C6EFCE"/>
            <w:noWrap/>
          </w:tcPr>
          <w:p w14:paraId="389F9797"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78" w:type="dxa"/>
            <w:tcBorders>
              <w:top w:val="nil"/>
              <w:left w:val="nil"/>
              <w:bottom w:val="single" w:sz="4" w:space="0" w:color="auto"/>
              <w:right w:val="single" w:sz="4" w:space="0" w:color="auto"/>
            </w:tcBorders>
            <w:shd w:val="clear" w:color="auto" w:fill="C6EFCE"/>
            <w:noWrap/>
          </w:tcPr>
          <w:p w14:paraId="5D874D27"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2021</w:t>
            </w:r>
          </w:p>
        </w:tc>
        <w:tc>
          <w:tcPr>
            <w:tcW w:w="4216" w:type="dxa"/>
            <w:tcBorders>
              <w:top w:val="nil"/>
              <w:left w:val="nil"/>
              <w:bottom w:val="single" w:sz="4" w:space="0" w:color="auto"/>
              <w:right w:val="single" w:sz="4" w:space="0" w:color="auto"/>
            </w:tcBorders>
            <w:shd w:val="clear" w:color="auto" w:fill="C6EFCE"/>
            <w:noWrap/>
          </w:tcPr>
          <w:p w14:paraId="2AA7AE1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Spremembe Stanovanjskega zakona naj bi spodbudile učinkovit in uravnotežen pristop k zagotavljanju stanovanj. Vključujejo prilagoditev višine neprofitne najemnine ob čim manjšem vplivu na socialno ogrožene najemnike, možnost dodatnega zadolževanja javnih stanovanjskih skladov in možnost aktiviranja obstoječega stanovanjskega fonda praznih stanovanj prek izvajanja javnega najema stanovanj. </w:t>
            </w:r>
          </w:p>
        </w:tc>
      </w:tr>
      <w:tr w:rsidR="002E7B11" w:rsidRPr="00DD6A04" w14:paraId="000E2BF8" w14:textId="77777777" w:rsidTr="00BE478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667F40F6"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206</w:t>
            </w:r>
          </w:p>
        </w:tc>
        <w:tc>
          <w:tcPr>
            <w:tcW w:w="1427" w:type="dxa"/>
            <w:tcBorders>
              <w:top w:val="nil"/>
              <w:left w:val="nil"/>
              <w:bottom w:val="single" w:sz="4" w:space="0" w:color="auto"/>
              <w:right w:val="single" w:sz="4" w:space="0" w:color="auto"/>
            </w:tcBorders>
            <w:shd w:val="clear" w:color="auto" w:fill="C6EFCE"/>
            <w:noWrap/>
          </w:tcPr>
          <w:p w14:paraId="3AEBFB1A" w14:textId="2DB3EFAF" w:rsidR="003C6015" w:rsidRPr="00DD6A04" w:rsidRDefault="001D23D2" w:rsidP="003C6015">
            <w:pPr>
              <w:spacing w:before="0" w:after="0" w:line="256" w:lineRule="auto"/>
              <w:rPr>
                <w:rFonts w:eastAsia="Times New Roman"/>
                <w:noProof/>
                <w:color w:val="006100"/>
                <w:sz w:val="22"/>
              </w:rPr>
            </w:pPr>
            <w:r>
              <w:rPr>
                <w:noProof/>
                <w:color w:val="006100"/>
              </w:rPr>
              <w:t xml:space="preserve">A: </w:t>
            </w:r>
            <w:r>
              <w:rPr>
                <w:noProof/>
                <w:color w:val="006100"/>
                <w:sz w:val="22"/>
              </w:rPr>
              <w:t xml:space="preserve">Krepitev fonda javnih najemnih stanovanj </w:t>
            </w:r>
          </w:p>
        </w:tc>
        <w:tc>
          <w:tcPr>
            <w:tcW w:w="850" w:type="dxa"/>
            <w:tcBorders>
              <w:top w:val="nil"/>
              <w:left w:val="nil"/>
              <w:bottom w:val="single" w:sz="4" w:space="0" w:color="auto"/>
              <w:right w:val="single" w:sz="4" w:space="0" w:color="auto"/>
            </w:tcBorders>
            <w:shd w:val="clear" w:color="auto" w:fill="C6EFCE"/>
            <w:noWrap/>
          </w:tcPr>
          <w:p w14:paraId="0A0CF73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637" w:type="dxa"/>
            <w:tcBorders>
              <w:top w:val="nil"/>
              <w:left w:val="nil"/>
              <w:bottom w:val="single" w:sz="4" w:space="0" w:color="auto"/>
              <w:right w:val="single" w:sz="4" w:space="0" w:color="auto"/>
            </w:tcBorders>
            <w:shd w:val="clear" w:color="auto" w:fill="C6EFCE"/>
            <w:noWrap/>
          </w:tcPr>
          <w:p w14:paraId="2E7448C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Dodatna javna najemna stanovanja</w:t>
            </w:r>
          </w:p>
        </w:tc>
        <w:tc>
          <w:tcPr>
            <w:tcW w:w="1576" w:type="dxa"/>
            <w:tcBorders>
              <w:top w:val="nil"/>
              <w:left w:val="nil"/>
              <w:bottom w:val="single" w:sz="4" w:space="0" w:color="auto"/>
              <w:right w:val="single" w:sz="4" w:space="0" w:color="auto"/>
            </w:tcBorders>
            <w:shd w:val="clear" w:color="auto" w:fill="C6EFCE"/>
            <w:noWrap/>
          </w:tcPr>
          <w:p w14:paraId="3E19C22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40" w:type="dxa"/>
            <w:tcBorders>
              <w:top w:val="nil"/>
              <w:left w:val="nil"/>
              <w:bottom w:val="single" w:sz="4" w:space="0" w:color="auto"/>
              <w:right w:val="single" w:sz="4" w:space="0" w:color="auto"/>
            </w:tcBorders>
            <w:shd w:val="clear" w:color="auto" w:fill="C6EFCE"/>
            <w:noWrap/>
          </w:tcPr>
          <w:p w14:paraId="7D3B3327"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p w14:paraId="6326543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(stanovanj)</w:t>
            </w:r>
          </w:p>
        </w:tc>
        <w:tc>
          <w:tcPr>
            <w:tcW w:w="1134" w:type="dxa"/>
            <w:tcBorders>
              <w:top w:val="nil"/>
              <w:left w:val="nil"/>
              <w:bottom w:val="single" w:sz="4" w:space="0" w:color="auto"/>
              <w:right w:val="single" w:sz="4" w:space="0" w:color="auto"/>
            </w:tcBorders>
            <w:shd w:val="clear" w:color="auto" w:fill="C6EFCE"/>
            <w:noWrap/>
          </w:tcPr>
          <w:p w14:paraId="5079449A"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869" w:type="dxa"/>
            <w:tcBorders>
              <w:top w:val="nil"/>
              <w:left w:val="nil"/>
              <w:bottom w:val="single" w:sz="4" w:space="0" w:color="auto"/>
              <w:right w:val="single" w:sz="4" w:space="0" w:color="auto"/>
            </w:tcBorders>
            <w:shd w:val="clear" w:color="auto" w:fill="C6EFCE"/>
            <w:noWrap/>
          </w:tcPr>
          <w:p w14:paraId="5749AF7F"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4500</w:t>
            </w:r>
          </w:p>
        </w:tc>
        <w:tc>
          <w:tcPr>
            <w:tcW w:w="832" w:type="dxa"/>
            <w:tcBorders>
              <w:top w:val="nil"/>
              <w:left w:val="nil"/>
              <w:bottom w:val="single" w:sz="4" w:space="0" w:color="auto"/>
              <w:right w:val="single" w:sz="4" w:space="0" w:color="auto"/>
            </w:tcBorders>
            <w:shd w:val="clear" w:color="auto" w:fill="C6EFCE"/>
            <w:noWrap/>
          </w:tcPr>
          <w:p w14:paraId="40DE7606"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78" w:type="dxa"/>
            <w:tcBorders>
              <w:top w:val="nil"/>
              <w:left w:val="nil"/>
              <w:bottom w:val="single" w:sz="4" w:space="0" w:color="auto"/>
              <w:right w:val="single" w:sz="4" w:space="0" w:color="auto"/>
            </w:tcBorders>
            <w:shd w:val="clear" w:color="auto" w:fill="C6EFCE"/>
            <w:noWrap/>
          </w:tcPr>
          <w:p w14:paraId="3162AAAF"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2026</w:t>
            </w:r>
          </w:p>
        </w:tc>
        <w:tc>
          <w:tcPr>
            <w:tcW w:w="4216" w:type="dxa"/>
            <w:tcBorders>
              <w:top w:val="nil"/>
              <w:left w:val="nil"/>
              <w:bottom w:val="single" w:sz="4" w:space="0" w:color="auto"/>
              <w:right w:val="single" w:sz="4" w:space="0" w:color="auto"/>
            </w:tcBorders>
            <w:shd w:val="clear" w:color="auto" w:fill="C6EFCE"/>
            <w:noWrap/>
          </w:tcPr>
          <w:p w14:paraId="313AC1A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Zgrajenih ali kupljenih bo najmanj 4 500 novih javnih najemnih stanovanj v skladu z zahtevami Stanovanjskega zakona, razen tistih, predvidenih v ciljih 208 in 209.</w:t>
            </w:r>
          </w:p>
          <w:p w14:paraId="36233753" w14:textId="77777777" w:rsidR="003C6015" w:rsidRPr="00DD6A04" w:rsidRDefault="003C6015" w:rsidP="003C6015">
            <w:pPr>
              <w:spacing w:before="0" w:after="0" w:line="256" w:lineRule="auto"/>
              <w:rPr>
                <w:rFonts w:eastAsia="Times New Roman"/>
                <w:noProof/>
                <w:color w:val="006100"/>
                <w:sz w:val="22"/>
                <w:lang w:val="en-GB" w:eastAsia="en-GB"/>
              </w:rPr>
            </w:pPr>
          </w:p>
        </w:tc>
      </w:tr>
      <w:tr w:rsidR="002E7B11" w:rsidRPr="00DD6A04" w14:paraId="421A40AD" w14:textId="77777777" w:rsidTr="00BE478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3AB98124"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207</w:t>
            </w:r>
          </w:p>
        </w:tc>
        <w:tc>
          <w:tcPr>
            <w:tcW w:w="1427" w:type="dxa"/>
            <w:tcBorders>
              <w:top w:val="nil"/>
              <w:left w:val="nil"/>
              <w:bottom w:val="single" w:sz="4" w:space="0" w:color="auto"/>
              <w:right w:val="single" w:sz="4" w:space="0" w:color="auto"/>
            </w:tcBorders>
            <w:shd w:val="clear" w:color="auto" w:fill="C6EFCE"/>
            <w:noWrap/>
          </w:tcPr>
          <w:p w14:paraId="799C16D2" w14:textId="5620F6A6" w:rsidR="003C6015" w:rsidRPr="00DD6A04" w:rsidRDefault="001D23D2" w:rsidP="003C6015">
            <w:pPr>
              <w:spacing w:before="0" w:after="0" w:line="256" w:lineRule="auto"/>
              <w:rPr>
                <w:rFonts w:eastAsia="Times New Roman"/>
                <w:noProof/>
                <w:color w:val="006100"/>
                <w:sz w:val="22"/>
              </w:rPr>
            </w:pPr>
            <w:r>
              <w:rPr>
                <w:noProof/>
                <w:color w:val="006100"/>
              </w:rPr>
              <w:t xml:space="preserve">B: </w:t>
            </w:r>
            <w:r>
              <w:rPr>
                <w:noProof/>
                <w:color w:val="006100"/>
                <w:sz w:val="22"/>
              </w:rPr>
              <w:t>Zagotavljanje javnih najemnih stanovanj</w:t>
            </w:r>
          </w:p>
        </w:tc>
        <w:tc>
          <w:tcPr>
            <w:tcW w:w="850" w:type="dxa"/>
            <w:tcBorders>
              <w:top w:val="nil"/>
              <w:left w:val="nil"/>
              <w:bottom w:val="single" w:sz="4" w:space="0" w:color="auto"/>
              <w:right w:val="single" w:sz="4" w:space="0" w:color="auto"/>
            </w:tcBorders>
            <w:shd w:val="clear" w:color="auto" w:fill="C6EFCE"/>
            <w:noWrap/>
          </w:tcPr>
          <w:p w14:paraId="74246E79"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Mejnik</w:t>
            </w:r>
          </w:p>
        </w:tc>
        <w:tc>
          <w:tcPr>
            <w:tcW w:w="1637" w:type="dxa"/>
            <w:tcBorders>
              <w:top w:val="nil"/>
              <w:left w:val="nil"/>
              <w:bottom w:val="single" w:sz="4" w:space="0" w:color="auto"/>
              <w:right w:val="single" w:sz="4" w:space="0" w:color="auto"/>
            </w:tcBorders>
            <w:shd w:val="clear" w:color="auto" w:fill="C6EFCE"/>
            <w:noWrap/>
          </w:tcPr>
          <w:p w14:paraId="34AEFF49" w14:textId="7A9DC10A" w:rsidR="003C6015" w:rsidRPr="00DD6A04" w:rsidRDefault="003C6015" w:rsidP="003C6015">
            <w:pPr>
              <w:spacing w:before="0" w:after="0" w:line="256" w:lineRule="auto"/>
              <w:rPr>
                <w:rFonts w:eastAsia="Times New Roman"/>
                <w:noProof/>
                <w:color w:val="006100"/>
                <w:sz w:val="22"/>
              </w:rPr>
            </w:pPr>
            <w:r>
              <w:rPr>
                <w:noProof/>
                <w:color w:val="006100"/>
                <w:sz w:val="22"/>
              </w:rPr>
              <w:t>Dodelitev sredstev za zagotavljanje javnih najemnih stanovanj</w:t>
            </w:r>
          </w:p>
        </w:tc>
        <w:tc>
          <w:tcPr>
            <w:tcW w:w="1576" w:type="dxa"/>
            <w:tcBorders>
              <w:top w:val="nil"/>
              <w:left w:val="nil"/>
              <w:bottom w:val="single" w:sz="4" w:space="0" w:color="auto"/>
              <w:right w:val="single" w:sz="4" w:space="0" w:color="auto"/>
            </w:tcBorders>
            <w:shd w:val="clear" w:color="auto" w:fill="C6EFCE"/>
            <w:noWrap/>
          </w:tcPr>
          <w:p w14:paraId="38845994"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Objava rezultatov razpisa</w:t>
            </w:r>
          </w:p>
        </w:tc>
        <w:tc>
          <w:tcPr>
            <w:tcW w:w="1040" w:type="dxa"/>
            <w:tcBorders>
              <w:top w:val="nil"/>
              <w:left w:val="nil"/>
              <w:bottom w:val="single" w:sz="4" w:space="0" w:color="auto"/>
              <w:right w:val="single" w:sz="4" w:space="0" w:color="auto"/>
            </w:tcBorders>
            <w:shd w:val="clear" w:color="auto" w:fill="C6EFCE"/>
            <w:noWrap/>
          </w:tcPr>
          <w:p w14:paraId="486D563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134" w:type="dxa"/>
            <w:tcBorders>
              <w:top w:val="nil"/>
              <w:left w:val="nil"/>
              <w:bottom w:val="single" w:sz="4" w:space="0" w:color="auto"/>
              <w:right w:val="single" w:sz="4" w:space="0" w:color="auto"/>
            </w:tcBorders>
            <w:shd w:val="clear" w:color="auto" w:fill="C6EFCE"/>
            <w:noWrap/>
          </w:tcPr>
          <w:p w14:paraId="259222FA"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869" w:type="dxa"/>
            <w:tcBorders>
              <w:top w:val="nil"/>
              <w:left w:val="nil"/>
              <w:bottom w:val="single" w:sz="4" w:space="0" w:color="auto"/>
              <w:right w:val="single" w:sz="4" w:space="0" w:color="auto"/>
            </w:tcBorders>
            <w:shd w:val="clear" w:color="auto" w:fill="C6EFCE"/>
            <w:noWrap/>
          </w:tcPr>
          <w:p w14:paraId="725488DD"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 </w:t>
            </w:r>
          </w:p>
        </w:tc>
        <w:tc>
          <w:tcPr>
            <w:tcW w:w="832" w:type="dxa"/>
            <w:tcBorders>
              <w:top w:val="nil"/>
              <w:left w:val="nil"/>
              <w:bottom w:val="single" w:sz="4" w:space="0" w:color="auto"/>
              <w:right w:val="single" w:sz="4" w:space="0" w:color="auto"/>
            </w:tcBorders>
            <w:shd w:val="clear" w:color="auto" w:fill="C6EFCE"/>
            <w:noWrap/>
          </w:tcPr>
          <w:p w14:paraId="30138165"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Q2</w:t>
            </w:r>
          </w:p>
        </w:tc>
        <w:tc>
          <w:tcPr>
            <w:tcW w:w="778" w:type="dxa"/>
            <w:tcBorders>
              <w:top w:val="nil"/>
              <w:left w:val="nil"/>
              <w:bottom w:val="single" w:sz="4" w:space="0" w:color="auto"/>
              <w:right w:val="single" w:sz="4" w:space="0" w:color="auto"/>
            </w:tcBorders>
            <w:shd w:val="clear" w:color="auto" w:fill="C6EFCE"/>
            <w:noWrap/>
          </w:tcPr>
          <w:p w14:paraId="7757C3F3"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2022</w:t>
            </w:r>
          </w:p>
        </w:tc>
        <w:tc>
          <w:tcPr>
            <w:tcW w:w="4216" w:type="dxa"/>
            <w:tcBorders>
              <w:top w:val="nil"/>
              <w:left w:val="nil"/>
              <w:bottom w:val="single" w:sz="4" w:space="0" w:color="auto"/>
              <w:right w:val="single" w:sz="4" w:space="0" w:color="auto"/>
            </w:tcBorders>
            <w:shd w:val="clear" w:color="auto" w:fill="C6EFCE"/>
            <w:noWrap/>
          </w:tcPr>
          <w:p w14:paraId="7D052D5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Izbrani projekti bodo zagotovili gradnjo novih stanovanj s povprečno površino med 47 in 58 m². Vsa stanovanja se bodo uporabljala izključno kot javna najemna stanovanja.</w:t>
            </w:r>
          </w:p>
          <w:p w14:paraId="4AA8A04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Nove stavbe bodo izpolnjevale zahteve za stavbe s skoraj ničelno porabo energije.</w:t>
            </w:r>
          </w:p>
        </w:tc>
      </w:tr>
      <w:tr w:rsidR="002E7B11" w:rsidRPr="00DD6A04" w14:paraId="6797D2F1" w14:textId="77777777" w:rsidTr="00BE478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0430081D"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208</w:t>
            </w:r>
          </w:p>
        </w:tc>
        <w:tc>
          <w:tcPr>
            <w:tcW w:w="1427" w:type="dxa"/>
            <w:tcBorders>
              <w:top w:val="nil"/>
              <w:left w:val="nil"/>
              <w:bottom w:val="single" w:sz="4" w:space="0" w:color="auto"/>
              <w:right w:val="single" w:sz="4" w:space="0" w:color="auto"/>
            </w:tcBorders>
            <w:shd w:val="clear" w:color="auto" w:fill="C6EFCE"/>
            <w:noWrap/>
          </w:tcPr>
          <w:p w14:paraId="41B3FD27" w14:textId="7FDD2709" w:rsidR="003C6015" w:rsidRPr="00DD6A04" w:rsidRDefault="001D23D2" w:rsidP="003C6015">
            <w:pPr>
              <w:spacing w:before="0" w:after="0" w:line="256" w:lineRule="auto"/>
              <w:rPr>
                <w:rFonts w:eastAsia="Times New Roman"/>
                <w:noProof/>
                <w:color w:val="006100"/>
                <w:sz w:val="22"/>
              </w:rPr>
            </w:pPr>
            <w:r>
              <w:rPr>
                <w:noProof/>
                <w:color w:val="006100"/>
              </w:rPr>
              <w:t xml:space="preserve">B: </w:t>
            </w:r>
            <w:r>
              <w:rPr>
                <w:noProof/>
                <w:color w:val="006100"/>
                <w:sz w:val="22"/>
              </w:rPr>
              <w:t>Zagotavljanje javnih najemnih stanovanj</w:t>
            </w:r>
          </w:p>
        </w:tc>
        <w:tc>
          <w:tcPr>
            <w:tcW w:w="850" w:type="dxa"/>
            <w:tcBorders>
              <w:top w:val="nil"/>
              <w:left w:val="nil"/>
              <w:bottom w:val="single" w:sz="4" w:space="0" w:color="auto"/>
              <w:right w:val="single" w:sz="4" w:space="0" w:color="auto"/>
            </w:tcBorders>
            <w:shd w:val="clear" w:color="auto" w:fill="C6EFCE"/>
            <w:noWrap/>
          </w:tcPr>
          <w:p w14:paraId="310398F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637" w:type="dxa"/>
            <w:tcBorders>
              <w:top w:val="nil"/>
              <w:left w:val="nil"/>
              <w:bottom w:val="single" w:sz="4" w:space="0" w:color="auto"/>
              <w:right w:val="single" w:sz="4" w:space="0" w:color="auto"/>
            </w:tcBorders>
            <w:shd w:val="clear" w:color="auto" w:fill="C6EFCE"/>
            <w:noWrap/>
          </w:tcPr>
          <w:p w14:paraId="7210D0E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Dodatna javna najemna stanovanja </w:t>
            </w:r>
          </w:p>
          <w:p w14:paraId="0A2A9066"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576" w:type="dxa"/>
            <w:tcBorders>
              <w:top w:val="nil"/>
              <w:left w:val="nil"/>
              <w:bottom w:val="single" w:sz="4" w:space="0" w:color="auto"/>
              <w:right w:val="single" w:sz="4" w:space="0" w:color="auto"/>
            </w:tcBorders>
            <w:shd w:val="clear" w:color="auto" w:fill="C6EFCE"/>
            <w:noWrap/>
          </w:tcPr>
          <w:p w14:paraId="1DF25D5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40" w:type="dxa"/>
            <w:tcBorders>
              <w:top w:val="nil"/>
              <w:left w:val="nil"/>
              <w:bottom w:val="single" w:sz="4" w:space="0" w:color="auto"/>
              <w:right w:val="single" w:sz="4" w:space="0" w:color="auto"/>
            </w:tcBorders>
            <w:shd w:val="clear" w:color="auto" w:fill="C6EFCE"/>
            <w:noWrap/>
          </w:tcPr>
          <w:p w14:paraId="75F2B21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1134" w:type="dxa"/>
            <w:tcBorders>
              <w:top w:val="nil"/>
              <w:left w:val="nil"/>
              <w:bottom w:val="single" w:sz="4" w:space="0" w:color="auto"/>
              <w:right w:val="single" w:sz="4" w:space="0" w:color="auto"/>
            </w:tcBorders>
            <w:shd w:val="clear" w:color="auto" w:fill="C6EFCE"/>
            <w:noWrap/>
          </w:tcPr>
          <w:p w14:paraId="7AA7B329"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0</w:t>
            </w:r>
          </w:p>
        </w:tc>
        <w:tc>
          <w:tcPr>
            <w:tcW w:w="869" w:type="dxa"/>
            <w:tcBorders>
              <w:top w:val="nil"/>
              <w:left w:val="nil"/>
              <w:bottom w:val="single" w:sz="4" w:space="0" w:color="auto"/>
              <w:right w:val="single" w:sz="4" w:space="0" w:color="auto"/>
            </w:tcBorders>
            <w:shd w:val="clear" w:color="auto" w:fill="C6EFCE"/>
            <w:noWrap/>
          </w:tcPr>
          <w:p w14:paraId="0E9127C1"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200</w:t>
            </w:r>
          </w:p>
        </w:tc>
        <w:tc>
          <w:tcPr>
            <w:tcW w:w="832" w:type="dxa"/>
            <w:tcBorders>
              <w:top w:val="nil"/>
              <w:left w:val="nil"/>
              <w:bottom w:val="single" w:sz="4" w:space="0" w:color="auto"/>
              <w:right w:val="single" w:sz="4" w:space="0" w:color="auto"/>
            </w:tcBorders>
            <w:shd w:val="clear" w:color="auto" w:fill="C6EFCE"/>
            <w:noWrap/>
          </w:tcPr>
          <w:p w14:paraId="71AED454"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78" w:type="dxa"/>
            <w:tcBorders>
              <w:top w:val="nil"/>
              <w:left w:val="nil"/>
              <w:bottom w:val="single" w:sz="4" w:space="0" w:color="auto"/>
              <w:right w:val="single" w:sz="4" w:space="0" w:color="auto"/>
            </w:tcBorders>
            <w:shd w:val="clear" w:color="auto" w:fill="C6EFCE"/>
            <w:noWrap/>
          </w:tcPr>
          <w:p w14:paraId="5B1483B7"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2024</w:t>
            </w:r>
          </w:p>
        </w:tc>
        <w:tc>
          <w:tcPr>
            <w:tcW w:w="4216" w:type="dxa"/>
            <w:tcBorders>
              <w:top w:val="nil"/>
              <w:left w:val="nil"/>
              <w:bottom w:val="single" w:sz="4" w:space="0" w:color="auto"/>
              <w:right w:val="single" w:sz="4" w:space="0" w:color="auto"/>
            </w:tcBorders>
            <w:shd w:val="clear" w:color="auto" w:fill="C6EFCE"/>
            <w:noWrap/>
          </w:tcPr>
          <w:p w14:paraId="3D0DDE3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Dokončana gradbena dela in izdana dovoljenja za uporabo za dodatna javna najemna stanovanja v skladu z zahtevami iz mejnika 207.</w:t>
            </w:r>
          </w:p>
          <w:p w14:paraId="5812E2E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Stanovanjska površina bo v skladu s pogoji Pravilnika o dodeljevanju neprofitnih stanovanj v najem (Uradni list RS, št. 14/04, 34/04, 62/06, 11/09, 81/11 in 47/14), povprečna površina pa naj bi bila med 47 in 58 m².</w:t>
            </w:r>
          </w:p>
        </w:tc>
      </w:tr>
      <w:tr w:rsidR="002E7B11" w:rsidRPr="00DD6A04" w14:paraId="004D67D1" w14:textId="77777777" w:rsidTr="00BE478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468460A3" w14:textId="77777777" w:rsidR="003C6015" w:rsidRPr="00DD6A04" w:rsidRDefault="003C6015" w:rsidP="00A144BE">
            <w:pPr>
              <w:spacing w:before="0" w:after="0" w:line="256" w:lineRule="auto"/>
              <w:rPr>
                <w:rFonts w:eastAsia="Times New Roman"/>
                <w:noProof/>
                <w:color w:val="006100"/>
                <w:sz w:val="22"/>
              </w:rPr>
            </w:pPr>
            <w:r>
              <w:rPr>
                <w:noProof/>
                <w:color w:val="006100"/>
                <w:sz w:val="22"/>
              </w:rPr>
              <w:t>209</w:t>
            </w:r>
          </w:p>
        </w:tc>
        <w:tc>
          <w:tcPr>
            <w:tcW w:w="1427" w:type="dxa"/>
            <w:tcBorders>
              <w:top w:val="nil"/>
              <w:left w:val="nil"/>
              <w:bottom w:val="single" w:sz="4" w:space="0" w:color="auto"/>
              <w:right w:val="single" w:sz="4" w:space="0" w:color="auto"/>
            </w:tcBorders>
            <w:shd w:val="clear" w:color="auto" w:fill="C6EFCE"/>
            <w:noWrap/>
          </w:tcPr>
          <w:p w14:paraId="5F7C1512" w14:textId="283752FE" w:rsidR="003C6015" w:rsidRPr="00DD6A04" w:rsidRDefault="001D23D2" w:rsidP="003C6015">
            <w:pPr>
              <w:spacing w:before="0" w:after="0" w:line="256" w:lineRule="auto"/>
              <w:rPr>
                <w:rFonts w:eastAsia="Times New Roman"/>
                <w:noProof/>
                <w:color w:val="006100"/>
                <w:sz w:val="22"/>
              </w:rPr>
            </w:pPr>
            <w:r>
              <w:rPr>
                <w:noProof/>
                <w:color w:val="006100"/>
              </w:rPr>
              <w:t xml:space="preserve">B: </w:t>
            </w:r>
            <w:r>
              <w:rPr>
                <w:noProof/>
                <w:color w:val="006100"/>
                <w:sz w:val="22"/>
              </w:rPr>
              <w:t>Zagotavljanje javnih najemnih stanovanj</w:t>
            </w:r>
          </w:p>
        </w:tc>
        <w:tc>
          <w:tcPr>
            <w:tcW w:w="850" w:type="dxa"/>
            <w:tcBorders>
              <w:top w:val="nil"/>
              <w:left w:val="nil"/>
              <w:bottom w:val="single" w:sz="4" w:space="0" w:color="auto"/>
              <w:right w:val="single" w:sz="4" w:space="0" w:color="auto"/>
            </w:tcBorders>
            <w:shd w:val="clear" w:color="auto" w:fill="C6EFCE"/>
            <w:noWrap/>
          </w:tcPr>
          <w:p w14:paraId="364134CC"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1637" w:type="dxa"/>
            <w:tcBorders>
              <w:top w:val="nil"/>
              <w:left w:val="nil"/>
              <w:bottom w:val="single" w:sz="4" w:space="0" w:color="auto"/>
              <w:right w:val="single" w:sz="4" w:space="0" w:color="auto"/>
            </w:tcBorders>
            <w:shd w:val="clear" w:color="auto" w:fill="C6EFCE"/>
            <w:noWrap/>
          </w:tcPr>
          <w:p w14:paraId="7E93471A"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Dodatna javna najemna stanovanja </w:t>
            </w:r>
          </w:p>
          <w:p w14:paraId="731BBE35" w14:textId="77777777" w:rsidR="003C6015" w:rsidRPr="00DD6A04" w:rsidRDefault="003C6015" w:rsidP="003C6015">
            <w:pPr>
              <w:spacing w:before="0" w:after="0" w:line="256" w:lineRule="auto"/>
              <w:rPr>
                <w:rFonts w:eastAsia="Times New Roman"/>
                <w:noProof/>
                <w:color w:val="006100"/>
                <w:sz w:val="22"/>
                <w:lang w:val="en-GB" w:eastAsia="en-GB"/>
              </w:rPr>
            </w:pPr>
          </w:p>
        </w:tc>
        <w:tc>
          <w:tcPr>
            <w:tcW w:w="1576" w:type="dxa"/>
            <w:tcBorders>
              <w:top w:val="nil"/>
              <w:left w:val="nil"/>
              <w:bottom w:val="single" w:sz="4" w:space="0" w:color="auto"/>
              <w:right w:val="single" w:sz="4" w:space="0" w:color="auto"/>
            </w:tcBorders>
            <w:shd w:val="clear" w:color="auto" w:fill="C6EFCE"/>
            <w:noWrap/>
          </w:tcPr>
          <w:p w14:paraId="0A5CEA92"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w:t>
            </w:r>
          </w:p>
        </w:tc>
        <w:tc>
          <w:tcPr>
            <w:tcW w:w="1040" w:type="dxa"/>
            <w:tcBorders>
              <w:top w:val="nil"/>
              <w:left w:val="nil"/>
              <w:bottom w:val="single" w:sz="4" w:space="0" w:color="auto"/>
              <w:right w:val="single" w:sz="4" w:space="0" w:color="auto"/>
            </w:tcBorders>
            <w:shd w:val="clear" w:color="auto" w:fill="C6EFCE"/>
            <w:noWrap/>
          </w:tcPr>
          <w:p w14:paraId="299FAB7F"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Število</w:t>
            </w:r>
          </w:p>
        </w:tc>
        <w:tc>
          <w:tcPr>
            <w:tcW w:w="1134" w:type="dxa"/>
            <w:tcBorders>
              <w:top w:val="nil"/>
              <w:left w:val="nil"/>
              <w:bottom w:val="single" w:sz="4" w:space="0" w:color="auto"/>
              <w:right w:val="single" w:sz="4" w:space="0" w:color="auto"/>
            </w:tcBorders>
            <w:shd w:val="clear" w:color="auto" w:fill="C6EFCE"/>
            <w:noWrap/>
          </w:tcPr>
          <w:p w14:paraId="6D82F369"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200</w:t>
            </w:r>
          </w:p>
        </w:tc>
        <w:tc>
          <w:tcPr>
            <w:tcW w:w="869" w:type="dxa"/>
            <w:tcBorders>
              <w:top w:val="nil"/>
              <w:left w:val="nil"/>
              <w:bottom w:val="single" w:sz="4" w:space="0" w:color="auto"/>
              <w:right w:val="single" w:sz="4" w:space="0" w:color="auto"/>
            </w:tcBorders>
            <w:shd w:val="clear" w:color="auto" w:fill="C6EFCE"/>
            <w:noWrap/>
          </w:tcPr>
          <w:p w14:paraId="53C0FFE6" w14:textId="77777777" w:rsidR="003C6015" w:rsidRPr="00DD6A04" w:rsidRDefault="003C6015" w:rsidP="003C6015">
            <w:pPr>
              <w:spacing w:before="0" w:after="0" w:line="256" w:lineRule="auto"/>
              <w:jc w:val="right"/>
              <w:rPr>
                <w:rFonts w:eastAsia="Times New Roman"/>
                <w:noProof/>
                <w:color w:val="006100"/>
                <w:sz w:val="22"/>
              </w:rPr>
            </w:pPr>
            <w:r>
              <w:rPr>
                <w:noProof/>
                <w:color w:val="006100"/>
                <w:sz w:val="22"/>
              </w:rPr>
              <w:t>480</w:t>
            </w:r>
          </w:p>
        </w:tc>
        <w:tc>
          <w:tcPr>
            <w:tcW w:w="832" w:type="dxa"/>
            <w:tcBorders>
              <w:top w:val="nil"/>
              <w:left w:val="nil"/>
              <w:bottom w:val="single" w:sz="4" w:space="0" w:color="auto"/>
              <w:right w:val="single" w:sz="4" w:space="0" w:color="auto"/>
            </w:tcBorders>
            <w:shd w:val="clear" w:color="auto" w:fill="C6EFCE"/>
            <w:noWrap/>
          </w:tcPr>
          <w:p w14:paraId="2E260507"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Q4</w:t>
            </w:r>
          </w:p>
        </w:tc>
        <w:tc>
          <w:tcPr>
            <w:tcW w:w="778" w:type="dxa"/>
            <w:tcBorders>
              <w:top w:val="nil"/>
              <w:left w:val="nil"/>
              <w:bottom w:val="single" w:sz="4" w:space="0" w:color="auto"/>
              <w:right w:val="single" w:sz="4" w:space="0" w:color="auto"/>
            </w:tcBorders>
            <w:shd w:val="clear" w:color="auto" w:fill="C6EFCE"/>
            <w:noWrap/>
          </w:tcPr>
          <w:p w14:paraId="039BBBA8"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2025</w:t>
            </w:r>
          </w:p>
        </w:tc>
        <w:tc>
          <w:tcPr>
            <w:tcW w:w="4216" w:type="dxa"/>
            <w:tcBorders>
              <w:top w:val="nil"/>
              <w:left w:val="nil"/>
              <w:bottom w:val="single" w:sz="4" w:space="0" w:color="auto"/>
              <w:right w:val="single" w:sz="4" w:space="0" w:color="auto"/>
            </w:tcBorders>
            <w:shd w:val="clear" w:color="auto" w:fill="C6EFCE"/>
            <w:noWrap/>
          </w:tcPr>
          <w:p w14:paraId="087AD4E8"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Dokončana gradbena dela in izdana dovoljenja za uporabo za dodatna javna najemna stanovanja v skladu z zahtevami iz mejnika 207.</w:t>
            </w:r>
          </w:p>
          <w:p w14:paraId="6B46769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Stanovanjska površina bo v skladu s pogoji Pravilnika o dodeljevanju neprofitnih stanovanj v najem (Uradni list RS, št. 14/04, 34/04, 62/06, 11/09, 81/11 in 47/14), povprečna površina pa naj bi bila med 47 in 58 m².</w:t>
            </w:r>
          </w:p>
          <w:p w14:paraId="09403C13"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Skupni znesek financiranja bo najmanj 60 000 000 EUR.</w:t>
            </w:r>
          </w:p>
        </w:tc>
      </w:tr>
    </w:tbl>
    <w:p w14:paraId="34947845" w14:textId="77777777" w:rsidR="003C6015" w:rsidRPr="00DD6A04" w:rsidRDefault="003C6015" w:rsidP="003C6015">
      <w:pPr>
        <w:spacing w:line="240" w:lineRule="auto"/>
        <w:ind w:left="709"/>
        <w:jc w:val="both"/>
        <w:rPr>
          <w:noProof/>
          <w:szCs w:val="24"/>
          <w:lang w:val="en-GB"/>
        </w:rPr>
        <w:sectPr w:rsidR="003C6015" w:rsidRPr="00DD6A04" w:rsidSect="00073927">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20"/>
          <w:docGrid w:linePitch="360"/>
        </w:sectPr>
      </w:pPr>
    </w:p>
    <w:p w14:paraId="2ACE9505" w14:textId="0DEF3F0C" w:rsidR="5460D8A6" w:rsidRPr="00DD6A04" w:rsidRDefault="5460D8A6" w:rsidP="0035654A">
      <w:pPr>
        <w:pStyle w:val="Heading1"/>
        <w:numPr>
          <w:ilvl w:val="0"/>
          <w:numId w:val="0"/>
        </w:numPr>
        <w:tabs>
          <w:tab w:val="num" w:pos="850"/>
        </w:tabs>
        <w:rPr>
          <w:noProof/>
          <w:u w:val="single"/>
        </w:rPr>
      </w:pPr>
      <w:r>
        <w:rPr>
          <w:noProof/>
          <w:u w:val="single"/>
        </w:rPr>
        <w:t>R. KOMPONENTA 17: REPowerEU</w:t>
      </w:r>
    </w:p>
    <w:p w14:paraId="743C7DC8" w14:textId="3631D697" w:rsidR="5460D8A6" w:rsidRPr="00DD6A04" w:rsidRDefault="5460D8A6" w:rsidP="00AF52E6">
      <w:pPr>
        <w:spacing w:after="0" w:line="240" w:lineRule="auto"/>
        <w:jc w:val="both"/>
        <w:rPr>
          <w:rFonts w:eastAsia="Times New Roman"/>
          <w:noProof/>
          <w:szCs w:val="24"/>
        </w:rPr>
      </w:pPr>
      <w:r>
        <w:rPr>
          <w:noProof/>
        </w:rPr>
        <w:t xml:space="preserve">Cilj poglavja REPowerEU slovenskega načrta za okrevanje in odpornost je zmanjšati odvisnost od fosilnih goriv, zlasti iz Rusije, in pospešiti zeleni prehod v ključnih sektorjih gospodarstva. Pričakuje se, da bodo naložbe v razogljičenje industrije in v distribucijsko omrežje električne energije skupaj z reformo za olajšanje hitrejšega uvajanja obnovljivih virov energije na različnih prostorskih območjih (npr. rudniki, površine ob cestah, vodne površine, strehe) prispevale k povečanju deleža obnovljivih virov energije v mešanici energijskih virov. Hkrati se pričakuje, da bo energetsko učinkovito prestrukturiranje sistemov daljinskega ogrevanja prispevalo k zmanjšanju uporabe fosilnih goriv, vključno z zemeljskim plinom. Poleg tega naj bi naložbe v polnilno infrastrukturo in brezemisijska vozila prispevale k zmanjšanju emisij toplogrednih plinov v prometnem sektorju. </w:t>
      </w:r>
    </w:p>
    <w:p w14:paraId="2ABB5BFC" w14:textId="38A9DF2E" w:rsidR="5460D8A6" w:rsidRPr="00DD6A04" w:rsidRDefault="5460D8A6" w:rsidP="00BA2D10">
      <w:pPr>
        <w:spacing w:after="200" w:line="240" w:lineRule="auto"/>
        <w:jc w:val="both"/>
        <w:rPr>
          <w:rFonts w:eastAsia="Times New Roman"/>
          <w:noProof/>
        </w:rPr>
      </w:pPr>
      <w:r>
        <w:rPr>
          <w:noProof/>
        </w:rPr>
        <w:t>Od štirih investicij imajo tri čezmejno ali večdržavno razsežnost. Največji investiciji s čezmejno ali večdržavno razsežnostjo se nanašata na razogljičenje industrije z ukrepi, kot sta energetska učinkovitost in elektrifikacija, ter na postavitev infrastrukture za alternativna goriva in uvajanje brezemisijskih vozil, s čimer prispevata k zmanjšanju povpraševanja po uvoženih fosilnih gorivih. Podobno imajo tudi investicije v nadgradnjo in razširitev distribucijskega omrežja električne energije ter energetsko učinkovito prestrukturiranje sistemov daljinskega ogrevanja z uvedbo obnovljivih virov energije čezmejno razsežnost, saj se pričakuje, da bodo omogočile vključitev večjega deleža obnovljivih virov energije na omrežje in zmanjšale povpraševanje po uvoženih fosilnih gorivih.</w:t>
      </w:r>
    </w:p>
    <w:p w14:paraId="5F2EA091" w14:textId="5298394B" w:rsidR="5460D8A6" w:rsidRPr="00DD6A04" w:rsidRDefault="5460D8A6" w:rsidP="00BA2D10">
      <w:pPr>
        <w:spacing w:line="240" w:lineRule="auto"/>
        <w:jc w:val="both"/>
        <w:rPr>
          <w:rFonts w:eastAsia="Times New Roman"/>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p>
    <w:p w14:paraId="42FA45B7" w14:textId="6E7959EF" w:rsidR="5460D8A6" w:rsidRPr="00DD6A04" w:rsidRDefault="5460D8A6" w:rsidP="00BA2D10">
      <w:pPr>
        <w:spacing w:line="240" w:lineRule="auto"/>
        <w:jc w:val="both"/>
        <w:rPr>
          <w:rFonts w:eastAsia="Times New Roman"/>
          <w:noProof/>
          <w:szCs w:val="24"/>
        </w:rPr>
      </w:pPr>
      <w:r>
        <w:rPr>
          <w:b/>
          <w:noProof/>
          <w:u w:val="single"/>
        </w:rPr>
        <w:t>R.1 Opis reform in naložb za nepovratno finančno podporo</w:t>
      </w:r>
    </w:p>
    <w:p w14:paraId="556B7CCE" w14:textId="4B45070C" w:rsidR="5460D8A6" w:rsidRPr="00DD6A04" w:rsidRDefault="5460D8A6" w:rsidP="00BA2D10">
      <w:pPr>
        <w:spacing w:line="240" w:lineRule="auto"/>
        <w:jc w:val="both"/>
        <w:rPr>
          <w:rFonts w:eastAsia="Times New Roman"/>
          <w:noProof/>
          <w:u w:val="single"/>
        </w:rPr>
      </w:pPr>
      <w:r>
        <w:rPr>
          <w:noProof/>
          <w:u w:val="single"/>
        </w:rPr>
        <w:t xml:space="preserve">Reforma A. Razširjen ukrep: Reforma spodbujanja obnovljivih virov energije v Sloveniji </w:t>
      </w:r>
    </w:p>
    <w:p w14:paraId="54A7DED9" w14:textId="3BE8C3FC" w:rsidR="002B09DD" w:rsidRPr="00DD6A04" w:rsidRDefault="5460D8A6">
      <w:pPr>
        <w:spacing w:line="240" w:lineRule="auto"/>
        <w:jc w:val="both"/>
        <w:rPr>
          <w:rFonts w:eastAsia="Times New Roman"/>
          <w:noProof/>
        </w:rPr>
      </w:pPr>
      <w:r>
        <w:rPr>
          <w:noProof/>
        </w:rPr>
        <w:t xml:space="preserve">Cilj te reforme je olajšati pospešeno uvajanje naprav za proizvodnjo električne energije iz obnovljivih virov energije z razširitvijo obstoječe reforme A komponente 1. Z razširjeno reformo se odpravijo regulativne ovire za uvajanje naprav za proizvodnjo električne energije iz obnovljivih virov energije (sončna in vetrna energija) na nekaterih območjih, kot so površine ob cestah, vodne površine in strehe. Poleg tega se z reformo opredelijo tudi pristojnosti in postopki prevlade javne koristi. </w:t>
      </w:r>
    </w:p>
    <w:p w14:paraId="1E4616BA" w14:textId="7C29101C" w:rsidR="00F236DF" w:rsidRPr="00DD6A04" w:rsidRDefault="00CA4B92" w:rsidP="00C229A1">
      <w:pPr>
        <w:spacing w:line="240" w:lineRule="auto"/>
        <w:jc w:val="both"/>
        <w:rPr>
          <w:rFonts w:eastAsia="Times New Roman"/>
          <w:noProof/>
        </w:rPr>
      </w:pPr>
      <w:r>
        <w:rPr>
          <w:noProof/>
        </w:rPr>
        <w:t>Reforma se izvede z začetkom veljavnosti Zakona o uvajanju naprav za proizvodnjo električne energije iz obnovljivih virov energije in s sprejetjem Uredbe o podrobnejših pravilih urejanja prostora ob postavitvi fotonapetostnih naprav.</w:t>
      </w:r>
    </w:p>
    <w:p w14:paraId="561CE8AB" w14:textId="4D09927C" w:rsidR="003148A7" w:rsidRPr="00DD6A04" w:rsidRDefault="00F236DF" w:rsidP="00C229A1">
      <w:pPr>
        <w:spacing w:line="240" w:lineRule="auto"/>
        <w:jc w:val="both"/>
        <w:rPr>
          <w:rFonts w:eastAsia="Times New Roman"/>
          <w:noProof/>
        </w:rPr>
      </w:pPr>
      <w:r>
        <w:rPr>
          <w:noProof/>
        </w:rPr>
        <w:t>Ukrep se izvede do 30. junija 2024.</w:t>
      </w:r>
    </w:p>
    <w:p w14:paraId="2B461DCA" w14:textId="2646CD84" w:rsidR="5460D8A6" w:rsidRPr="00DD6A04" w:rsidRDefault="5460D8A6" w:rsidP="00C229A1">
      <w:pPr>
        <w:spacing w:line="240" w:lineRule="auto"/>
        <w:jc w:val="both"/>
        <w:rPr>
          <w:rFonts w:eastAsia="Times New Roman"/>
          <w:noProof/>
          <w:u w:val="single"/>
        </w:rPr>
      </w:pPr>
      <w:r>
        <w:rPr>
          <w:noProof/>
          <w:u w:val="single"/>
        </w:rPr>
        <w:t>Investicija B. Razširjen ukrep: Energetsko učinkovito prestrukturiranje sistemov daljinskega ogrevanja na obnovljive vire energije</w:t>
      </w:r>
    </w:p>
    <w:p w14:paraId="0DDE3B06" w14:textId="697237E1" w:rsidR="5460D8A6" w:rsidRPr="00DD6A04" w:rsidRDefault="5460D8A6" w:rsidP="00C229A1">
      <w:pPr>
        <w:spacing w:line="240" w:lineRule="auto"/>
        <w:jc w:val="both"/>
        <w:rPr>
          <w:rFonts w:ascii="Arial" w:eastAsia="Arial" w:hAnsi="Arial" w:cs="Arial"/>
          <w:noProof/>
          <w:sz w:val="22"/>
        </w:rPr>
      </w:pPr>
      <w:r>
        <w:rPr>
          <w:noProof/>
        </w:rPr>
        <w:t>Cilj te naložbe je spodbuditi energetsko učinkovito prestrukturiranje sistemov daljinskega ogrevanja z razširitvijo obstoječe naložbe D komponente 1.</w:t>
      </w:r>
    </w:p>
    <w:p w14:paraId="65847600" w14:textId="52C4AC6B" w:rsidR="5460D8A6" w:rsidRPr="00DD6A04" w:rsidRDefault="7F9DE310" w:rsidP="00C229A1">
      <w:pPr>
        <w:spacing w:line="240" w:lineRule="auto"/>
        <w:jc w:val="both"/>
        <w:rPr>
          <w:rFonts w:eastAsia="Times New Roman"/>
          <w:noProof/>
        </w:rPr>
      </w:pPr>
      <w:r>
        <w:rPr>
          <w:noProof/>
        </w:rPr>
        <w:t>Investicija bo izvedena z javnim razpisom in bo izključevala uporabo biomase, ki ni skladna z zahtevami iz Direktive (EU) 2018/2001. Poleg tega imajo prednost rešitve, ki ne temeljijo na biomasi.</w:t>
      </w:r>
    </w:p>
    <w:p w14:paraId="2838593E" w14:textId="6D4EACBD" w:rsidR="008264E7" w:rsidRPr="00DD6A04" w:rsidRDefault="008264E7" w:rsidP="007D47B5">
      <w:pPr>
        <w:spacing w:line="240" w:lineRule="auto"/>
        <w:jc w:val="both"/>
        <w:rPr>
          <w:rFonts w:eastAsia="Times New Roman"/>
          <w:noProof/>
          <w:szCs w:val="24"/>
        </w:rPr>
      </w:pPr>
      <w:r>
        <w:rPr>
          <w:noProof/>
        </w:rPr>
        <w:t>Glede na opis ukrepa in blažilne ukrepe, določene v načrtu za okrevanje in odpornost v skladu s tehničnimi smernicami za uporabo načela, da se ne škoduje bistveno (2021/C58/01), ta ukrep naj ne bi bistveno škodoval okoljskim ciljem v smislu člena 17 Uredbe (EU) 2020/852. Zlasti se pri nadgradnji učinkovitega sistema daljinskega ogrevanja kot vir toplote ne bodo uporabljala fosilna goriva, temveč izključno obnovljivi viri.</w:t>
      </w:r>
    </w:p>
    <w:p w14:paraId="1B02296D" w14:textId="22EB66B6" w:rsidR="003D4A43" w:rsidRPr="00DD6A04" w:rsidRDefault="5460D8A6" w:rsidP="007D47B5">
      <w:pPr>
        <w:spacing w:line="240" w:lineRule="auto"/>
        <w:jc w:val="both"/>
        <w:rPr>
          <w:rFonts w:eastAsia="Times New Roman"/>
          <w:noProof/>
        </w:rPr>
      </w:pPr>
      <w:r>
        <w:rPr>
          <w:noProof/>
        </w:rPr>
        <w:t>Rezultat naložbe bo najmanj 23 MW dodatne zmogljivosti za proizvodnjo energije iz obnovljivih virov.</w:t>
      </w:r>
    </w:p>
    <w:p w14:paraId="7B849439" w14:textId="70ADF430" w:rsidR="5460D8A6" w:rsidRPr="00DD6A04" w:rsidRDefault="003D4A43" w:rsidP="007D47B5">
      <w:pPr>
        <w:spacing w:line="240" w:lineRule="auto"/>
        <w:jc w:val="both"/>
        <w:rPr>
          <w:rFonts w:eastAsia="Times New Roman"/>
          <w:noProof/>
        </w:rPr>
      </w:pPr>
      <w:r>
        <w:rPr>
          <w:noProof/>
        </w:rPr>
        <w:t>Ukrep se izvede do 30. junija 2026.</w:t>
      </w:r>
    </w:p>
    <w:p w14:paraId="1C067047" w14:textId="425FF13F" w:rsidR="5460D8A6" w:rsidRPr="00DD6A04" w:rsidRDefault="5460D8A6" w:rsidP="007D47B5">
      <w:pPr>
        <w:spacing w:line="240" w:lineRule="auto"/>
        <w:jc w:val="both"/>
        <w:rPr>
          <w:rFonts w:eastAsia="Times New Roman"/>
          <w:noProof/>
          <w:szCs w:val="24"/>
        </w:rPr>
      </w:pPr>
      <w:r>
        <w:rPr>
          <w:noProof/>
          <w:u w:val="single"/>
        </w:rPr>
        <w:t>Investicija C. Krepitev distribucijskega omrežja električne energije (srednjenapetostno omrežje)</w:t>
      </w:r>
    </w:p>
    <w:p w14:paraId="6CF5655C" w14:textId="2294D291" w:rsidR="00E75695" w:rsidRPr="00DD6A04" w:rsidRDefault="5460D8A6" w:rsidP="00F53E7C">
      <w:pPr>
        <w:spacing w:line="240" w:lineRule="auto"/>
        <w:jc w:val="both"/>
        <w:rPr>
          <w:noProof/>
        </w:rPr>
      </w:pPr>
      <w:r>
        <w:rPr>
          <w:noProof/>
        </w:rPr>
        <w:t>Cilj te naložbe je posodobiti distribucijsko srednjenapetostno omrežje električne energije in omogočiti priklop obnovljivih virov energije ter toplotnih črpalk in polnilnic za električna vozila. Investicija spodbuja digitalizacijo omrežja z zajemom novih nadzornih sistemov in senzorskih tehnologij, ki omogočajo interaktivno in inteligentno spremljanje, merjenje, nadzor kakovosti ali upravljanje proizvodnje, prenosa, distribucije ali porabe energije znotraj distribucijskega omrežja.</w:t>
      </w:r>
    </w:p>
    <w:p w14:paraId="1F558991" w14:textId="51FAD9D1" w:rsidR="003D4A43" w:rsidRPr="00DD6A04" w:rsidRDefault="5460D8A6" w:rsidP="00AA3FCC">
      <w:pPr>
        <w:spacing w:line="240" w:lineRule="auto"/>
        <w:jc w:val="both"/>
        <w:rPr>
          <w:rFonts w:eastAsia="Times New Roman"/>
          <w:noProof/>
          <w:szCs w:val="24"/>
        </w:rPr>
      </w:pPr>
      <w:r>
        <w:rPr>
          <w:noProof/>
        </w:rPr>
        <w:t>Rezultat naložbe je najmanj 279 kilometrov novega ali rekonstruiranega srednjenapetostnega distribucijskega omrežja.</w:t>
      </w:r>
    </w:p>
    <w:p w14:paraId="1D16F287" w14:textId="2F7F9DE1" w:rsidR="00590E81" w:rsidRPr="00DD6A04" w:rsidRDefault="00590E81" w:rsidP="00AA3FCC">
      <w:pPr>
        <w:spacing w:line="240" w:lineRule="auto"/>
        <w:jc w:val="both"/>
        <w:rPr>
          <w:noProof/>
        </w:rPr>
      </w:pPr>
      <w:r>
        <w:rPr>
          <w:noProof/>
        </w:rPr>
        <w:t xml:space="preserve">Glede na opis ukrepa in tehnične smernice za uporabo načela, da se ne škoduje bistveno (2021/C58/01), ta ukrep naj ne bi bistveno škodoval okoljskim ciljem v smislu člena 17 Uredbe (EU) 2020/852. </w:t>
      </w:r>
    </w:p>
    <w:p w14:paraId="763FBB34" w14:textId="731C117B" w:rsidR="002E7B11" w:rsidRPr="00DD6A04" w:rsidRDefault="003D4A43" w:rsidP="00AA3FCC">
      <w:pPr>
        <w:spacing w:line="240" w:lineRule="auto"/>
        <w:jc w:val="both"/>
        <w:rPr>
          <w:rFonts w:eastAsia="Times New Roman"/>
          <w:noProof/>
          <w:szCs w:val="24"/>
          <w:u w:val="single"/>
        </w:rPr>
      </w:pPr>
      <w:r>
        <w:rPr>
          <w:noProof/>
        </w:rPr>
        <w:t xml:space="preserve">Ukrep se izvede do 30. junija 2026. </w:t>
      </w:r>
    </w:p>
    <w:p w14:paraId="792F743E" w14:textId="73747C28" w:rsidR="5460D8A6" w:rsidRPr="00DD6A04" w:rsidRDefault="5460D8A6" w:rsidP="00AA3FCC">
      <w:pPr>
        <w:spacing w:line="240" w:lineRule="auto"/>
        <w:jc w:val="both"/>
        <w:rPr>
          <w:rFonts w:eastAsia="Times New Roman"/>
          <w:noProof/>
          <w:szCs w:val="24"/>
        </w:rPr>
      </w:pPr>
      <w:r>
        <w:rPr>
          <w:noProof/>
          <w:u w:val="single"/>
        </w:rPr>
        <w:t>Investicija D. Energetska učinkovitost in razogljičenje gospodarstva</w:t>
      </w:r>
    </w:p>
    <w:p w14:paraId="0379575D" w14:textId="53C56413" w:rsidR="001D3B1F" w:rsidRPr="00DD6A04" w:rsidRDefault="5460D8A6" w:rsidP="00AA3FCC">
      <w:pPr>
        <w:spacing w:line="240" w:lineRule="auto"/>
        <w:jc w:val="both"/>
        <w:rPr>
          <w:rFonts w:eastAsia="Times New Roman"/>
          <w:noProof/>
        </w:rPr>
      </w:pPr>
      <w:r>
        <w:rPr>
          <w:noProof/>
        </w:rPr>
        <w:t xml:space="preserve">Cilj te investicije je podpreti razogljičenje podjetij z vrsto možnih ukrepov, kot so (i) uvajanje obnovljivih virov energije, elektrifikacija proizvodnih procesov, (ii) uvajanje hranilnikov energije in toplote ter (iii) izboljšanje energetske učinkovitosti. Rezultat izvajanja investicije je najmanj 22 zaključenih projektov. </w:t>
      </w:r>
    </w:p>
    <w:p w14:paraId="6AB45209" w14:textId="624CD415" w:rsidR="0017419E" w:rsidRPr="00DD6A04" w:rsidRDefault="0039353E" w:rsidP="008459A5">
      <w:pPr>
        <w:spacing w:line="240" w:lineRule="auto"/>
        <w:jc w:val="both"/>
        <w:rPr>
          <w:rFonts w:eastAsia="Times New Roman"/>
          <w:noProof/>
        </w:rPr>
      </w:pPr>
      <w:r>
        <w:rPr>
          <w:noProof/>
        </w:rPr>
        <w:t>Glede na opis ukrepa in tehnične smernice za uporabo načela, da se ne škoduje bistveno (2021/C58/01), ta ukrep naj ne bi bistveno škodoval okoljskim ciljem v smislu člena 17 Uredbe (EU) 2020/852. V primeru podpore za uvajanje vodikovih tehnologij se v skladu s smernicami o načrtih za okrevanje in odpornost v okviru REPowerEU (2023/C 80/01), Direktivo (EU) 2018/2001 in trenutno objavljenimi delegiranimi akti podprejo izključno tiste, ki temeljijo na obnovljivem vodiku. V primeru podpore za tehnologije uporabe biometana se v skladu s smernicami o načrtih za okrevanje in odpornost v okviru REPowerEU (2023/C 80/01) podprejo izključno tiste, povezane s trajnostnim biometanom. Vsi industrijski obrati, ki uporabljajo vodik, morajo doseči predvideno intenzivnost emisij toplogrednih plinov, ki je precej pod referenčno vrednostjo ETS</w:t>
      </w:r>
      <w:r w:rsidRPr="00DD6A04">
        <w:rPr>
          <w:rFonts w:eastAsia="Times New Roman"/>
          <w:noProof/>
          <w:color w:val="2B579A"/>
          <w:vertAlign w:val="superscript"/>
          <w:lang w:val="en-GB"/>
        </w:rPr>
        <w:footnoteReference w:id="9"/>
      </w:r>
      <w:r>
        <w:rPr>
          <w:noProof/>
        </w:rPr>
        <w:t>.</w:t>
      </w:r>
    </w:p>
    <w:p w14:paraId="6E68C2A6" w14:textId="4F050194" w:rsidR="008459A5" w:rsidRPr="00DD6A04" w:rsidRDefault="00227CAF" w:rsidP="00DF35B0">
      <w:pPr>
        <w:spacing w:line="240" w:lineRule="auto"/>
        <w:jc w:val="both"/>
        <w:rPr>
          <w:rFonts w:eastAsia="Times New Roman"/>
          <w:noProof/>
        </w:rPr>
      </w:pPr>
      <w:r>
        <w:rPr>
          <w:noProof/>
        </w:rPr>
        <w:t>Poleg tega so iz podpore izključene naslednje dejavnosti: (i) dejavnosti v zvezi s fosilnimi gorivi, vključno z nadaljnjo uporabo</w:t>
      </w:r>
      <w:r w:rsidR="008459A5" w:rsidRPr="00DD6A04">
        <w:rPr>
          <w:rFonts w:eastAsia="Times New Roman"/>
          <w:noProof/>
          <w:vertAlign w:val="superscript"/>
          <w:lang w:val="en-GB"/>
        </w:rPr>
        <w:footnoteReference w:id="10"/>
      </w:r>
      <w:r>
        <w:rPr>
          <w:noProof/>
        </w:rPr>
        <w:t>; (ii) dejavnosti ki so vključene v sistem EU za trgovanje z emisijami, če predvidena intenzivnost emisij ni znatno nižja od ustrezne referenčne vrednosti</w:t>
      </w:r>
      <w:r w:rsidR="008459A5" w:rsidRPr="00DD6A04">
        <w:rPr>
          <w:rFonts w:eastAsia="Times New Roman"/>
          <w:noProof/>
          <w:vertAlign w:val="superscript"/>
          <w:lang w:val="en-GB"/>
        </w:rPr>
        <w:footnoteReference w:id="11"/>
      </w:r>
      <w:r>
        <w:rPr>
          <w:noProof/>
        </w:rPr>
        <w:t>; (iii) dejavnosti, povezane z odlagališči odpadkov, sežigalnicami</w:t>
      </w:r>
      <w:r w:rsidR="008459A5" w:rsidRPr="00DD6A04">
        <w:rPr>
          <w:rFonts w:eastAsia="Times New Roman"/>
          <w:noProof/>
          <w:vertAlign w:val="superscript"/>
          <w:lang w:val="en-GB"/>
        </w:rPr>
        <w:footnoteReference w:id="12"/>
      </w:r>
      <w:r>
        <w:rPr>
          <w:noProof/>
        </w:rPr>
        <w:t xml:space="preserve"> in napravami za mehansko biološko obdelavo</w:t>
      </w:r>
      <w:r w:rsidR="008459A5" w:rsidRPr="00DD6A04">
        <w:rPr>
          <w:rFonts w:eastAsia="Times New Roman"/>
          <w:noProof/>
          <w:vertAlign w:val="superscript"/>
          <w:lang w:val="en-GB"/>
        </w:rPr>
        <w:footnoteReference w:id="13"/>
      </w:r>
      <w:r>
        <w:rPr>
          <w:noProof/>
        </w:rPr>
        <w:t xml:space="preserve">. </w:t>
      </w:r>
    </w:p>
    <w:p w14:paraId="27EA4DB6" w14:textId="040849B8" w:rsidR="5460D8A6" w:rsidRPr="00DD6A04" w:rsidRDefault="5460D8A6" w:rsidP="004F4BF9">
      <w:pPr>
        <w:spacing w:line="240" w:lineRule="auto"/>
        <w:jc w:val="both"/>
        <w:rPr>
          <w:rFonts w:eastAsia="Times New Roman"/>
          <w:noProof/>
          <w:szCs w:val="24"/>
        </w:rPr>
      </w:pPr>
      <w:r>
        <w:rPr>
          <w:noProof/>
        </w:rPr>
        <w:t>Ukrep se izvede do 30. junija 2026.</w:t>
      </w:r>
    </w:p>
    <w:p w14:paraId="415EEDCA" w14:textId="0F3C828D" w:rsidR="5460D8A6" w:rsidRPr="00DD6A04" w:rsidRDefault="0B013A93" w:rsidP="004F4BF9">
      <w:pPr>
        <w:spacing w:line="240" w:lineRule="auto"/>
        <w:jc w:val="both"/>
        <w:rPr>
          <w:rFonts w:eastAsia="Times New Roman"/>
          <w:noProof/>
          <w:u w:val="single"/>
        </w:rPr>
      </w:pPr>
      <w:r>
        <w:rPr>
          <w:noProof/>
          <w:u w:val="single"/>
        </w:rPr>
        <w:t xml:space="preserve">Investicija E. Razširjen ukrep: Spodbujanje vzpostavitve infrastrukture za alternativna goriva v prometu </w:t>
      </w:r>
    </w:p>
    <w:p w14:paraId="321E3AEE" w14:textId="31A91155" w:rsidR="5460D8A6" w:rsidRPr="00DD6A04" w:rsidRDefault="27ABB321" w:rsidP="004F4BF9">
      <w:pPr>
        <w:spacing w:line="240" w:lineRule="auto"/>
        <w:jc w:val="both"/>
        <w:rPr>
          <w:rFonts w:eastAsia="Times New Roman"/>
          <w:noProof/>
          <w:color w:val="000000" w:themeColor="text1"/>
        </w:rPr>
      </w:pPr>
      <w:r>
        <w:rPr>
          <w:noProof/>
        </w:rPr>
        <w:t>Cilj te investicije je pospešiti razvoj trga alternativnih goriv v prometu in razmah uporabe brezemisijskih vozil v Sloveniji ter s tem povečanje čiste ali podnebno nevtralne mobilnosti v skladu s členom 10 Uredbe (EU) 2020/852.</w:t>
      </w:r>
      <w:r>
        <w:rPr>
          <w:noProof/>
          <w:color w:val="000000" w:themeColor="text1"/>
        </w:rPr>
        <w:t xml:space="preserve"> Za zapolnitev vrzeli pri financiranju investicij na področju infrastrukture za alternativna goriva in brezemisijska vozila, Slovenija</w:t>
      </w:r>
      <w:r>
        <w:rPr>
          <w:noProof/>
        </w:rPr>
        <w:t xml:space="preserve"> dopolnjuje investicije E komponente 4 </w:t>
      </w:r>
      <w:r>
        <w:rPr>
          <w:noProof/>
          <w:color w:val="000000" w:themeColor="text1"/>
        </w:rPr>
        <w:t>z vzpostavitvijo dodatne polnilne ali oskrbovalne infrastrukture (za polnjenje vozil z električno energijo ali oskrbo vozil z vodikom) ter z ukrepi za pospeševanje mobilnosti z brezemisijskimi vozili.</w:t>
      </w:r>
      <w:r w:rsidR="00037751">
        <w:rPr>
          <w:noProof/>
          <w:color w:val="000000" w:themeColor="text1"/>
        </w:rPr>
        <w:t xml:space="preserve"> </w:t>
      </w:r>
      <w:r>
        <w:rPr>
          <w:noProof/>
          <w:color w:val="000000" w:themeColor="text1"/>
        </w:rPr>
        <w:t xml:space="preserve">Investicija vključujejo naslednje tri elemente: </w:t>
      </w:r>
    </w:p>
    <w:p w14:paraId="1614D104" w14:textId="25EF73BE" w:rsidR="5460D8A6" w:rsidRPr="00DD6A04" w:rsidRDefault="0CF22BAB" w:rsidP="00342FF2">
      <w:pPr>
        <w:spacing w:line="240" w:lineRule="auto"/>
        <w:jc w:val="both"/>
        <w:rPr>
          <w:rFonts w:eastAsia="Times New Roman"/>
          <w:noProof/>
          <w:color w:val="000000" w:themeColor="text1"/>
        </w:rPr>
      </w:pPr>
      <w:r>
        <w:rPr>
          <w:noProof/>
          <w:color w:val="000000" w:themeColor="text1"/>
        </w:rPr>
        <w:t xml:space="preserve">(a) demonstracijski projekt – brezemisijska linija v javnem potniškem prometu zajema investicije v vsaj dva avtobusa dolžine 12 metrov na vodikov pogon, in tri električna vozila ter polnilno/oskrbovalno infrastrukturo za javni potniški prevoz; </w:t>
      </w:r>
    </w:p>
    <w:p w14:paraId="5D1A8025" w14:textId="7CB9311B" w:rsidR="5460D8A6" w:rsidRPr="00DD6A04" w:rsidRDefault="5460D8A6" w:rsidP="00342FF2">
      <w:pPr>
        <w:spacing w:line="240" w:lineRule="auto"/>
        <w:jc w:val="both"/>
        <w:rPr>
          <w:rFonts w:eastAsia="Times New Roman"/>
          <w:noProof/>
          <w:color w:val="000000" w:themeColor="text1"/>
        </w:rPr>
      </w:pPr>
      <w:r>
        <w:rPr>
          <w:noProof/>
          <w:color w:val="000000" w:themeColor="text1"/>
        </w:rPr>
        <w:t>(b) shema subvencij za nakup brezemisijskih vozil za posodobitev zasebnega voznega parka. Po začetku izvajanja sheme se sofinancira vsaj 2 700 brezemisijskih vozil;</w:t>
      </w:r>
    </w:p>
    <w:p w14:paraId="08861257" w14:textId="5946AAAF" w:rsidR="5460D8A6" w:rsidRPr="00DD6A04" w:rsidRDefault="32CDEB09" w:rsidP="00342FF2">
      <w:pPr>
        <w:spacing w:line="240" w:lineRule="auto"/>
        <w:jc w:val="both"/>
        <w:rPr>
          <w:rFonts w:eastAsia="Times New Roman"/>
          <w:noProof/>
          <w:color w:val="498205"/>
          <w:u w:val="single"/>
        </w:rPr>
      </w:pPr>
      <w:r>
        <w:rPr>
          <w:noProof/>
          <w:color w:val="000000" w:themeColor="text1"/>
        </w:rPr>
        <w:t xml:space="preserve">(c) zagotavljanje sofinanciranja za postavitev javno dostopne polnilne infrastrukture za brezemisijska vozila ali polnilne infrastrukture v lasti državne uprave. Ta infrastruktura vključuje vsaj 770 običajnih ali hitrih polnilnih mest za brezemisijska vozila, 20 ultrahitrih polnilnih postaj in 2 polnilni postaji za vodik. Investicija se izvede z javnim pozivom, ki zagotavlja ustrezno geografsko porazdelitev. </w:t>
      </w:r>
    </w:p>
    <w:p w14:paraId="5F509EA2" w14:textId="7C612668" w:rsidR="00C904D3" w:rsidRPr="00DD6A04" w:rsidRDefault="5460D8A6" w:rsidP="6B3B27EA">
      <w:pPr>
        <w:spacing w:line="240" w:lineRule="auto"/>
        <w:jc w:val="both"/>
        <w:rPr>
          <w:rFonts w:eastAsia="Times New Roman"/>
          <w:noProof/>
          <w:color w:val="000000" w:themeColor="text1"/>
          <w:u w:val="single"/>
        </w:rPr>
        <w:sectPr w:rsidR="00C904D3" w:rsidRPr="00DD6A04" w:rsidSect="00073927">
          <w:headerReference w:type="even" r:id="rId282"/>
          <w:headerReference w:type="default" r:id="rId283"/>
          <w:footerReference w:type="even" r:id="rId284"/>
          <w:footerReference w:type="default" r:id="rId285"/>
          <w:headerReference w:type="first" r:id="rId286"/>
          <w:footerReference w:type="first" r:id="rId287"/>
          <w:footnotePr>
            <w:numRestart w:val="eachPage"/>
          </w:footnotePr>
          <w:pgSz w:w="11907" w:h="16839"/>
          <w:pgMar w:top="1134" w:right="1134" w:bottom="1134" w:left="1134" w:header="567" w:footer="567" w:gutter="0"/>
          <w:cols w:space="720"/>
          <w:docGrid w:linePitch="360"/>
        </w:sectPr>
      </w:pPr>
      <w:r>
        <w:rPr>
          <w:noProof/>
          <w:color w:val="000000" w:themeColor="text1"/>
        </w:rPr>
        <w:t>Investicija se izvede do 30. junija 2026.</w:t>
      </w:r>
    </w:p>
    <w:p w14:paraId="299CD5E9" w14:textId="0A1971FD" w:rsidR="5460D8A6" w:rsidRPr="00DD6A04" w:rsidRDefault="0B013A93" w:rsidP="170A6336">
      <w:pPr>
        <w:spacing w:line="240" w:lineRule="auto"/>
        <w:jc w:val="both"/>
        <w:rPr>
          <w:rFonts w:eastAsia="Times New Roman"/>
          <w:b/>
          <w:noProof/>
          <w:u w:val="single"/>
        </w:rPr>
      </w:pPr>
      <w:r>
        <w:rPr>
          <w:b/>
          <w:noProof/>
          <w:u w:val="single"/>
        </w:rPr>
        <w:t>R.2 Mejniki, cilji, kazalniki in časovni razpored za spremljanje in izvajanje nepovratne finančne podpore</w:t>
      </w:r>
    </w:p>
    <w:p w14:paraId="454DBBB6" w14:textId="77777777" w:rsidR="00396174" w:rsidRPr="00DD6A04" w:rsidRDefault="00396174" w:rsidP="007453D6">
      <w:pPr>
        <w:spacing w:line="240" w:lineRule="auto"/>
        <w:jc w:val="both"/>
        <w:rPr>
          <w:rFonts w:eastAsia="Times New Roman"/>
          <w:b/>
          <w:noProof/>
          <w:szCs w:val="24"/>
          <w:u w:val="single"/>
          <w:lang w:val="en-GB"/>
        </w:rPr>
      </w:pP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492"/>
        <w:gridCol w:w="1074"/>
        <w:gridCol w:w="1785"/>
        <w:gridCol w:w="1653"/>
        <w:gridCol w:w="1082"/>
        <w:gridCol w:w="867"/>
        <w:gridCol w:w="918"/>
        <w:gridCol w:w="924"/>
        <w:gridCol w:w="888"/>
        <w:gridCol w:w="3285"/>
      </w:tblGrid>
      <w:tr w:rsidR="007F6109" w:rsidRPr="00DD6A04" w14:paraId="1B592E6D" w14:textId="77777777" w:rsidTr="00BE4788">
        <w:trPr>
          <w:trHeight w:val="740"/>
          <w:tblHeader/>
          <w:jc w:val="center"/>
        </w:trPr>
        <w:tc>
          <w:tcPr>
            <w:tcW w:w="1354" w:type="dxa"/>
            <w:vMerge w:val="restart"/>
            <w:shd w:val="clear" w:color="auto" w:fill="BDD7EE"/>
            <w:vAlign w:val="center"/>
            <w:hideMark/>
          </w:tcPr>
          <w:p w14:paraId="2520DC5E" w14:textId="77777777" w:rsidR="00396174" w:rsidRPr="00DD6A04" w:rsidRDefault="00396174">
            <w:pPr>
              <w:spacing w:before="0" w:after="0" w:line="240" w:lineRule="auto"/>
              <w:jc w:val="center"/>
              <w:rPr>
                <w:rFonts w:eastAsia="Times New Roman"/>
                <w:b/>
                <w:noProof/>
              </w:rPr>
            </w:pPr>
            <w:r>
              <w:rPr>
                <w:b/>
                <w:noProof/>
              </w:rPr>
              <w:t>Zaporedna številka</w:t>
            </w:r>
          </w:p>
        </w:tc>
        <w:tc>
          <w:tcPr>
            <w:tcW w:w="1492" w:type="dxa"/>
            <w:vMerge w:val="restart"/>
            <w:shd w:val="clear" w:color="auto" w:fill="BDD7EE"/>
            <w:vAlign w:val="center"/>
            <w:hideMark/>
          </w:tcPr>
          <w:p w14:paraId="78B2BDCA" w14:textId="77777777" w:rsidR="00396174" w:rsidRPr="00DD6A04" w:rsidRDefault="00396174">
            <w:pPr>
              <w:spacing w:before="0" w:after="0" w:line="240" w:lineRule="auto"/>
              <w:jc w:val="center"/>
              <w:rPr>
                <w:rFonts w:eastAsia="Times New Roman"/>
                <w:b/>
                <w:noProof/>
              </w:rPr>
            </w:pPr>
            <w:r>
              <w:rPr>
                <w:b/>
                <w:noProof/>
              </w:rPr>
              <w:t>Povezani ukrep (reforma ali naložba)</w:t>
            </w:r>
          </w:p>
        </w:tc>
        <w:tc>
          <w:tcPr>
            <w:tcW w:w="1074" w:type="dxa"/>
            <w:vMerge w:val="restart"/>
            <w:shd w:val="clear" w:color="auto" w:fill="BDD7EE"/>
            <w:vAlign w:val="center"/>
            <w:hideMark/>
          </w:tcPr>
          <w:p w14:paraId="7C27DEB2" w14:textId="77777777" w:rsidR="00396174" w:rsidRPr="00DD6A04" w:rsidRDefault="00396174">
            <w:pPr>
              <w:spacing w:before="0" w:after="0" w:line="240" w:lineRule="auto"/>
              <w:jc w:val="center"/>
              <w:rPr>
                <w:rFonts w:eastAsia="Times New Roman"/>
                <w:b/>
                <w:noProof/>
              </w:rPr>
            </w:pPr>
            <w:r>
              <w:rPr>
                <w:b/>
                <w:noProof/>
              </w:rPr>
              <w:t>Mejnik/cilj</w:t>
            </w:r>
          </w:p>
        </w:tc>
        <w:tc>
          <w:tcPr>
            <w:tcW w:w="1785" w:type="dxa"/>
            <w:vMerge w:val="restart"/>
            <w:shd w:val="clear" w:color="auto" w:fill="BDD7EE"/>
            <w:vAlign w:val="center"/>
            <w:hideMark/>
          </w:tcPr>
          <w:p w14:paraId="20975DA9" w14:textId="77777777" w:rsidR="00396174" w:rsidRPr="00DD6A04" w:rsidRDefault="00396174">
            <w:pPr>
              <w:spacing w:before="0" w:after="0" w:line="240" w:lineRule="auto"/>
              <w:jc w:val="center"/>
              <w:rPr>
                <w:rFonts w:eastAsia="Times New Roman"/>
                <w:b/>
                <w:noProof/>
              </w:rPr>
            </w:pPr>
            <w:r>
              <w:rPr>
                <w:b/>
                <w:noProof/>
              </w:rPr>
              <w:t>Ime</w:t>
            </w:r>
          </w:p>
        </w:tc>
        <w:tc>
          <w:tcPr>
            <w:tcW w:w="1653" w:type="dxa"/>
            <w:vMerge w:val="restart"/>
            <w:shd w:val="clear" w:color="auto" w:fill="BDD7EE"/>
            <w:vAlign w:val="center"/>
            <w:hideMark/>
          </w:tcPr>
          <w:p w14:paraId="69F0CDC5" w14:textId="3143B0BF" w:rsidR="00396174" w:rsidRPr="00DD6A04" w:rsidRDefault="00396174">
            <w:pPr>
              <w:spacing w:before="0" w:after="0" w:line="240" w:lineRule="auto"/>
              <w:jc w:val="center"/>
              <w:rPr>
                <w:rFonts w:eastAsia="Times New Roman"/>
                <w:b/>
                <w:noProof/>
              </w:rPr>
            </w:pPr>
            <w:r>
              <w:rPr>
                <w:b/>
                <w:noProof/>
              </w:rPr>
              <w:t>Kvalitativni kazalniki (za mejnike)</w:t>
            </w:r>
          </w:p>
        </w:tc>
        <w:tc>
          <w:tcPr>
            <w:tcW w:w="2867" w:type="dxa"/>
            <w:gridSpan w:val="3"/>
            <w:shd w:val="clear" w:color="auto" w:fill="BDD7EE"/>
            <w:vAlign w:val="center"/>
            <w:hideMark/>
          </w:tcPr>
          <w:p w14:paraId="5612F34E" w14:textId="77777777" w:rsidR="00396174" w:rsidRPr="00DD6A04" w:rsidRDefault="00396174">
            <w:pPr>
              <w:spacing w:before="0" w:after="0" w:line="240" w:lineRule="auto"/>
              <w:jc w:val="center"/>
              <w:rPr>
                <w:rFonts w:eastAsia="Times New Roman"/>
                <w:b/>
                <w:noProof/>
              </w:rPr>
            </w:pPr>
            <w:r>
              <w:rPr>
                <w:b/>
                <w:noProof/>
              </w:rPr>
              <w:t>Kvantitativni kazalniki</w:t>
            </w:r>
            <w:r>
              <w:rPr>
                <w:noProof/>
              </w:rPr>
              <w:t xml:space="preserve"> </w:t>
            </w:r>
            <w:r>
              <w:rPr>
                <w:b/>
                <w:noProof/>
              </w:rPr>
              <w:t>(za cilje)</w:t>
            </w:r>
          </w:p>
        </w:tc>
        <w:tc>
          <w:tcPr>
            <w:tcW w:w="1812" w:type="dxa"/>
            <w:gridSpan w:val="2"/>
            <w:shd w:val="clear" w:color="auto" w:fill="BDD7EE"/>
            <w:vAlign w:val="center"/>
            <w:hideMark/>
          </w:tcPr>
          <w:p w14:paraId="300CD107" w14:textId="77777777" w:rsidR="00396174" w:rsidRPr="00DD6A04" w:rsidRDefault="00396174">
            <w:pPr>
              <w:spacing w:before="0" w:after="0" w:line="240" w:lineRule="auto"/>
              <w:jc w:val="center"/>
              <w:rPr>
                <w:rFonts w:eastAsia="Times New Roman"/>
                <w:b/>
                <w:noProof/>
              </w:rPr>
            </w:pPr>
            <w:r>
              <w:rPr>
                <w:b/>
                <w:noProof/>
              </w:rPr>
              <w:t xml:space="preserve">Okvirni časovni razpored za dokončanje </w:t>
            </w:r>
          </w:p>
        </w:tc>
        <w:tc>
          <w:tcPr>
            <w:tcW w:w="3285" w:type="dxa"/>
            <w:vMerge w:val="restart"/>
            <w:shd w:val="clear" w:color="auto" w:fill="BDD7EE"/>
            <w:vAlign w:val="center"/>
            <w:hideMark/>
          </w:tcPr>
          <w:p w14:paraId="76BBBD46" w14:textId="77777777" w:rsidR="00396174" w:rsidRPr="00DD6A04" w:rsidRDefault="00396174">
            <w:pPr>
              <w:spacing w:before="0" w:after="0" w:line="240" w:lineRule="auto"/>
              <w:jc w:val="center"/>
              <w:rPr>
                <w:rFonts w:eastAsia="Times New Roman"/>
                <w:b/>
                <w:noProof/>
              </w:rPr>
            </w:pPr>
            <w:r>
              <w:rPr>
                <w:b/>
                <w:noProof/>
              </w:rPr>
              <w:t>Opis vsakega mejnika in cilja</w:t>
            </w:r>
          </w:p>
        </w:tc>
      </w:tr>
      <w:tr w:rsidR="007F6109" w:rsidRPr="00DD6A04" w14:paraId="0E75BA53" w14:textId="77777777" w:rsidTr="00BE4788">
        <w:trPr>
          <w:trHeight w:val="751"/>
          <w:tblHeader/>
          <w:jc w:val="center"/>
        </w:trPr>
        <w:tc>
          <w:tcPr>
            <w:tcW w:w="1354" w:type="dxa"/>
            <w:vMerge/>
            <w:vAlign w:val="center"/>
            <w:hideMark/>
          </w:tcPr>
          <w:p w14:paraId="4756D926" w14:textId="77777777" w:rsidR="00396174" w:rsidRPr="00DD6A04" w:rsidRDefault="00396174">
            <w:pPr>
              <w:spacing w:before="0" w:after="0" w:line="240" w:lineRule="auto"/>
              <w:rPr>
                <w:rFonts w:eastAsia="Times New Roman"/>
                <w:b/>
                <w:noProof/>
                <w:sz w:val="22"/>
                <w:lang w:val="en-GB" w:eastAsia="en-GB"/>
              </w:rPr>
            </w:pPr>
          </w:p>
        </w:tc>
        <w:tc>
          <w:tcPr>
            <w:tcW w:w="1492" w:type="dxa"/>
            <w:vMerge/>
            <w:vAlign w:val="center"/>
            <w:hideMark/>
          </w:tcPr>
          <w:p w14:paraId="69D56091" w14:textId="77777777" w:rsidR="00396174" w:rsidRPr="00DD6A04" w:rsidRDefault="00396174">
            <w:pPr>
              <w:spacing w:before="0" w:after="0" w:line="240" w:lineRule="auto"/>
              <w:rPr>
                <w:rFonts w:eastAsia="Times New Roman"/>
                <w:b/>
                <w:noProof/>
                <w:sz w:val="22"/>
                <w:lang w:val="en-GB" w:eastAsia="en-GB"/>
              </w:rPr>
            </w:pPr>
          </w:p>
        </w:tc>
        <w:tc>
          <w:tcPr>
            <w:tcW w:w="1074" w:type="dxa"/>
            <w:vMerge/>
            <w:vAlign w:val="center"/>
            <w:hideMark/>
          </w:tcPr>
          <w:p w14:paraId="39E68BBE" w14:textId="77777777" w:rsidR="00396174" w:rsidRPr="00DD6A04" w:rsidRDefault="00396174">
            <w:pPr>
              <w:spacing w:before="0" w:after="0" w:line="240" w:lineRule="auto"/>
              <w:rPr>
                <w:rFonts w:eastAsia="Times New Roman"/>
                <w:b/>
                <w:noProof/>
                <w:sz w:val="22"/>
                <w:lang w:val="en-GB" w:eastAsia="en-GB"/>
              </w:rPr>
            </w:pPr>
          </w:p>
        </w:tc>
        <w:tc>
          <w:tcPr>
            <w:tcW w:w="1785" w:type="dxa"/>
            <w:vMerge/>
            <w:vAlign w:val="center"/>
            <w:hideMark/>
          </w:tcPr>
          <w:p w14:paraId="5C8BD588" w14:textId="77777777" w:rsidR="00396174" w:rsidRPr="00DD6A04" w:rsidRDefault="00396174">
            <w:pPr>
              <w:spacing w:before="0" w:after="0" w:line="240" w:lineRule="auto"/>
              <w:rPr>
                <w:rFonts w:eastAsia="Times New Roman"/>
                <w:b/>
                <w:noProof/>
                <w:sz w:val="22"/>
                <w:lang w:val="en-GB" w:eastAsia="en-GB"/>
              </w:rPr>
            </w:pPr>
          </w:p>
        </w:tc>
        <w:tc>
          <w:tcPr>
            <w:tcW w:w="1653" w:type="dxa"/>
            <w:vMerge/>
            <w:vAlign w:val="center"/>
            <w:hideMark/>
          </w:tcPr>
          <w:p w14:paraId="7B8BB69E" w14:textId="77777777" w:rsidR="00396174" w:rsidRPr="00DD6A04" w:rsidRDefault="00396174">
            <w:pPr>
              <w:spacing w:before="0" w:after="0" w:line="240" w:lineRule="auto"/>
              <w:rPr>
                <w:rFonts w:eastAsia="Times New Roman"/>
                <w:b/>
                <w:noProof/>
                <w:sz w:val="22"/>
                <w:lang w:val="en-GB" w:eastAsia="en-GB"/>
              </w:rPr>
            </w:pPr>
          </w:p>
        </w:tc>
        <w:tc>
          <w:tcPr>
            <w:tcW w:w="1082" w:type="dxa"/>
            <w:shd w:val="clear" w:color="auto" w:fill="BDD7EE"/>
            <w:vAlign w:val="center"/>
            <w:hideMark/>
          </w:tcPr>
          <w:p w14:paraId="39E9C109" w14:textId="77777777" w:rsidR="00396174" w:rsidRPr="00DD6A04" w:rsidRDefault="00396174">
            <w:pPr>
              <w:spacing w:before="0" w:after="0" w:line="240" w:lineRule="auto"/>
              <w:jc w:val="center"/>
              <w:rPr>
                <w:rFonts w:eastAsia="Times New Roman"/>
                <w:b/>
                <w:noProof/>
                <w:sz w:val="22"/>
              </w:rPr>
            </w:pPr>
            <w:r>
              <w:rPr>
                <w:b/>
                <w:noProof/>
                <w:sz w:val="22"/>
              </w:rPr>
              <w:t>Enota merjenja</w:t>
            </w:r>
          </w:p>
        </w:tc>
        <w:tc>
          <w:tcPr>
            <w:tcW w:w="867" w:type="dxa"/>
            <w:shd w:val="clear" w:color="auto" w:fill="BDD7EE"/>
            <w:vAlign w:val="center"/>
            <w:hideMark/>
          </w:tcPr>
          <w:p w14:paraId="579F5700" w14:textId="77777777" w:rsidR="00396174" w:rsidRPr="00DD6A04" w:rsidRDefault="00396174">
            <w:pPr>
              <w:spacing w:before="0" w:after="0" w:line="240" w:lineRule="auto"/>
              <w:jc w:val="center"/>
              <w:rPr>
                <w:rFonts w:eastAsia="Times New Roman"/>
                <w:b/>
                <w:noProof/>
                <w:sz w:val="22"/>
              </w:rPr>
            </w:pPr>
            <w:r>
              <w:rPr>
                <w:b/>
                <w:noProof/>
                <w:sz w:val="22"/>
              </w:rPr>
              <w:t xml:space="preserve">Izhodiščna raven </w:t>
            </w:r>
          </w:p>
        </w:tc>
        <w:tc>
          <w:tcPr>
            <w:tcW w:w="918" w:type="dxa"/>
            <w:shd w:val="clear" w:color="auto" w:fill="BDD7EE"/>
            <w:vAlign w:val="center"/>
            <w:hideMark/>
          </w:tcPr>
          <w:p w14:paraId="16D987F3" w14:textId="77777777" w:rsidR="00396174" w:rsidRPr="00DD6A04" w:rsidRDefault="00396174">
            <w:pPr>
              <w:spacing w:before="0" w:after="0" w:line="240" w:lineRule="auto"/>
              <w:jc w:val="center"/>
              <w:rPr>
                <w:rFonts w:eastAsia="Times New Roman"/>
                <w:b/>
                <w:noProof/>
                <w:sz w:val="22"/>
              </w:rPr>
            </w:pPr>
            <w:r>
              <w:rPr>
                <w:b/>
                <w:noProof/>
                <w:sz w:val="22"/>
              </w:rPr>
              <w:t xml:space="preserve">Ciljna raven </w:t>
            </w:r>
          </w:p>
        </w:tc>
        <w:tc>
          <w:tcPr>
            <w:tcW w:w="924" w:type="dxa"/>
            <w:shd w:val="clear" w:color="auto" w:fill="BDD7EE"/>
            <w:vAlign w:val="center"/>
            <w:hideMark/>
          </w:tcPr>
          <w:p w14:paraId="32412CCD" w14:textId="77777777" w:rsidR="00396174" w:rsidRPr="00DD6A04" w:rsidRDefault="00396174">
            <w:pPr>
              <w:spacing w:before="0" w:after="0" w:line="240" w:lineRule="auto"/>
              <w:jc w:val="center"/>
              <w:rPr>
                <w:rFonts w:eastAsia="Times New Roman"/>
                <w:b/>
                <w:noProof/>
                <w:sz w:val="22"/>
              </w:rPr>
            </w:pPr>
            <w:r>
              <w:rPr>
                <w:b/>
                <w:noProof/>
                <w:sz w:val="22"/>
              </w:rPr>
              <w:t>Četrtletje</w:t>
            </w:r>
          </w:p>
        </w:tc>
        <w:tc>
          <w:tcPr>
            <w:tcW w:w="888" w:type="dxa"/>
            <w:shd w:val="clear" w:color="auto" w:fill="BDD7EE"/>
            <w:vAlign w:val="center"/>
            <w:hideMark/>
          </w:tcPr>
          <w:p w14:paraId="09607ECE" w14:textId="77777777" w:rsidR="00396174" w:rsidRPr="00DD6A04" w:rsidRDefault="00396174">
            <w:pPr>
              <w:spacing w:before="0" w:after="0" w:line="240" w:lineRule="auto"/>
              <w:jc w:val="center"/>
              <w:rPr>
                <w:rFonts w:eastAsia="Times New Roman"/>
                <w:b/>
                <w:noProof/>
                <w:sz w:val="22"/>
              </w:rPr>
            </w:pPr>
            <w:r>
              <w:rPr>
                <w:b/>
                <w:noProof/>
                <w:sz w:val="22"/>
              </w:rPr>
              <w:t>Leto</w:t>
            </w:r>
          </w:p>
        </w:tc>
        <w:tc>
          <w:tcPr>
            <w:tcW w:w="3285" w:type="dxa"/>
            <w:vMerge/>
            <w:vAlign w:val="center"/>
            <w:hideMark/>
          </w:tcPr>
          <w:p w14:paraId="55ED5F81" w14:textId="77777777" w:rsidR="00396174" w:rsidRPr="00DD6A04" w:rsidRDefault="00396174">
            <w:pPr>
              <w:spacing w:before="0" w:after="0" w:line="240" w:lineRule="auto"/>
              <w:rPr>
                <w:rFonts w:eastAsia="Times New Roman"/>
                <w:b/>
                <w:noProof/>
                <w:sz w:val="22"/>
                <w:lang w:val="en-GB" w:eastAsia="en-GB"/>
              </w:rPr>
            </w:pPr>
          </w:p>
        </w:tc>
      </w:tr>
      <w:tr w:rsidR="00BA37DA" w:rsidRPr="00DD6A04" w14:paraId="159815CE"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5579A930" w14:textId="411E7DB6" w:rsidR="00396174" w:rsidRPr="00DD6A04" w:rsidRDefault="00396174" w:rsidP="00396174">
            <w:pPr>
              <w:spacing w:before="0" w:after="0" w:line="240" w:lineRule="auto"/>
              <w:rPr>
                <w:rFonts w:eastAsia="Times New Roman"/>
                <w:noProof/>
                <w:color w:val="006100"/>
                <w:sz w:val="22"/>
              </w:rPr>
            </w:pPr>
            <w:r>
              <w:rPr>
                <w:noProof/>
                <w:color w:val="006100"/>
                <w:sz w:val="22"/>
              </w:rPr>
              <w:t>210</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375C88A1" w14:textId="49C98DFA" w:rsidR="00396174" w:rsidRPr="00DD6A04" w:rsidRDefault="00396174" w:rsidP="00396174">
            <w:pPr>
              <w:spacing w:before="0" w:after="0" w:line="240" w:lineRule="auto"/>
              <w:rPr>
                <w:rFonts w:eastAsia="Times New Roman"/>
                <w:noProof/>
                <w:color w:val="006100"/>
                <w:sz w:val="22"/>
              </w:rPr>
            </w:pPr>
            <w:r>
              <w:rPr>
                <w:noProof/>
                <w:color w:val="006100"/>
                <w:sz w:val="22"/>
              </w:rPr>
              <w:t>A: Reforma spodbujanja obnovljivih virov energije v Sloveniji (razširitev)</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73F25B6E" w14:textId="54588803" w:rsidR="00396174" w:rsidRPr="00DD6A04" w:rsidRDefault="00396174" w:rsidP="00396174">
            <w:pPr>
              <w:spacing w:before="0" w:after="0" w:line="240" w:lineRule="auto"/>
              <w:rPr>
                <w:rFonts w:eastAsia="Times New Roman"/>
                <w:noProof/>
                <w:color w:val="006100"/>
                <w:sz w:val="22"/>
              </w:rPr>
            </w:pPr>
            <w:r>
              <w:rPr>
                <w:noProof/>
                <w:color w:val="006100"/>
                <w:sz w:val="22"/>
              </w:rPr>
              <w:t>Mejnik</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33AA8E16" w14:textId="4A57A926" w:rsidR="00396174" w:rsidRPr="00DD6A04" w:rsidRDefault="00396174" w:rsidP="00396174">
            <w:pPr>
              <w:spacing w:before="0" w:after="0" w:line="240" w:lineRule="auto"/>
              <w:rPr>
                <w:rFonts w:eastAsia="Times New Roman"/>
                <w:noProof/>
                <w:color w:val="006100"/>
                <w:sz w:val="22"/>
              </w:rPr>
            </w:pPr>
            <w:r>
              <w:rPr>
                <w:noProof/>
                <w:color w:val="006100"/>
                <w:sz w:val="22"/>
              </w:rPr>
              <w:t>Začetek veljavnosti Zakona o uvajanju naprav za proizvodnjo električne energije iz obnovljivih virov energije</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3119B709" w14:textId="4DF8515E" w:rsidR="00396174" w:rsidRPr="00DD6A04" w:rsidRDefault="00396174" w:rsidP="00396174">
            <w:pPr>
              <w:spacing w:before="0" w:after="0" w:line="240" w:lineRule="auto"/>
              <w:rPr>
                <w:rFonts w:eastAsia="Times New Roman"/>
                <w:noProof/>
                <w:color w:val="006100"/>
                <w:sz w:val="22"/>
              </w:rPr>
            </w:pPr>
            <w:r>
              <w:rPr>
                <w:noProof/>
                <w:color w:val="006100"/>
                <w:sz w:val="22"/>
              </w:rPr>
              <w:t>Določba Zakona o začetku veljavnosti</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428FB454" w14:textId="6BCD2EB3" w:rsidR="00396174" w:rsidRPr="00DD6A04" w:rsidRDefault="00396174" w:rsidP="00396174">
            <w:pPr>
              <w:spacing w:before="0" w:after="0" w:line="240" w:lineRule="auto"/>
              <w:rPr>
                <w:rFonts w:eastAsia="Times New Roman"/>
                <w:noProof/>
                <w:color w:val="006100"/>
                <w:sz w:val="22"/>
              </w:rPr>
            </w:pPr>
            <w:r>
              <w:rPr>
                <w:noProof/>
                <w:color w:val="006100"/>
                <w:sz w:val="22"/>
              </w:rPr>
              <w:t> </w:t>
            </w: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1E05CF1D" w14:textId="51E31A48" w:rsidR="00396174" w:rsidRPr="00DD6A04" w:rsidRDefault="00396174" w:rsidP="00396174">
            <w:pPr>
              <w:spacing w:before="0" w:after="0" w:line="240" w:lineRule="auto"/>
              <w:rPr>
                <w:rFonts w:eastAsia="Times New Roman"/>
                <w:noProof/>
                <w:color w:val="006100"/>
                <w:sz w:val="22"/>
              </w:rPr>
            </w:pPr>
            <w:r>
              <w:rPr>
                <w:noProof/>
                <w:color w:val="006100"/>
                <w:sz w:val="22"/>
              </w:rPr>
              <w:t> </w:t>
            </w: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5FE741C8" w14:textId="5273B2AD" w:rsidR="00396174" w:rsidRPr="00DD6A04" w:rsidRDefault="00396174" w:rsidP="00396174">
            <w:pPr>
              <w:spacing w:before="0" w:after="0" w:line="240" w:lineRule="auto"/>
              <w:rPr>
                <w:rFonts w:eastAsia="Times New Roman"/>
                <w:noProof/>
                <w:color w:val="006100"/>
                <w:sz w:val="22"/>
              </w:rPr>
            </w:pPr>
            <w:r>
              <w:rPr>
                <w:noProof/>
                <w:color w:val="006100"/>
                <w:sz w:val="22"/>
              </w:rPr>
              <w:t> </w:t>
            </w: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45D382FA" w14:textId="3B9A77F5" w:rsidR="00396174" w:rsidRPr="00DD6A04" w:rsidRDefault="00396174" w:rsidP="00396174">
            <w:pPr>
              <w:spacing w:before="0" w:after="0" w:line="240" w:lineRule="auto"/>
              <w:rPr>
                <w:rFonts w:eastAsia="Times New Roman"/>
                <w:noProof/>
                <w:color w:val="006100"/>
                <w:sz w:val="22"/>
              </w:rPr>
            </w:pPr>
            <w:r>
              <w:rPr>
                <w:noProof/>
                <w:color w:val="006100"/>
                <w:sz w:val="22"/>
              </w:rPr>
              <w:t>Q4</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5E548B2F" w14:textId="2FF8B511" w:rsidR="00396174" w:rsidRPr="00DD6A04" w:rsidRDefault="00396174" w:rsidP="00396174">
            <w:pPr>
              <w:spacing w:before="0" w:after="0" w:line="240" w:lineRule="auto"/>
              <w:rPr>
                <w:rFonts w:eastAsia="Times New Roman"/>
                <w:noProof/>
                <w:color w:val="006100"/>
                <w:sz w:val="22"/>
              </w:rPr>
            </w:pPr>
            <w:r>
              <w:rPr>
                <w:noProof/>
                <w:color w:val="006100"/>
                <w:sz w:val="22"/>
              </w:rPr>
              <w:t>2023</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6C6C6629" w14:textId="3C7C4D1B" w:rsidR="00396174" w:rsidRPr="00DD6A04" w:rsidRDefault="795598CC" w:rsidP="00396174">
            <w:pPr>
              <w:spacing w:before="0" w:after="0" w:line="240" w:lineRule="auto"/>
              <w:rPr>
                <w:rFonts w:eastAsia="Times New Roman"/>
                <w:noProof/>
                <w:color w:val="006100"/>
                <w:sz w:val="22"/>
                <w:highlight w:val="yellow"/>
              </w:rPr>
            </w:pPr>
            <w:r>
              <w:rPr>
                <w:noProof/>
                <w:color w:val="006100"/>
                <w:sz w:val="22"/>
              </w:rPr>
              <w:t>Z Zakonom se odpravijo regulativne ovire za uvajanje naprav za proizvodnjo električne energije iz obnovljivih virov energije (sončna in vetrna energija) na nekaterih območjih, kot so površine ob cestah, vodne površine in strehe.</w:t>
            </w:r>
            <w:r w:rsidR="00037751">
              <w:rPr>
                <w:noProof/>
                <w:color w:val="006100"/>
                <w:sz w:val="22"/>
              </w:rPr>
              <w:t xml:space="preserve"> </w:t>
            </w:r>
            <w:r>
              <w:rPr>
                <w:noProof/>
                <w:color w:val="006100"/>
                <w:sz w:val="22"/>
              </w:rPr>
              <w:t xml:space="preserve">Poleg tega Zakon določa pristojnosti in postopke prevlade javne koristi. </w:t>
            </w:r>
          </w:p>
        </w:tc>
      </w:tr>
      <w:tr w:rsidR="00BA37DA" w:rsidRPr="00DD6A04" w14:paraId="758DC476"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44031A0F" w14:textId="5DB2B940" w:rsidR="00396174" w:rsidRPr="00DD6A04" w:rsidRDefault="00396174" w:rsidP="00396174">
            <w:pPr>
              <w:spacing w:before="0" w:after="0" w:line="240" w:lineRule="auto"/>
              <w:rPr>
                <w:rFonts w:eastAsia="Times New Roman"/>
                <w:noProof/>
                <w:color w:val="006100"/>
                <w:sz w:val="22"/>
              </w:rPr>
            </w:pPr>
            <w:r>
              <w:rPr>
                <w:noProof/>
                <w:color w:val="006100"/>
                <w:sz w:val="22"/>
              </w:rPr>
              <w:t>211</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460B8B4A" w14:textId="2C79C1BD" w:rsidR="00396174" w:rsidRPr="00DD6A04" w:rsidRDefault="00396174" w:rsidP="00396174">
            <w:pPr>
              <w:spacing w:before="0" w:after="0" w:line="240" w:lineRule="auto"/>
              <w:rPr>
                <w:rFonts w:eastAsia="Times New Roman"/>
                <w:noProof/>
                <w:color w:val="006100"/>
                <w:sz w:val="22"/>
              </w:rPr>
            </w:pPr>
            <w:r>
              <w:rPr>
                <w:noProof/>
                <w:color w:val="006100"/>
                <w:sz w:val="22"/>
              </w:rPr>
              <w:t>A: Reforma spodbujanja obnovljivih virov energije v Sloveniji (razširitev)</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43EB678E" w14:textId="560A424E" w:rsidR="00396174" w:rsidRPr="00DD6A04" w:rsidRDefault="00396174" w:rsidP="00396174">
            <w:pPr>
              <w:spacing w:before="0" w:after="0" w:line="240" w:lineRule="auto"/>
              <w:rPr>
                <w:rFonts w:eastAsia="Times New Roman"/>
                <w:noProof/>
                <w:color w:val="006100"/>
                <w:sz w:val="22"/>
              </w:rPr>
            </w:pPr>
            <w:r>
              <w:rPr>
                <w:noProof/>
                <w:color w:val="006100"/>
                <w:sz w:val="22"/>
              </w:rPr>
              <w:t>Mejnik</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38F08BFA" w14:textId="629E9196" w:rsidR="00396174" w:rsidRPr="00DD6A04" w:rsidRDefault="00396174" w:rsidP="00396174">
            <w:pPr>
              <w:spacing w:before="0" w:after="0" w:line="240" w:lineRule="auto"/>
              <w:rPr>
                <w:rFonts w:eastAsia="Times New Roman"/>
                <w:noProof/>
                <w:color w:val="006100"/>
                <w:sz w:val="22"/>
              </w:rPr>
            </w:pPr>
            <w:r>
              <w:rPr>
                <w:noProof/>
                <w:color w:val="006100"/>
                <w:sz w:val="22"/>
              </w:rPr>
              <w:t>Sprejetje Uredbe o podrobnejših pravilih urejanja prostora ob postavitvi fotonapetostnih naprav</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7F36C40B" w14:textId="65F53EA7" w:rsidR="00396174" w:rsidRPr="00DD6A04" w:rsidRDefault="00396174" w:rsidP="00396174">
            <w:pPr>
              <w:spacing w:before="0" w:after="0" w:line="240" w:lineRule="auto"/>
              <w:rPr>
                <w:rFonts w:eastAsia="Times New Roman"/>
                <w:noProof/>
                <w:color w:val="006100"/>
                <w:sz w:val="22"/>
              </w:rPr>
            </w:pPr>
            <w:r>
              <w:rPr>
                <w:noProof/>
                <w:color w:val="006100"/>
                <w:sz w:val="22"/>
              </w:rPr>
              <w:t>Določba Uredbe o začetku veljavnosti</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730BCC1C"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26A24097"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3994A26B"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1627BA3E" w14:textId="65AE97A2"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0D20880F" w14:textId="75FC0CC5" w:rsidR="00396174" w:rsidRPr="00DD6A04" w:rsidRDefault="00396174" w:rsidP="00396174">
            <w:pPr>
              <w:spacing w:before="0" w:after="0" w:line="240" w:lineRule="auto"/>
              <w:rPr>
                <w:rFonts w:eastAsia="Times New Roman"/>
                <w:noProof/>
                <w:color w:val="006100"/>
                <w:sz w:val="22"/>
              </w:rPr>
            </w:pPr>
            <w:r>
              <w:rPr>
                <w:noProof/>
                <w:color w:val="006100"/>
                <w:sz w:val="22"/>
              </w:rPr>
              <w:t>2024</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34106F62" w14:textId="6182E97C" w:rsidR="00396174" w:rsidRPr="00DD6A04" w:rsidRDefault="00396174" w:rsidP="00396174">
            <w:pPr>
              <w:spacing w:before="0" w:after="0" w:line="240" w:lineRule="auto"/>
              <w:rPr>
                <w:rFonts w:eastAsia="Times New Roman"/>
                <w:noProof/>
                <w:color w:val="006100"/>
                <w:sz w:val="22"/>
              </w:rPr>
            </w:pPr>
            <w:r>
              <w:rPr>
                <w:noProof/>
                <w:color w:val="006100"/>
                <w:sz w:val="22"/>
              </w:rPr>
              <w:t>Uredba določa pravila za postavitev fotonapetostnih naprav na območjih, kot so strehe, vodne površine in površine ob cestah.</w:t>
            </w:r>
          </w:p>
        </w:tc>
      </w:tr>
      <w:tr w:rsidR="00BA37DA" w:rsidRPr="00DD6A04" w14:paraId="7880CDBE"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7253A529" w14:textId="7975F11A" w:rsidR="00396174" w:rsidRPr="00DD6A04" w:rsidRDefault="00396174" w:rsidP="00396174">
            <w:pPr>
              <w:spacing w:before="0" w:after="0" w:line="240" w:lineRule="auto"/>
              <w:rPr>
                <w:rFonts w:eastAsia="Times New Roman"/>
                <w:noProof/>
                <w:color w:val="006100"/>
                <w:sz w:val="22"/>
              </w:rPr>
            </w:pPr>
            <w:r>
              <w:rPr>
                <w:noProof/>
                <w:color w:val="006100"/>
                <w:sz w:val="22"/>
              </w:rPr>
              <w:t>212</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0DF40637" w14:textId="3A946246" w:rsidR="00396174" w:rsidRPr="00DD6A04" w:rsidRDefault="006D6D5E" w:rsidP="00396174">
            <w:pPr>
              <w:spacing w:before="0" w:after="0" w:line="240" w:lineRule="auto"/>
              <w:rPr>
                <w:rFonts w:eastAsia="Times New Roman"/>
                <w:noProof/>
                <w:color w:val="006100"/>
                <w:sz w:val="22"/>
              </w:rPr>
            </w:pPr>
            <w:r>
              <w:rPr>
                <w:noProof/>
                <w:color w:val="006100"/>
                <w:sz w:val="22"/>
              </w:rPr>
              <w:t>B: Energetsko učinkovito prestrukturiranje sistemov daljinskega ogrevanja na obnovljive vire energije (razširitev)</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659F2A3E" w14:textId="6EC0A09D" w:rsidR="00396174" w:rsidRPr="00DD6A04" w:rsidRDefault="00396174" w:rsidP="00396174">
            <w:pPr>
              <w:spacing w:before="0" w:after="0" w:line="240" w:lineRule="auto"/>
              <w:rPr>
                <w:rFonts w:eastAsia="Times New Roman"/>
                <w:noProof/>
                <w:color w:val="006100"/>
                <w:sz w:val="22"/>
              </w:rPr>
            </w:pPr>
            <w:r>
              <w:rPr>
                <w:noProof/>
                <w:color w:val="006100"/>
                <w:sz w:val="22"/>
              </w:rPr>
              <w:t>Mejnik</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26248A8E" w14:textId="3CBB7099" w:rsidR="00396174" w:rsidRPr="00DD6A04" w:rsidRDefault="610C5737" w:rsidP="150EC00E">
            <w:pPr>
              <w:spacing w:before="0" w:after="0" w:line="240" w:lineRule="auto"/>
              <w:rPr>
                <w:rFonts w:eastAsia="Times New Roman"/>
                <w:noProof/>
                <w:color w:val="006100"/>
                <w:sz w:val="22"/>
              </w:rPr>
            </w:pPr>
            <w:r>
              <w:rPr>
                <w:noProof/>
                <w:color w:val="006100"/>
                <w:sz w:val="22"/>
              </w:rPr>
              <w:t>Objava javnega razpisa za obnovljive vire energije v sistemih daljinskega ogrevanja</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62E430FE" w14:textId="6AA30464" w:rsidR="00396174" w:rsidRPr="00DD6A04" w:rsidRDefault="78CA0234" w:rsidP="150EC00E">
            <w:pPr>
              <w:spacing w:before="0" w:after="0" w:line="240" w:lineRule="auto"/>
              <w:rPr>
                <w:rFonts w:eastAsia="Times New Roman"/>
                <w:noProof/>
                <w:color w:val="006100"/>
                <w:sz w:val="22"/>
              </w:rPr>
            </w:pPr>
            <w:r>
              <w:rPr>
                <w:noProof/>
                <w:color w:val="006100"/>
                <w:sz w:val="22"/>
              </w:rPr>
              <w:t xml:space="preserve">Objavljen javni razpis </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67385E15"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787E3559"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1CD1A2DA"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31614110" w14:textId="618B47E9"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7B09E1AB" w14:textId="3752AA29" w:rsidR="00396174" w:rsidRPr="00DD6A04" w:rsidRDefault="00396174" w:rsidP="00396174">
            <w:pPr>
              <w:spacing w:before="0" w:after="0" w:line="240" w:lineRule="auto"/>
              <w:rPr>
                <w:rFonts w:eastAsia="Times New Roman"/>
                <w:noProof/>
                <w:color w:val="006100"/>
                <w:sz w:val="22"/>
              </w:rPr>
            </w:pPr>
            <w:r>
              <w:rPr>
                <w:noProof/>
                <w:color w:val="006100"/>
                <w:sz w:val="22"/>
              </w:rPr>
              <w:t>2024</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7956ABAD" w14:textId="154E0541" w:rsidR="00396174" w:rsidRPr="00DD6A04" w:rsidRDefault="0C8A7F85" w:rsidP="150EC00E">
            <w:pPr>
              <w:spacing w:before="0" w:after="0" w:line="240" w:lineRule="auto"/>
              <w:rPr>
                <w:rFonts w:eastAsia="Times New Roman"/>
                <w:noProof/>
                <w:color w:val="006100"/>
                <w:sz w:val="22"/>
              </w:rPr>
            </w:pPr>
            <w:r>
              <w:rPr>
                <w:noProof/>
                <w:color w:val="006100"/>
                <w:sz w:val="22"/>
              </w:rPr>
              <w:t>Objavljen javni razpis za investicije, ki povečujejo delež obnovljivih virov energije v sistemih daljinskega ogrevanja.</w:t>
            </w:r>
          </w:p>
          <w:p w14:paraId="0D050250" w14:textId="77777777" w:rsidR="00396174" w:rsidRPr="00DD6A04" w:rsidRDefault="00396174" w:rsidP="00396174">
            <w:pPr>
              <w:spacing w:before="0" w:after="0" w:line="240" w:lineRule="auto"/>
              <w:rPr>
                <w:rFonts w:eastAsia="Times New Roman"/>
                <w:noProof/>
                <w:color w:val="006100"/>
                <w:sz w:val="22"/>
                <w:lang w:val="en-GB" w:eastAsia="en-GB"/>
              </w:rPr>
            </w:pPr>
          </w:p>
          <w:p w14:paraId="124F442A" w14:textId="116DC39D" w:rsidR="000D7396" w:rsidRPr="00DD6A04" w:rsidRDefault="3BE0187F" w:rsidP="170A6336">
            <w:pPr>
              <w:spacing w:before="0" w:after="0" w:line="240" w:lineRule="auto"/>
              <w:rPr>
                <w:rFonts w:eastAsia="Times New Roman"/>
                <w:noProof/>
                <w:color w:val="006100"/>
                <w:sz w:val="22"/>
              </w:rPr>
            </w:pPr>
            <w:r>
              <w:rPr>
                <w:noProof/>
                <w:color w:val="006100"/>
                <w:sz w:val="22"/>
              </w:rPr>
              <w:t>Merila za izbor/upravičenost zagotavljajo skladnost s tehničnimi smernicami za uporabo načela, da se ne škoduje bistveno (2021/C58/01), prestrukturirani sistemi daljinskega ogrevanja pa izpolnjujejo zahteve iz Direktive 2012/27/EU.</w:t>
            </w:r>
          </w:p>
          <w:p w14:paraId="45235BAD" w14:textId="260C4382" w:rsidR="00396174" w:rsidRPr="00DD6A04" w:rsidRDefault="000D7396" w:rsidP="00396174">
            <w:pPr>
              <w:spacing w:before="0" w:after="0" w:line="240" w:lineRule="auto"/>
              <w:rPr>
                <w:rFonts w:eastAsia="Times New Roman"/>
                <w:noProof/>
                <w:color w:val="006100"/>
                <w:sz w:val="22"/>
              </w:rPr>
            </w:pPr>
            <w:r>
              <w:rPr>
                <w:noProof/>
                <w:color w:val="006100"/>
                <w:sz w:val="22"/>
              </w:rPr>
              <w:t>V primeru izrabe biomase je slednja v skladu z Direktivo (EU) 2018/2001. Poleg tega imajo prednost rešitve, ki ne temeljijo na biomasi.</w:t>
            </w:r>
          </w:p>
        </w:tc>
      </w:tr>
      <w:tr w:rsidR="00BA37DA" w:rsidRPr="00DD6A04" w14:paraId="5DFD4D2B"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1D9E1567" w14:textId="05C5C855" w:rsidR="00396174" w:rsidRPr="00DD6A04" w:rsidRDefault="00396174" w:rsidP="00396174">
            <w:pPr>
              <w:spacing w:before="0" w:after="0" w:line="240" w:lineRule="auto"/>
              <w:rPr>
                <w:rFonts w:eastAsia="Times New Roman"/>
                <w:noProof/>
                <w:color w:val="006100"/>
                <w:sz w:val="22"/>
              </w:rPr>
            </w:pPr>
            <w:r>
              <w:rPr>
                <w:noProof/>
                <w:color w:val="006100"/>
                <w:sz w:val="22"/>
              </w:rPr>
              <w:t>213</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54A7E144" w14:textId="0FA31609" w:rsidR="00396174" w:rsidRPr="00DD6A04" w:rsidRDefault="006D6D5E" w:rsidP="00396174">
            <w:pPr>
              <w:spacing w:before="0" w:after="0" w:line="240" w:lineRule="auto"/>
              <w:rPr>
                <w:rFonts w:eastAsia="Times New Roman"/>
                <w:noProof/>
                <w:color w:val="006100"/>
                <w:sz w:val="22"/>
              </w:rPr>
            </w:pPr>
            <w:r>
              <w:rPr>
                <w:noProof/>
                <w:color w:val="006100"/>
                <w:sz w:val="22"/>
              </w:rPr>
              <w:t>B: Energetsko učinkovito prestrukturiranje sistemov daljinskega ogrevanja na obnovljive vire energije (razširitev)</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4779C72B" w14:textId="2F0B528C" w:rsidR="00396174" w:rsidRPr="00DD6A04" w:rsidRDefault="00396174" w:rsidP="00396174">
            <w:pPr>
              <w:spacing w:before="0" w:after="0" w:line="240" w:lineRule="auto"/>
              <w:rPr>
                <w:rFonts w:eastAsia="Times New Roman"/>
                <w:noProof/>
                <w:color w:val="006100"/>
                <w:sz w:val="22"/>
              </w:rPr>
            </w:pPr>
            <w:r>
              <w:rPr>
                <w:noProof/>
                <w:color w:val="006100"/>
                <w:sz w:val="22"/>
              </w:rPr>
              <w:t>Cilj</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25DA91D1" w14:textId="4B25CC12" w:rsidR="00396174" w:rsidRPr="00DD6A04" w:rsidRDefault="7E16B612" w:rsidP="6B3B27EA">
            <w:pPr>
              <w:spacing w:before="0" w:after="0" w:line="240" w:lineRule="auto"/>
              <w:rPr>
                <w:rFonts w:eastAsia="Times New Roman"/>
                <w:noProof/>
                <w:color w:val="006100"/>
                <w:sz w:val="22"/>
              </w:rPr>
            </w:pPr>
            <w:r>
              <w:rPr>
                <w:noProof/>
                <w:color w:val="006100"/>
                <w:sz w:val="22"/>
              </w:rPr>
              <w:t xml:space="preserve">Dodatna zmogljivost obnovljivih virov energije v sistemih daljinskega ogrevanja </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4D18C68F" w14:textId="71B97457" w:rsidR="00396174" w:rsidRPr="00DD6A04" w:rsidRDefault="00396174" w:rsidP="00396174">
            <w:pPr>
              <w:spacing w:before="0" w:after="0" w:line="240" w:lineRule="auto"/>
              <w:rPr>
                <w:rFonts w:eastAsia="Times New Roman"/>
                <w:noProof/>
                <w:color w:val="006100"/>
                <w:sz w:val="22"/>
              </w:rPr>
            </w:pPr>
            <w:r>
              <w:rPr>
                <w:noProof/>
                <w:color w:val="006100"/>
                <w:sz w:val="22"/>
              </w:rPr>
              <w:t> </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72B11D9F" w14:textId="77777777" w:rsidR="00396174" w:rsidRPr="00DD6A04" w:rsidRDefault="00396174" w:rsidP="00396174">
            <w:pPr>
              <w:spacing w:before="0" w:after="0" w:line="240" w:lineRule="auto"/>
              <w:rPr>
                <w:rFonts w:eastAsia="Times New Roman"/>
                <w:noProof/>
                <w:color w:val="006100"/>
                <w:sz w:val="22"/>
              </w:rPr>
            </w:pPr>
            <w:r>
              <w:rPr>
                <w:noProof/>
                <w:color w:val="006100"/>
                <w:sz w:val="22"/>
              </w:rPr>
              <w:t>Število</w:t>
            </w:r>
          </w:p>
          <w:p w14:paraId="4A86284D" w14:textId="0FCA4BE2" w:rsidR="00396174" w:rsidRPr="00DD6A04" w:rsidRDefault="00396174" w:rsidP="00396174">
            <w:pPr>
              <w:spacing w:before="0" w:after="0" w:line="240" w:lineRule="auto"/>
              <w:rPr>
                <w:rFonts w:eastAsia="Times New Roman"/>
                <w:noProof/>
                <w:color w:val="006100"/>
                <w:sz w:val="22"/>
              </w:rPr>
            </w:pPr>
            <w:r>
              <w:rPr>
                <w:noProof/>
                <w:color w:val="006100"/>
                <w:sz w:val="22"/>
              </w:rPr>
              <w:t>(MW)</w:t>
            </w: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17C4EF56" w14:textId="42A0AD2D" w:rsidR="00396174" w:rsidRPr="00DD6A04" w:rsidRDefault="4FA8F990" w:rsidP="6B3B27EA">
            <w:pPr>
              <w:spacing w:before="0" w:after="0" w:line="240" w:lineRule="auto"/>
              <w:rPr>
                <w:rFonts w:eastAsia="Times New Roman"/>
                <w:noProof/>
                <w:color w:val="006100"/>
                <w:sz w:val="22"/>
              </w:rPr>
            </w:pPr>
            <w:r>
              <w:rPr>
                <w:noProof/>
                <w:color w:val="006100"/>
                <w:sz w:val="22"/>
              </w:rPr>
              <w:t>0</w:t>
            </w: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791E7627" w14:textId="705EA641" w:rsidR="00396174" w:rsidRPr="00DD6A04" w:rsidRDefault="7E16B612" w:rsidP="6B3B27EA">
            <w:pPr>
              <w:spacing w:before="0" w:after="0" w:line="240" w:lineRule="auto"/>
              <w:rPr>
                <w:rFonts w:eastAsia="Times New Roman"/>
                <w:noProof/>
                <w:color w:val="006100"/>
                <w:sz w:val="22"/>
              </w:rPr>
            </w:pPr>
            <w:r>
              <w:rPr>
                <w:noProof/>
                <w:color w:val="006100"/>
                <w:sz w:val="22"/>
              </w:rPr>
              <w:t> 23</w:t>
            </w: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20A7B40D" w14:textId="6FA60015"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5CB31031" w14:textId="4E5E156C" w:rsidR="00396174" w:rsidRPr="00DD6A04" w:rsidRDefault="00396174" w:rsidP="00396174">
            <w:pPr>
              <w:spacing w:before="0" w:after="0" w:line="240" w:lineRule="auto"/>
              <w:rPr>
                <w:rFonts w:eastAsia="Times New Roman"/>
                <w:noProof/>
                <w:color w:val="006100"/>
                <w:sz w:val="22"/>
              </w:rPr>
            </w:pPr>
            <w:r>
              <w:rPr>
                <w:noProof/>
                <w:color w:val="006100"/>
                <w:sz w:val="22"/>
              </w:rPr>
              <w:t>2026</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0A68AA60" w14:textId="7E866A6D" w:rsidR="00396174" w:rsidRPr="00DD6A04" w:rsidRDefault="7E16B612" w:rsidP="6B3B27EA">
            <w:pPr>
              <w:spacing w:before="0" w:after="0" w:line="240" w:lineRule="auto"/>
              <w:rPr>
                <w:rFonts w:eastAsia="Times New Roman"/>
                <w:noProof/>
                <w:color w:val="006100"/>
                <w:sz w:val="22"/>
              </w:rPr>
            </w:pPr>
            <w:r>
              <w:rPr>
                <w:noProof/>
                <w:color w:val="006100"/>
                <w:sz w:val="22"/>
              </w:rPr>
              <w:t>Dokončani projekti za obnovljive vire energije v sistemih daljinskega ogrevanja z dodatno zmogljivostjo najmanj 23 MW.</w:t>
            </w:r>
          </w:p>
          <w:p w14:paraId="6C5CEC0E" w14:textId="77777777" w:rsidR="00396174" w:rsidRPr="00DD6A04" w:rsidRDefault="00396174" w:rsidP="00396174">
            <w:pPr>
              <w:spacing w:before="0" w:after="0" w:line="240" w:lineRule="auto"/>
              <w:rPr>
                <w:rFonts w:eastAsia="Times New Roman"/>
                <w:noProof/>
                <w:color w:val="006100"/>
                <w:sz w:val="22"/>
                <w:lang w:val="en-GB" w:eastAsia="en-GB"/>
              </w:rPr>
            </w:pPr>
          </w:p>
          <w:p w14:paraId="5C810DDA" w14:textId="77777777" w:rsidR="00396174" w:rsidRPr="00DD6A04" w:rsidRDefault="00396174" w:rsidP="00396174">
            <w:pPr>
              <w:spacing w:before="0" w:after="0" w:line="240" w:lineRule="auto"/>
              <w:rPr>
                <w:rFonts w:eastAsia="Times New Roman"/>
                <w:noProof/>
                <w:color w:val="006100"/>
                <w:sz w:val="22"/>
                <w:lang w:val="en-GB" w:eastAsia="en-GB"/>
              </w:rPr>
            </w:pPr>
          </w:p>
        </w:tc>
      </w:tr>
      <w:tr w:rsidR="00BA37DA" w:rsidRPr="00DD6A04" w14:paraId="0F7C533C"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492E700B" w14:textId="7E9110BC" w:rsidR="00396174" w:rsidRPr="00DD6A04" w:rsidRDefault="00396174" w:rsidP="00396174">
            <w:pPr>
              <w:spacing w:before="0" w:after="0" w:line="240" w:lineRule="auto"/>
              <w:rPr>
                <w:rFonts w:eastAsia="Times New Roman"/>
                <w:noProof/>
                <w:color w:val="006100"/>
                <w:sz w:val="22"/>
              </w:rPr>
            </w:pPr>
            <w:r>
              <w:rPr>
                <w:noProof/>
                <w:color w:val="006100"/>
                <w:sz w:val="22"/>
              </w:rPr>
              <w:t>214</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158D374B" w14:textId="1E3C08B7" w:rsidR="00396174" w:rsidRPr="00DD6A04" w:rsidRDefault="0025250A" w:rsidP="00396174">
            <w:pPr>
              <w:spacing w:before="0" w:after="0" w:line="240" w:lineRule="auto"/>
              <w:rPr>
                <w:rFonts w:eastAsia="Times New Roman"/>
                <w:noProof/>
                <w:color w:val="006100"/>
                <w:sz w:val="22"/>
              </w:rPr>
            </w:pPr>
            <w:r>
              <w:rPr>
                <w:noProof/>
                <w:color w:val="006100"/>
                <w:sz w:val="22"/>
              </w:rPr>
              <w:t>C: Krepitev distribucijskega omrežja električne energije (srednjenapetostno omrežje)</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658EF995" w14:textId="6A9B0A8E" w:rsidR="00396174" w:rsidRPr="00DD6A04" w:rsidRDefault="00396174" w:rsidP="00396174">
            <w:pPr>
              <w:spacing w:before="0" w:after="0" w:line="240" w:lineRule="auto"/>
              <w:rPr>
                <w:rFonts w:eastAsia="Times New Roman"/>
                <w:noProof/>
                <w:color w:val="006100"/>
                <w:sz w:val="22"/>
              </w:rPr>
            </w:pPr>
            <w:r>
              <w:rPr>
                <w:noProof/>
                <w:color w:val="006100"/>
                <w:sz w:val="22"/>
              </w:rPr>
              <w:t>Mejnik</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3909B1F4" w14:textId="2DED636D" w:rsidR="00396174" w:rsidRPr="00DD6A04" w:rsidRDefault="39B99750" w:rsidP="150EC00E">
            <w:pPr>
              <w:spacing w:before="0" w:after="0" w:line="240" w:lineRule="auto"/>
              <w:rPr>
                <w:rFonts w:eastAsia="Times New Roman"/>
                <w:noProof/>
                <w:color w:val="006100"/>
                <w:sz w:val="22"/>
              </w:rPr>
            </w:pPr>
            <w:r>
              <w:rPr>
                <w:noProof/>
                <w:color w:val="006100"/>
                <w:sz w:val="22"/>
              </w:rPr>
              <w:t>Objava javnega razpisa za izgradnjo novega ali rekonstrukcijo obstoječega srednjenapetostnega distribucijskega omrežja</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43FCBBE7" w14:textId="77C92B81" w:rsidR="00396174" w:rsidRPr="00DD6A04" w:rsidRDefault="0C8A7F85" w:rsidP="150EC00E">
            <w:pPr>
              <w:spacing w:before="0" w:after="0" w:line="240" w:lineRule="auto"/>
              <w:rPr>
                <w:rFonts w:eastAsia="Times New Roman"/>
                <w:noProof/>
                <w:color w:val="006100"/>
                <w:sz w:val="22"/>
              </w:rPr>
            </w:pPr>
            <w:r>
              <w:rPr>
                <w:noProof/>
                <w:color w:val="006100"/>
                <w:sz w:val="22"/>
              </w:rPr>
              <w:t xml:space="preserve">Objava javnega razpisa </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51C153B9"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00B5D300"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5A6C64F7"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0B6A39E4" w14:textId="48618907"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053B9CD3" w14:textId="60D29C78" w:rsidR="00396174" w:rsidRPr="00DD6A04" w:rsidRDefault="00396174" w:rsidP="00396174">
            <w:pPr>
              <w:spacing w:before="0" w:after="0" w:line="240" w:lineRule="auto"/>
              <w:rPr>
                <w:rFonts w:eastAsia="Times New Roman"/>
                <w:noProof/>
                <w:color w:val="006100"/>
                <w:sz w:val="22"/>
              </w:rPr>
            </w:pPr>
            <w:r>
              <w:rPr>
                <w:noProof/>
                <w:color w:val="006100"/>
                <w:sz w:val="22"/>
              </w:rPr>
              <w:t>2024</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2163772B" w14:textId="12F19D56" w:rsidR="00340391" w:rsidRPr="00DD6A04" w:rsidRDefault="7EEF9434" w:rsidP="150EC00E">
            <w:pPr>
              <w:spacing w:before="0" w:after="0" w:line="240" w:lineRule="auto"/>
              <w:rPr>
                <w:rFonts w:eastAsia="Times New Roman"/>
                <w:noProof/>
                <w:color w:val="006100"/>
                <w:sz w:val="22"/>
              </w:rPr>
            </w:pPr>
            <w:r>
              <w:rPr>
                <w:noProof/>
                <w:color w:val="006100"/>
                <w:sz w:val="22"/>
              </w:rPr>
              <w:t xml:space="preserve">Objavi se javni razpis za izgradnjo novega ali rekonstrukcijo obstoječega srednjenapetostnega distribucijskega omrežja za električno energijo. </w:t>
            </w:r>
          </w:p>
          <w:p w14:paraId="3370AE3D" w14:textId="2684B0DB" w:rsidR="00340391" w:rsidRPr="00DD6A04" w:rsidRDefault="00340391" w:rsidP="00396174">
            <w:pPr>
              <w:spacing w:before="0" w:after="0" w:line="240" w:lineRule="auto"/>
              <w:rPr>
                <w:rFonts w:eastAsia="Times New Roman"/>
                <w:noProof/>
                <w:color w:val="006100"/>
                <w:sz w:val="22"/>
              </w:rPr>
            </w:pPr>
            <w:r>
              <w:rPr>
                <w:noProof/>
                <w:color w:val="006100"/>
                <w:sz w:val="22"/>
              </w:rPr>
              <w:t>Investicija spodbuja digitalizacijo omrežja z zajemom novih nadzornih sistemov in senzorskih tehnologij, ki omogočajo interaktivno in inteligentno spremljanje, merjenje, nadzor kakovosti ali upravljanje proizvodnje, prenosa, distribucije ali porabe energije znotraj distribucijskega omrežja.</w:t>
            </w:r>
          </w:p>
          <w:p w14:paraId="19A2CC2B" w14:textId="77777777" w:rsidR="00396174" w:rsidRPr="00DD6A04" w:rsidRDefault="00396174" w:rsidP="00396174">
            <w:pPr>
              <w:spacing w:before="0" w:after="0" w:line="240" w:lineRule="auto"/>
              <w:rPr>
                <w:rFonts w:eastAsia="Times New Roman"/>
                <w:noProof/>
                <w:color w:val="006100"/>
                <w:sz w:val="22"/>
                <w:lang w:val="en-GB" w:eastAsia="en-GB"/>
              </w:rPr>
            </w:pPr>
          </w:p>
          <w:p w14:paraId="5AFBF895" w14:textId="00ED2E1D" w:rsidR="00396174" w:rsidRPr="00DD6A04" w:rsidRDefault="00396174" w:rsidP="00396174">
            <w:pPr>
              <w:spacing w:before="0" w:after="0" w:line="240" w:lineRule="auto"/>
              <w:rPr>
                <w:rFonts w:eastAsia="Times New Roman"/>
                <w:noProof/>
                <w:color w:val="006100"/>
                <w:sz w:val="22"/>
              </w:rPr>
            </w:pPr>
            <w:r>
              <w:rPr>
                <w:noProof/>
                <w:color w:val="006100"/>
                <w:sz w:val="22"/>
              </w:rPr>
              <w:t xml:space="preserve">Merila za upravičenost bodo zagotavljala skladnost s tehničnimi smernicami za uporabo načela, da se ne škoduje bistveno (2021/C58/01). </w:t>
            </w:r>
          </w:p>
        </w:tc>
      </w:tr>
      <w:tr w:rsidR="00BA37DA" w:rsidRPr="00DD6A04" w14:paraId="66335119"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3E11BD51" w14:textId="0027173F" w:rsidR="00396174" w:rsidRPr="00DD6A04" w:rsidRDefault="00396174" w:rsidP="00396174">
            <w:pPr>
              <w:spacing w:before="0" w:after="0" w:line="240" w:lineRule="auto"/>
              <w:rPr>
                <w:rFonts w:eastAsia="Times New Roman"/>
                <w:noProof/>
                <w:color w:val="006100"/>
                <w:sz w:val="22"/>
              </w:rPr>
            </w:pPr>
            <w:r>
              <w:rPr>
                <w:noProof/>
                <w:color w:val="006100"/>
                <w:sz w:val="22"/>
              </w:rPr>
              <w:t>215</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49989B2D" w14:textId="76B3794A" w:rsidR="00396174" w:rsidRPr="00DD6A04" w:rsidRDefault="0025250A" w:rsidP="00396174">
            <w:pPr>
              <w:spacing w:before="0" w:after="0" w:line="240" w:lineRule="auto"/>
              <w:rPr>
                <w:rFonts w:eastAsia="Times New Roman"/>
                <w:noProof/>
                <w:color w:val="006100"/>
                <w:sz w:val="22"/>
              </w:rPr>
            </w:pPr>
            <w:r>
              <w:rPr>
                <w:noProof/>
                <w:color w:val="006100"/>
                <w:sz w:val="22"/>
              </w:rPr>
              <w:t>C: Krepitev distribucijskega omrežja električne energije (srednjenapetostno omrežje)</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7E85E383" w14:textId="5E142BF6" w:rsidR="00396174" w:rsidRPr="00DD6A04" w:rsidRDefault="00396174" w:rsidP="00396174">
            <w:pPr>
              <w:spacing w:before="0" w:after="0" w:line="240" w:lineRule="auto"/>
              <w:rPr>
                <w:rFonts w:eastAsia="Times New Roman"/>
                <w:noProof/>
                <w:color w:val="006100"/>
                <w:sz w:val="22"/>
              </w:rPr>
            </w:pPr>
            <w:r>
              <w:rPr>
                <w:noProof/>
                <w:color w:val="006100"/>
                <w:sz w:val="22"/>
              </w:rPr>
              <w:t>Cilj</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71761472" w14:textId="6364F61A" w:rsidR="00396174" w:rsidRPr="00DD6A04" w:rsidRDefault="00396174" w:rsidP="00396174">
            <w:pPr>
              <w:spacing w:before="0" w:after="0" w:line="240" w:lineRule="auto"/>
              <w:rPr>
                <w:rFonts w:eastAsia="Times New Roman"/>
                <w:noProof/>
                <w:color w:val="006100"/>
                <w:sz w:val="22"/>
              </w:rPr>
            </w:pPr>
            <w:r>
              <w:rPr>
                <w:noProof/>
                <w:color w:val="006100"/>
                <w:sz w:val="22"/>
              </w:rPr>
              <w:t>Dolžina novega ali rekonstruiranega operativnega distribucijskega omrežja</w:t>
            </w:r>
            <w:r w:rsidR="00037751">
              <w:rPr>
                <w:noProof/>
                <w:color w:val="006100"/>
                <w:sz w:val="22"/>
              </w:rPr>
              <w:t xml:space="preserve"> </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59FB3CFE" w14:textId="388BEB42" w:rsidR="00396174" w:rsidRPr="00DD6A04" w:rsidRDefault="00396174" w:rsidP="00396174">
            <w:pPr>
              <w:spacing w:before="0" w:after="0" w:line="240" w:lineRule="auto"/>
              <w:rPr>
                <w:rFonts w:eastAsia="Times New Roman"/>
                <w:noProof/>
                <w:color w:val="006100"/>
                <w:sz w:val="22"/>
              </w:rPr>
            </w:pPr>
            <w:r>
              <w:rPr>
                <w:noProof/>
                <w:color w:val="006100"/>
                <w:sz w:val="22"/>
              </w:rPr>
              <w:t> </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165FC58D" w14:textId="6ACD061C" w:rsidR="00396174" w:rsidRPr="00DD6A04" w:rsidRDefault="00396174" w:rsidP="00396174">
            <w:pPr>
              <w:spacing w:before="0" w:after="0" w:line="240" w:lineRule="auto"/>
              <w:rPr>
                <w:rFonts w:eastAsia="Times New Roman"/>
                <w:noProof/>
                <w:color w:val="006100"/>
                <w:sz w:val="22"/>
              </w:rPr>
            </w:pPr>
            <w:r>
              <w:rPr>
                <w:noProof/>
                <w:color w:val="006100"/>
                <w:sz w:val="22"/>
              </w:rPr>
              <w:t>Število (km)</w:t>
            </w: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732A6D90" w14:textId="567056C8" w:rsidR="00396174" w:rsidRPr="00DD6A04" w:rsidRDefault="00396174" w:rsidP="00396174">
            <w:pPr>
              <w:spacing w:before="0" w:after="0" w:line="240" w:lineRule="auto"/>
              <w:rPr>
                <w:rFonts w:eastAsia="Times New Roman"/>
                <w:noProof/>
                <w:color w:val="006100"/>
                <w:sz w:val="22"/>
              </w:rPr>
            </w:pPr>
            <w:r>
              <w:rPr>
                <w:noProof/>
                <w:color w:val="006100"/>
                <w:sz w:val="22"/>
              </w:rPr>
              <w:t>0</w:t>
            </w: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3DBA281F" w14:textId="2EBE252D" w:rsidR="00396174" w:rsidRPr="00DD6A04" w:rsidRDefault="00396174" w:rsidP="00396174">
            <w:pPr>
              <w:spacing w:before="0" w:after="0" w:line="240" w:lineRule="auto"/>
              <w:rPr>
                <w:rFonts w:eastAsia="Times New Roman"/>
                <w:noProof/>
                <w:color w:val="006100"/>
                <w:sz w:val="22"/>
              </w:rPr>
            </w:pPr>
            <w:r>
              <w:rPr>
                <w:noProof/>
                <w:color w:val="006100"/>
                <w:sz w:val="22"/>
              </w:rPr>
              <w:t>279</w:t>
            </w: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29A1FC03" w14:textId="4FA5061D"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464DD542" w14:textId="08E86D6A" w:rsidR="00396174" w:rsidRPr="00DD6A04" w:rsidRDefault="00396174" w:rsidP="00396174">
            <w:pPr>
              <w:spacing w:before="0" w:after="0" w:line="240" w:lineRule="auto"/>
              <w:rPr>
                <w:rFonts w:eastAsia="Times New Roman"/>
                <w:noProof/>
                <w:color w:val="006100"/>
                <w:sz w:val="22"/>
              </w:rPr>
            </w:pPr>
            <w:r>
              <w:rPr>
                <w:noProof/>
                <w:color w:val="006100"/>
                <w:sz w:val="22"/>
              </w:rPr>
              <w:t>2026</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32FB1A79" w14:textId="3EB8BC03" w:rsidR="00396174" w:rsidRPr="00DD6A04" w:rsidRDefault="00396174" w:rsidP="00396174">
            <w:pPr>
              <w:spacing w:before="0" w:after="0" w:line="240" w:lineRule="auto"/>
              <w:rPr>
                <w:rFonts w:eastAsia="Times New Roman"/>
                <w:noProof/>
                <w:color w:val="006100"/>
                <w:sz w:val="22"/>
              </w:rPr>
            </w:pPr>
            <w:r>
              <w:rPr>
                <w:noProof/>
                <w:color w:val="006100"/>
                <w:sz w:val="22"/>
              </w:rPr>
              <w:t>Operativnih je najmanj 279 km novega ali rekonstruiranega srednjenapetostnega distribucijskega omrežja.</w:t>
            </w:r>
          </w:p>
        </w:tc>
      </w:tr>
      <w:tr w:rsidR="00BA37DA" w:rsidRPr="00DD6A04" w14:paraId="3D3F46F7"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07F8EBF2" w14:textId="5E410EEF" w:rsidR="00396174" w:rsidRPr="00DD6A04" w:rsidRDefault="00396174" w:rsidP="00396174">
            <w:pPr>
              <w:spacing w:before="0" w:after="0" w:line="240" w:lineRule="auto"/>
              <w:rPr>
                <w:rFonts w:eastAsia="Times New Roman"/>
                <w:noProof/>
                <w:color w:val="006100"/>
                <w:sz w:val="22"/>
              </w:rPr>
            </w:pPr>
            <w:r>
              <w:rPr>
                <w:noProof/>
                <w:color w:val="006100"/>
                <w:sz w:val="22"/>
              </w:rPr>
              <w:t>216</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73805A35" w14:textId="00E6C337" w:rsidR="00396174" w:rsidRPr="00DD6A04" w:rsidRDefault="0025250A" w:rsidP="00396174">
            <w:pPr>
              <w:spacing w:before="0" w:after="0" w:line="240" w:lineRule="auto"/>
              <w:rPr>
                <w:rFonts w:eastAsia="Times New Roman"/>
                <w:noProof/>
                <w:color w:val="006100"/>
                <w:sz w:val="22"/>
              </w:rPr>
            </w:pPr>
            <w:r>
              <w:rPr>
                <w:noProof/>
                <w:color w:val="006100"/>
                <w:sz w:val="22"/>
              </w:rPr>
              <w:t>D: Energetska učinkovitost in razogljičenje gospodarstva</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1E11A568" w14:textId="2223FF48" w:rsidR="00396174" w:rsidRPr="00DD6A04" w:rsidRDefault="00396174" w:rsidP="00396174">
            <w:pPr>
              <w:spacing w:before="0" w:after="0" w:line="240" w:lineRule="auto"/>
              <w:rPr>
                <w:rFonts w:eastAsia="Times New Roman"/>
                <w:noProof/>
                <w:color w:val="006100"/>
                <w:sz w:val="22"/>
              </w:rPr>
            </w:pPr>
            <w:r>
              <w:rPr>
                <w:noProof/>
                <w:color w:val="006100"/>
                <w:sz w:val="22"/>
              </w:rPr>
              <w:t>Mejnik</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26034DE4" w14:textId="7A98B01F" w:rsidR="00396174" w:rsidRPr="00DD6A04" w:rsidRDefault="00396174" w:rsidP="00396174">
            <w:pPr>
              <w:spacing w:before="0" w:after="0" w:line="240" w:lineRule="auto"/>
              <w:rPr>
                <w:rFonts w:eastAsia="Times New Roman"/>
                <w:noProof/>
                <w:color w:val="006100"/>
                <w:sz w:val="22"/>
              </w:rPr>
            </w:pPr>
            <w:r>
              <w:rPr>
                <w:noProof/>
                <w:color w:val="006100"/>
                <w:sz w:val="22"/>
              </w:rPr>
              <w:t>Uvedba programa podpore za energijsko učinkovitost in razogljičenje gospodarstva</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67CFE5C3" w14:textId="3F706B61" w:rsidR="00396174" w:rsidRPr="00DD6A04" w:rsidRDefault="3BE0187F" w:rsidP="170A6336">
            <w:pPr>
              <w:spacing w:before="0" w:after="0" w:line="240" w:lineRule="auto"/>
              <w:rPr>
                <w:rFonts w:eastAsia="Times New Roman"/>
                <w:noProof/>
                <w:color w:val="006100"/>
                <w:sz w:val="22"/>
                <w:highlight w:val="green"/>
              </w:rPr>
            </w:pPr>
            <w:r>
              <w:rPr>
                <w:noProof/>
                <w:color w:val="006100"/>
                <w:sz w:val="22"/>
              </w:rPr>
              <w:t>Objava javnega razpisa</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2DAE640D"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16410404"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5743D742"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60A5D598" w14:textId="5F653DE6"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55000128" w14:textId="4A04919F" w:rsidR="00396174" w:rsidRPr="00DD6A04" w:rsidRDefault="00396174" w:rsidP="00396174">
            <w:pPr>
              <w:spacing w:before="0" w:after="0" w:line="240" w:lineRule="auto"/>
              <w:rPr>
                <w:rFonts w:eastAsia="Times New Roman"/>
                <w:noProof/>
                <w:color w:val="006100"/>
                <w:sz w:val="22"/>
              </w:rPr>
            </w:pPr>
            <w:r>
              <w:rPr>
                <w:noProof/>
                <w:color w:val="006100"/>
                <w:sz w:val="22"/>
              </w:rPr>
              <w:t>2024</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1883D938" w14:textId="67DCA03F" w:rsidR="00396174" w:rsidRPr="00DD6A04" w:rsidRDefault="7E16B612" w:rsidP="6B3B27EA">
            <w:pPr>
              <w:spacing w:before="0" w:after="0" w:line="240" w:lineRule="auto"/>
              <w:rPr>
                <w:rFonts w:eastAsia="Times New Roman"/>
                <w:noProof/>
                <w:color w:val="006100"/>
                <w:sz w:val="22"/>
              </w:rPr>
            </w:pPr>
            <w:r>
              <w:rPr>
                <w:noProof/>
                <w:color w:val="006100"/>
                <w:sz w:val="22"/>
              </w:rPr>
              <w:t>Objava javnega razpisa za energijsko učinkovitost in razogljičenje gospodarstva.</w:t>
            </w:r>
          </w:p>
          <w:p w14:paraId="6F0778FD" w14:textId="02761B29" w:rsidR="00396174" w:rsidRPr="00DD6A04" w:rsidRDefault="00396174" w:rsidP="6B3B27EA">
            <w:pPr>
              <w:spacing w:before="0" w:after="0" w:line="240" w:lineRule="auto"/>
              <w:rPr>
                <w:rFonts w:eastAsia="Times New Roman"/>
                <w:noProof/>
                <w:color w:val="006100"/>
                <w:sz w:val="22"/>
                <w:lang w:val="en-GB" w:eastAsia="en-GB"/>
              </w:rPr>
            </w:pPr>
          </w:p>
          <w:p w14:paraId="462440E2" w14:textId="67612033" w:rsidR="00396174" w:rsidRPr="00DD6A04" w:rsidRDefault="7E16B612" w:rsidP="6B3B27EA">
            <w:pPr>
              <w:spacing w:before="0" w:after="0" w:line="240" w:lineRule="auto"/>
              <w:rPr>
                <w:rFonts w:eastAsia="Times New Roman"/>
                <w:noProof/>
                <w:color w:val="006100"/>
                <w:sz w:val="22"/>
              </w:rPr>
            </w:pPr>
            <w:r>
              <w:rPr>
                <w:noProof/>
                <w:color w:val="006100"/>
                <w:sz w:val="22"/>
              </w:rPr>
              <w:t>Pogoji sheme so v skladu z opisom ukrepa.</w:t>
            </w:r>
          </w:p>
          <w:p w14:paraId="56F1F0FB" w14:textId="0D84DF1E" w:rsidR="6B3B27EA" w:rsidRPr="00DD6A04" w:rsidRDefault="6B3B27EA" w:rsidP="6B3B27EA">
            <w:pPr>
              <w:spacing w:before="0" w:after="0" w:line="240" w:lineRule="auto"/>
              <w:rPr>
                <w:rFonts w:eastAsia="Times New Roman"/>
                <w:noProof/>
                <w:color w:val="006100"/>
                <w:sz w:val="22"/>
                <w:lang w:val="en-GB" w:eastAsia="en-GB"/>
              </w:rPr>
            </w:pPr>
          </w:p>
          <w:p w14:paraId="7C394CAB" w14:textId="0A908BC0" w:rsidR="00396174" w:rsidRPr="00DD6A04" w:rsidRDefault="006A6AF7" w:rsidP="00396174">
            <w:pPr>
              <w:spacing w:before="0" w:after="0" w:line="240" w:lineRule="auto"/>
              <w:rPr>
                <w:rFonts w:eastAsia="Times New Roman"/>
                <w:noProof/>
                <w:color w:val="006100"/>
                <w:sz w:val="22"/>
              </w:rPr>
            </w:pPr>
            <w:r>
              <w:rPr>
                <w:noProof/>
                <w:color w:val="006100"/>
                <w:sz w:val="22"/>
              </w:rPr>
              <w:t>Merila za upravičenost bodo zagotavljala skladnost s tehničnimi smernicami za uporabo načela, da se ne škoduje bistveno (2021/C58/01).</w:t>
            </w:r>
          </w:p>
        </w:tc>
      </w:tr>
      <w:tr w:rsidR="00BA37DA" w:rsidRPr="00DD6A04" w14:paraId="0F9F1367"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036D5BB5" w14:textId="2FDBC709" w:rsidR="00396174" w:rsidRPr="00DD6A04" w:rsidRDefault="00396174" w:rsidP="00396174">
            <w:pPr>
              <w:spacing w:before="0" w:after="0" w:line="240" w:lineRule="auto"/>
              <w:rPr>
                <w:rFonts w:eastAsia="Times New Roman"/>
                <w:noProof/>
                <w:color w:val="006100"/>
                <w:sz w:val="22"/>
              </w:rPr>
            </w:pPr>
            <w:r>
              <w:rPr>
                <w:noProof/>
                <w:color w:val="006100"/>
                <w:sz w:val="22"/>
              </w:rPr>
              <w:t>217</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1563E7C7" w14:textId="1D6F64A3" w:rsidR="00396174" w:rsidRPr="00DD6A04" w:rsidRDefault="0025250A" w:rsidP="00396174">
            <w:pPr>
              <w:spacing w:before="0" w:after="0" w:line="240" w:lineRule="auto"/>
              <w:rPr>
                <w:rFonts w:eastAsia="Times New Roman"/>
                <w:noProof/>
                <w:color w:val="006100"/>
                <w:sz w:val="22"/>
              </w:rPr>
            </w:pPr>
            <w:r>
              <w:rPr>
                <w:noProof/>
                <w:color w:val="006100"/>
                <w:sz w:val="22"/>
              </w:rPr>
              <w:t>D: Energetska učinkovitost in razogljičenje gospodarstva</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34BF7989" w14:textId="128EC8DB" w:rsidR="00396174" w:rsidRPr="00DD6A04" w:rsidRDefault="00396174" w:rsidP="00396174">
            <w:pPr>
              <w:spacing w:before="0" w:after="0" w:line="240" w:lineRule="auto"/>
              <w:rPr>
                <w:rFonts w:eastAsia="Times New Roman"/>
                <w:noProof/>
                <w:color w:val="006100"/>
                <w:sz w:val="22"/>
              </w:rPr>
            </w:pPr>
            <w:r>
              <w:rPr>
                <w:noProof/>
                <w:color w:val="006100"/>
                <w:sz w:val="22"/>
              </w:rPr>
              <w:t>Cilj</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30A6581C" w14:textId="022502B1" w:rsidR="00396174" w:rsidRPr="00DD6A04" w:rsidRDefault="00F36847" w:rsidP="00396174">
            <w:pPr>
              <w:spacing w:before="0" w:after="0" w:line="240" w:lineRule="auto"/>
              <w:rPr>
                <w:rFonts w:eastAsia="Times New Roman"/>
                <w:noProof/>
                <w:color w:val="006100"/>
                <w:sz w:val="22"/>
              </w:rPr>
            </w:pPr>
            <w:r>
              <w:rPr>
                <w:noProof/>
                <w:color w:val="006100"/>
                <w:sz w:val="22"/>
              </w:rPr>
              <w:t>Dokončani projekti na področju energijske učinkovitosti in razogljičenja gospodarstva</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788EEDC1"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1E43FF2D" w14:textId="723AAB5E" w:rsidR="00396174" w:rsidRPr="00DD6A04" w:rsidRDefault="00396174" w:rsidP="00396174">
            <w:pPr>
              <w:spacing w:before="0" w:after="0" w:line="240" w:lineRule="auto"/>
              <w:rPr>
                <w:rFonts w:eastAsia="Times New Roman"/>
                <w:noProof/>
                <w:color w:val="006100"/>
                <w:sz w:val="22"/>
              </w:rPr>
            </w:pPr>
            <w:r>
              <w:rPr>
                <w:noProof/>
                <w:color w:val="006100"/>
                <w:sz w:val="22"/>
              </w:rPr>
              <w:t>Število</w:t>
            </w: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31A110C7" w14:textId="4FCD252A" w:rsidR="00396174" w:rsidRPr="00DD6A04" w:rsidRDefault="00396174" w:rsidP="00396174">
            <w:pPr>
              <w:spacing w:before="0" w:after="0" w:line="240" w:lineRule="auto"/>
              <w:rPr>
                <w:rFonts w:eastAsia="Times New Roman"/>
                <w:noProof/>
                <w:color w:val="006100"/>
                <w:sz w:val="22"/>
              </w:rPr>
            </w:pPr>
            <w:r>
              <w:rPr>
                <w:noProof/>
                <w:color w:val="006100"/>
                <w:sz w:val="22"/>
              </w:rPr>
              <w:t>0</w:t>
            </w: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0B0D7B50" w14:textId="3E1D74E9" w:rsidR="00396174" w:rsidRPr="00DD6A04" w:rsidRDefault="00396174" w:rsidP="00396174">
            <w:pPr>
              <w:spacing w:before="0" w:after="0" w:line="240" w:lineRule="auto"/>
              <w:rPr>
                <w:rFonts w:eastAsia="Times New Roman"/>
                <w:noProof/>
                <w:color w:val="006100"/>
                <w:sz w:val="22"/>
              </w:rPr>
            </w:pPr>
            <w:r>
              <w:rPr>
                <w:noProof/>
                <w:color w:val="006100"/>
                <w:sz w:val="22"/>
              </w:rPr>
              <w:t>22</w:t>
            </w: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1F405773" w14:textId="03166A08"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026790C7" w14:textId="0DEE5474" w:rsidR="00396174" w:rsidRPr="00DD6A04" w:rsidRDefault="00396174" w:rsidP="00396174">
            <w:pPr>
              <w:spacing w:before="0" w:after="0" w:line="240" w:lineRule="auto"/>
              <w:rPr>
                <w:rFonts w:eastAsia="Times New Roman"/>
                <w:noProof/>
                <w:color w:val="006100"/>
                <w:sz w:val="22"/>
              </w:rPr>
            </w:pPr>
            <w:r>
              <w:rPr>
                <w:noProof/>
                <w:color w:val="006100"/>
                <w:sz w:val="22"/>
              </w:rPr>
              <w:t>2026</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52965596" w14:textId="7DCABB12" w:rsidR="00396174" w:rsidRPr="00DD6A04" w:rsidRDefault="410B7626" w:rsidP="6B3B27EA">
            <w:pPr>
              <w:spacing w:before="0" w:after="0" w:line="240" w:lineRule="auto"/>
              <w:rPr>
                <w:rFonts w:eastAsia="Times New Roman"/>
                <w:noProof/>
                <w:color w:val="006100"/>
                <w:sz w:val="22"/>
              </w:rPr>
            </w:pPr>
            <w:r>
              <w:rPr>
                <w:noProof/>
                <w:color w:val="006100"/>
                <w:sz w:val="22"/>
              </w:rPr>
              <w:t>Najmanj 22 dokončanih projektov s skupnim zneskom financiranja v višini najmanj 42 000 000 EUR, ki se izvedejo na podlagi pogodb o sofinanciranju.</w:t>
            </w:r>
            <w:r w:rsidR="00037751">
              <w:rPr>
                <w:noProof/>
                <w:color w:val="006100"/>
                <w:sz w:val="22"/>
              </w:rPr>
              <w:t xml:space="preserve"> </w:t>
            </w:r>
          </w:p>
          <w:p w14:paraId="0CA37F99" w14:textId="641C4217" w:rsidR="00665BC7" w:rsidRPr="00DD6A04" w:rsidRDefault="00665BC7" w:rsidP="00665BC7">
            <w:pPr>
              <w:spacing w:before="0" w:after="0" w:line="240" w:lineRule="auto"/>
              <w:rPr>
                <w:rFonts w:eastAsia="Times New Roman"/>
                <w:noProof/>
                <w:color w:val="006100"/>
                <w:sz w:val="22"/>
                <w:lang w:val="en-GB" w:eastAsia="en-GB"/>
              </w:rPr>
            </w:pPr>
          </w:p>
          <w:p w14:paraId="76E82584" w14:textId="647121A5" w:rsidR="006A3938" w:rsidRPr="00DD6A04" w:rsidRDefault="77EF84CF" w:rsidP="170A6336">
            <w:pPr>
              <w:spacing w:before="0" w:after="0" w:line="240" w:lineRule="auto"/>
              <w:rPr>
                <w:rFonts w:eastAsia="Times New Roman"/>
                <w:noProof/>
                <w:color w:val="006100"/>
                <w:sz w:val="22"/>
              </w:rPr>
            </w:pPr>
            <w:r>
              <w:rPr>
                <w:noProof/>
                <w:color w:val="006100"/>
                <w:sz w:val="22"/>
              </w:rPr>
              <w:t>Pri projektih, ki podpirajo izboljšanje energetske učinkovitosti v industrijskih procesih, se doseže vsaj 10-odstotno zmanjšanje porabe končne energije.</w:t>
            </w:r>
          </w:p>
          <w:p w14:paraId="113298A0" w14:textId="77777777" w:rsidR="006A3938" w:rsidRPr="00DD6A04" w:rsidRDefault="006A3938" w:rsidP="00396174">
            <w:pPr>
              <w:spacing w:before="0" w:after="0" w:line="240" w:lineRule="auto"/>
              <w:rPr>
                <w:rFonts w:eastAsia="Times New Roman"/>
                <w:noProof/>
                <w:color w:val="006100"/>
                <w:sz w:val="22"/>
                <w:lang w:val="en-GB" w:eastAsia="en-GB"/>
              </w:rPr>
            </w:pPr>
          </w:p>
          <w:p w14:paraId="0024FF6D" w14:textId="3E03950A" w:rsidR="00B64AC5" w:rsidRPr="00DD6A04" w:rsidRDefault="00B64AC5" w:rsidP="00396174">
            <w:pPr>
              <w:spacing w:before="0" w:after="0" w:line="240" w:lineRule="auto"/>
              <w:rPr>
                <w:rFonts w:eastAsia="Times New Roman"/>
                <w:noProof/>
                <w:color w:val="006100"/>
                <w:sz w:val="22"/>
              </w:rPr>
            </w:pPr>
            <w:r>
              <w:rPr>
                <w:noProof/>
                <w:color w:val="006100"/>
                <w:sz w:val="22"/>
              </w:rPr>
              <w:t>Pri projektih, ki podpirajo izboljšanje energetske učinkovitosti v industrijskih stavbah, se doseže vsaj 20-odstotno zmanjšanje porabe končne energije.</w:t>
            </w:r>
          </w:p>
          <w:p w14:paraId="28B7FE64" w14:textId="77777777" w:rsidR="003221C2" w:rsidRPr="00DD6A04" w:rsidRDefault="003221C2" w:rsidP="00396174">
            <w:pPr>
              <w:spacing w:before="0" w:after="0" w:line="240" w:lineRule="auto"/>
              <w:rPr>
                <w:rFonts w:eastAsia="Times New Roman"/>
                <w:noProof/>
                <w:color w:val="006100"/>
                <w:sz w:val="22"/>
                <w:lang w:val="en-GB" w:eastAsia="en-GB"/>
              </w:rPr>
            </w:pPr>
          </w:p>
          <w:p w14:paraId="0EB75FC4" w14:textId="0A28C15C" w:rsidR="00AF2B26" w:rsidRPr="00DD6A04" w:rsidRDefault="263C301B" w:rsidP="170A6336">
            <w:pPr>
              <w:spacing w:before="0" w:after="0" w:line="240" w:lineRule="auto"/>
              <w:rPr>
                <w:rFonts w:eastAsia="Times New Roman"/>
                <w:noProof/>
                <w:color w:val="006100"/>
                <w:sz w:val="22"/>
              </w:rPr>
            </w:pPr>
            <w:r>
              <w:rPr>
                <w:noProof/>
                <w:color w:val="006100"/>
                <w:sz w:val="22"/>
              </w:rPr>
              <w:t xml:space="preserve">Pri projektih, ki podpirajo zmanjšanje uporabe fosilnih goriv, se doseže 10-odstotno zmanjšanje porabe fosilnih goriv. </w:t>
            </w:r>
          </w:p>
          <w:p w14:paraId="0877430B" w14:textId="77777777" w:rsidR="00AF2B26" w:rsidRPr="00DD6A04" w:rsidRDefault="00AF2B26" w:rsidP="00396174">
            <w:pPr>
              <w:spacing w:before="0" w:after="0" w:line="240" w:lineRule="auto"/>
              <w:rPr>
                <w:rFonts w:eastAsia="Times New Roman"/>
                <w:noProof/>
                <w:color w:val="006100"/>
                <w:sz w:val="22"/>
                <w:lang w:val="en-GB" w:eastAsia="en-GB"/>
              </w:rPr>
            </w:pPr>
          </w:p>
          <w:p w14:paraId="5A29C608" w14:textId="67052057" w:rsidR="00396174" w:rsidRPr="00DD6A04" w:rsidRDefault="00396174" w:rsidP="00396174">
            <w:pPr>
              <w:spacing w:before="0" w:after="0" w:line="240" w:lineRule="auto"/>
              <w:rPr>
                <w:rFonts w:eastAsia="Times New Roman"/>
                <w:noProof/>
                <w:color w:val="006100"/>
                <w:sz w:val="22"/>
                <w:lang w:val="en-GB" w:eastAsia="en-GB"/>
              </w:rPr>
            </w:pPr>
          </w:p>
        </w:tc>
      </w:tr>
      <w:tr w:rsidR="00BA37DA" w:rsidRPr="00DD6A04" w14:paraId="7BBDE447"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3B86CB06" w14:textId="55748151" w:rsidR="00396174" w:rsidRPr="00DD6A04" w:rsidRDefault="00396174" w:rsidP="00396174">
            <w:pPr>
              <w:spacing w:before="0" w:after="0" w:line="240" w:lineRule="auto"/>
              <w:rPr>
                <w:rFonts w:eastAsia="Times New Roman"/>
                <w:noProof/>
                <w:color w:val="006100"/>
                <w:sz w:val="22"/>
              </w:rPr>
            </w:pPr>
            <w:r>
              <w:rPr>
                <w:noProof/>
                <w:color w:val="006100"/>
                <w:sz w:val="22"/>
              </w:rPr>
              <w:t>218</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3D27792D" w14:textId="7191D62E" w:rsidR="00396174" w:rsidRPr="00DD6A04" w:rsidRDefault="00CC355A" w:rsidP="6B3B27EA">
            <w:pPr>
              <w:spacing w:before="0" w:after="0" w:line="240" w:lineRule="auto"/>
              <w:rPr>
                <w:rFonts w:eastAsia="Times New Roman"/>
                <w:noProof/>
                <w:color w:val="006100"/>
                <w:sz w:val="22"/>
              </w:rPr>
            </w:pPr>
            <w:r>
              <w:rPr>
                <w:noProof/>
                <w:color w:val="006100"/>
                <w:sz w:val="22"/>
              </w:rPr>
              <w:t>E: Spodbujanje vzpostavitve infrastrukture za alternativna goriva v prometu (razširitev)</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2E607E94" w14:textId="780862A0" w:rsidR="00396174" w:rsidRPr="00DD6A04" w:rsidRDefault="00396174" w:rsidP="00396174">
            <w:pPr>
              <w:spacing w:before="0" w:after="0" w:line="240" w:lineRule="auto"/>
              <w:rPr>
                <w:rFonts w:eastAsia="Times New Roman"/>
                <w:noProof/>
                <w:color w:val="006100"/>
                <w:sz w:val="22"/>
              </w:rPr>
            </w:pPr>
            <w:r>
              <w:rPr>
                <w:noProof/>
                <w:color w:val="006100"/>
                <w:sz w:val="22"/>
              </w:rPr>
              <w:t>Mejnik</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46E4B554" w14:textId="1E220AB0" w:rsidR="00396174" w:rsidRPr="00DD6A04" w:rsidRDefault="1424A26F" w:rsidP="150EC00E">
            <w:pPr>
              <w:spacing w:before="0" w:after="0" w:line="240" w:lineRule="auto"/>
              <w:rPr>
                <w:rFonts w:eastAsia="Times New Roman"/>
                <w:noProof/>
                <w:color w:val="006100"/>
                <w:sz w:val="22"/>
              </w:rPr>
            </w:pPr>
            <w:r>
              <w:rPr>
                <w:noProof/>
                <w:color w:val="006100"/>
                <w:sz w:val="22"/>
              </w:rPr>
              <w:t>Objava javnega razpisa za postavitev polnilne ali oskrbovalne infrastrukture</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4F0D2EE2" w14:textId="3AF6267E" w:rsidR="00396174" w:rsidRPr="00DD6A04" w:rsidRDefault="1424A26F" w:rsidP="150EC00E">
            <w:pPr>
              <w:spacing w:before="0" w:after="0" w:line="240" w:lineRule="auto"/>
              <w:rPr>
                <w:rFonts w:eastAsia="Times New Roman"/>
                <w:noProof/>
                <w:color w:val="006100"/>
                <w:sz w:val="22"/>
              </w:rPr>
            </w:pPr>
            <w:r>
              <w:rPr>
                <w:noProof/>
                <w:color w:val="006100"/>
                <w:sz w:val="22"/>
              </w:rPr>
              <w:t>Objava javnega razpisa</w:t>
            </w: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47CC65FF"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0771D5EF"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3528F3B0"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7F1973CF" w14:textId="3184DA70"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0E7CDA57" w14:textId="50BCDA26" w:rsidR="00396174" w:rsidRPr="00DD6A04" w:rsidRDefault="00396174" w:rsidP="00396174">
            <w:pPr>
              <w:spacing w:before="0" w:after="0" w:line="240" w:lineRule="auto"/>
              <w:rPr>
                <w:rFonts w:eastAsia="Times New Roman"/>
                <w:noProof/>
                <w:color w:val="006100"/>
                <w:sz w:val="22"/>
              </w:rPr>
            </w:pPr>
            <w:r>
              <w:rPr>
                <w:noProof/>
                <w:color w:val="006100"/>
                <w:sz w:val="22"/>
              </w:rPr>
              <w:t>2024</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66D1051C" w14:textId="7EEF5637" w:rsidR="00396174" w:rsidRPr="00DD6A04" w:rsidRDefault="783957D6" w:rsidP="150EC00E">
            <w:pPr>
              <w:spacing w:before="0" w:after="0" w:line="240" w:lineRule="auto"/>
              <w:rPr>
                <w:rFonts w:eastAsia="Times New Roman"/>
                <w:noProof/>
                <w:color w:val="006100"/>
                <w:sz w:val="22"/>
              </w:rPr>
            </w:pPr>
            <w:r>
              <w:rPr>
                <w:noProof/>
                <w:color w:val="006100"/>
                <w:sz w:val="22"/>
              </w:rPr>
              <w:t>Objavi se javni razpis za postavitev polnilne ali oskrbovalne infrastrukture. Pogoji so v skladu z opisom ukrepa.</w:t>
            </w:r>
          </w:p>
        </w:tc>
      </w:tr>
      <w:tr w:rsidR="00BA37DA" w:rsidRPr="00DD6A04" w14:paraId="50D6DE12"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434FF0C3" w14:textId="02D28B77" w:rsidR="00396174" w:rsidRPr="00DD6A04" w:rsidRDefault="00396174" w:rsidP="00396174">
            <w:pPr>
              <w:spacing w:before="0" w:after="0" w:line="240" w:lineRule="auto"/>
              <w:rPr>
                <w:rFonts w:eastAsia="Times New Roman"/>
                <w:noProof/>
                <w:color w:val="006100"/>
                <w:sz w:val="22"/>
              </w:rPr>
            </w:pPr>
            <w:r>
              <w:rPr>
                <w:noProof/>
                <w:color w:val="006100"/>
                <w:sz w:val="22"/>
              </w:rPr>
              <w:t>219</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6CD44C58" w14:textId="623D054F" w:rsidR="00396174" w:rsidRPr="00DD6A04" w:rsidRDefault="00CC355A" w:rsidP="6B3B27EA">
            <w:pPr>
              <w:spacing w:before="0" w:after="0" w:line="240" w:lineRule="auto"/>
              <w:rPr>
                <w:rFonts w:eastAsia="Times New Roman"/>
                <w:noProof/>
                <w:color w:val="006100"/>
                <w:sz w:val="22"/>
              </w:rPr>
            </w:pPr>
            <w:r>
              <w:rPr>
                <w:noProof/>
                <w:color w:val="006100"/>
                <w:sz w:val="22"/>
              </w:rPr>
              <w:t>E: Spodbujanje vzpostavitve infrastrukture za alternativna goriva v prometu (razširitev)</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2781AE34" w14:textId="740EBF35" w:rsidR="00396174" w:rsidRPr="00DD6A04" w:rsidRDefault="00396174" w:rsidP="00396174">
            <w:pPr>
              <w:spacing w:before="0" w:after="0" w:line="240" w:lineRule="auto"/>
              <w:rPr>
                <w:rFonts w:eastAsia="Times New Roman"/>
                <w:noProof/>
                <w:color w:val="006100"/>
                <w:sz w:val="22"/>
              </w:rPr>
            </w:pPr>
            <w:r>
              <w:rPr>
                <w:noProof/>
                <w:color w:val="006100"/>
                <w:sz w:val="22"/>
              </w:rPr>
              <w:t>Cilj</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3504B976" w14:textId="74CA4ED5" w:rsidR="00396174" w:rsidRPr="00DD6A04" w:rsidRDefault="00396174" w:rsidP="00396174">
            <w:pPr>
              <w:spacing w:before="0" w:after="0" w:line="240" w:lineRule="auto"/>
              <w:rPr>
                <w:rFonts w:eastAsia="Times New Roman"/>
                <w:noProof/>
                <w:color w:val="006100"/>
                <w:sz w:val="22"/>
              </w:rPr>
            </w:pPr>
            <w:r>
              <w:rPr>
                <w:noProof/>
                <w:color w:val="006100"/>
                <w:sz w:val="22"/>
              </w:rPr>
              <w:t>Operativna polnilna ali oskrbovalna mesta za brezemisijska vozila</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114BC307"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2285B13F" w14:textId="103F47E1" w:rsidR="00396174" w:rsidRPr="00DD6A04" w:rsidRDefault="00396174" w:rsidP="00396174">
            <w:pPr>
              <w:spacing w:before="0" w:after="0" w:line="240" w:lineRule="auto"/>
              <w:rPr>
                <w:rFonts w:eastAsia="Times New Roman"/>
                <w:noProof/>
                <w:color w:val="006100"/>
                <w:sz w:val="22"/>
              </w:rPr>
            </w:pPr>
            <w:r>
              <w:rPr>
                <w:noProof/>
                <w:color w:val="006100"/>
                <w:sz w:val="22"/>
              </w:rPr>
              <w:t>Število</w:t>
            </w: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7DED7F39"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1B369689" w14:textId="4EA082A9" w:rsidR="00396174" w:rsidRPr="00DD6A04" w:rsidRDefault="00396174" w:rsidP="00396174">
            <w:pPr>
              <w:spacing w:before="0" w:after="0" w:line="240" w:lineRule="auto"/>
              <w:rPr>
                <w:rFonts w:eastAsia="Times New Roman"/>
                <w:noProof/>
                <w:color w:val="006100"/>
                <w:sz w:val="22"/>
              </w:rPr>
            </w:pPr>
            <w:r>
              <w:rPr>
                <w:noProof/>
                <w:color w:val="006100"/>
                <w:sz w:val="22"/>
              </w:rPr>
              <w:t>792</w:t>
            </w: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1839BDBE" w14:textId="5132AA8C" w:rsidR="00396174" w:rsidRPr="00DD6A04" w:rsidRDefault="00396174" w:rsidP="00396174">
            <w:pPr>
              <w:spacing w:before="0" w:after="0" w:line="240" w:lineRule="auto"/>
              <w:rPr>
                <w:rFonts w:eastAsia="Times New Roman"/>
                <w:noProof/>
                <w:color w:val="006100"/>
                <w:sz w:val="22"/>
              </w:rPr>
            </w:pPr>
            <w:r>
              <w:rPr>
                <w:noProof/>
                <w:color w:val="006100"/>
                <w:sz w:val="22"/>
              </w:rPr>
              <w:t xml:space="preserve">Q2 </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7A30EFCC" w14:textId="1FC5A670" w:rsidR="00396174" w:rsidRPr="00DD6A04" w:rsidRDefault="00396174" w:rsidP="00396174">
            <w:pPr>
              <w:spacing w:before="0" w:after="0" w:line="240" w:lineRule="auto"/>
              <w:rPr>
                <w:rFonts w:eastAsia="Times New Roman"/>
                <w:noProof/>
                <w:color w:val="006100"/>
                <w:sz w:val="22"/>
              </w:rPr>
            </w:pPr>
            <w:r>
              <w:rPr>
                <w:noProof/>
                <w:color w:val="006100"/>
                <w:sz w:val="22"/>
              </w:rPr>
              <w:t>2026</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693D258A" w14:textId="054E7D04" w:rsidR="00C05A3D" w:rsidRPr="00DD6A04" w:rsidRDefault="5C066912" w:rsidP="150EC00E">
            <w:pPr>
              <w:spacing w:before="0" w:after="0" w:line="240" w:lineRule="auto"/>
              <w:rPr>
                <w:rFonts w:eastAsia="Times New Roman"/>
                <w:noProof/>
                <w:color w:val="006100"/>
                <w:sz w:val="22"/>
              </w:rPr>
            </w:pPr>
            <w:r>
              <w:rPr>
                <w:noProof/>
                <w:color w:val="006100"/>
                <w:sz w:val="22"/>
              </w:rPr>
              <w:t xml:space="preserve">Polnilna ali oskrbovalna infrastruktura za brezemisijska vozila je zgrajena, operativna in javno dostopna ali v lasti državne uprave. Infrastrukturo sestavlja vsaj 792 običajnih ali hitrih polnilnic za brezemisijska vozila, ultra hitrih polnilnic in polnilnih postaj za vodik za brezemisijska vozila. </w:t>
            </w:r>
          </w:p>
          <w:p w14:paraId="426C53C7" w14:textId="696BD7A8" w:rsidR="00396174" w:rsidRPr="00DD6A04" w:rsidRDefault="00396174" w:rsidP="6B3B27EA">
            <w:pPr>
              <w:spacing w:before="0" w:after="0" w:line="240" w:lineRule="auto"/>
              <w:rPr>
                <w:rFonts w:eastAsia="Times New Roman"/>
                <w:noProof/>
                <w:color w:val="006100"/>
                <w:sz w:val="22"/>
                <w:lang w:val="en-GB" w:eastAsia="en-GB"/>
              </w:rPr>
            </w:pPr>
          </w:p>
        </w:tc>
      </w:tr>
      <w:tr w:rsidR="00BA37DA" w:rsidRPr="00DD6A04" w14:paraId="51E579A2"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242C57D3" w14:textId="5A018091" w:rsidR="00396174" w:rsidRPr="00DD6A04" w:rsidRDefault="00396174" w:rsidP="00396174">
            <w:pPr>
              <w:spacing w:before="0" w:after="0" w:line="240" w:lineRule="auto"/>
              <w:rPr>
                <w:rFonts w:eastAsia="Times New Roman"/>
                <w:noProof/>
                <w:color w:val="006100"/>
                <w:sz w:val="22"/>
              </w:rPr>
            </w:pPr>
            <w:r>
              <w:rPr>
                <w:noProof/>
                <w:color w:val="006100"/>
                <w:sz w:val="22"/>
              </w:rPr>
              <w:t>220</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20E7CFC1" w14:textId="06AE157E" w:rsidR="00396174" w:rsidRPr="00DD6A04" w:rsidRDefault="00CC355A" w:rsidP="6B3B27EA">
            <w:pPr>
              <w:spacing w:before="0" w:after="0" w:line="240" w:lineRule="auto"/>
              <w:rPr>
                <w:rFonts w:eastAsia="Times New Roman"/>
                <w:noProof/>
                <w:color w:val="006100"/>
                <w:sz w:val="22"/>
              </w:rPr>
            </w:pPr>
            <w:r>
              <w:rPr>
                <w:noProof/>
                <w:color w:val="006100"/>
                <w:sz w:val="22"/>
              </w:rPr>
              <w:t>E: Spodbujanje vzpostavitve infrastrukture za alternativna goriva v prometu (razširitev)</w:t>
            </w:r>
          </w:p>
          <w:p w14:paraId="5432106B"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1FACBFC0" w14:textId="7819E731" w:rsidR="00396174" w:rsidRPr="00DD6A04" w:rsidRDefault="00396174" w:rsidP="00396174">
            <w:pPr>
              <w:spacing w:before="0" w:after="0" w:line="240" w:lineRule="auto"/>
              <w:rPr>
                <w:rFonts w:eastAsia="Times New Roman"/>
                <w:noProof/>
                <w:color w:val="006100"/>
                <w:sz w:val="22"/>
              </w:rPr>
            </w:pPr>
            <w:r>
              <w:rPr>
                <w:noProof/>
                <w:color w:val="006100"/>
                <w:sz w:val="22"/>
              </w:rPr>
              <w:t>Cilj</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4144EB49" w14:textId="487A25CA" w:rsidR="00396174" w:rsidRPr="00DD6A04" w:rsidRDefault="73C33637" w:rsidP="00396174">
            <w:pPr>
              <w:spacing w:before="0" w:after="0" w:line="240" w:lineRule="auto"/>
              <w:rPr>
                <w:rFonts w:eastAsia="Times New Roman"/>
                <w:noProof/>
                <w:color w:val="006100"/>
                <w:sz w:val="22"/>
              </w:rPr>
            </w:pPr>
            <w:r>
              <w:rPr>
                <w:noProof/>
                <w:color w:val="006100"/>
                <w:sz w:val="22"/>
              </w:rPr>
              <w:t>Podprti električni avtobusi in avtobusi na vodik s spremljajočo polnilno infrastrukturo</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0C0334C0"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720B6C6F" w14:textId="39E12071" w:rsidR="00396174" w:rsidRPr="00DD6A04" w:rsidRDefault="00396174" w:rsidP="00396174">
            <w:pPr>
              <w:spacing w:before="0" w:after="0" w:line="240" w:lineRule="auto"/>
              <w:rPr>
                <w:rFonts w:eastAsia="Times New Roman"/>
                <w:noProof/>
                <w:color w:val="006100"/>
                <w:sz w:val="22"/>
              </w:rPr>
            </w:pPr>
            <w:r>
              <w:rPr>
                <w:noProof/>
                <w:color w:val="006100"/>
                <w:sz w:val="22"/>
              </w:rPr>
              <w:t xml:space="preserve">Število </w:t>
            </w: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3B4BD17D" w14:textId="0CA6582F" w:rsidR="00396174" w:rsidRPr="00DD6A04" w:rsidRDefault="00396174" w:rsidP="00396174">
            <w:pPr>
              <w:spacing w:before="0" w:after="0" w:line="240" w:lineRule="auto"/>
              <w:rPr>
                <w:rFonts w:eastAsia="Times New Roman"/>
                <w:noProof/>
                <w:color w:val="006100"/>
                <w:sz w:val="22"/>
              </w:rPr>
            </w:pPr>
            <w:r>
              <w:rPr>
                <w:noProof/>
                <w:color w:val="006100"/>
                <w:sz w:val="22"/>
              </w:rPr>
              <w:t>0</w:t>
            </w: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66B0894A" w14:textId="16E59C43" w:rsidR="00396174" w:rsidRPr="00DD6A04" w:rsidRDefault="64E756D1" w:rsidP="6B3B27EA">
            <w:pPr>
              <w:spacing w:before="0" w:after="0" w:line="240" w:lineRule="auto"/>
              <w:rPr>
                <w:rFonts w:eastAsia="Times New Roman"/>
                <w:noProof/>
                <w:color w:val="006100"/>
                <w:sz w:val="22"/>
              </w:rPr>
            </w:pPr>
            <w:r>
              <w:rPr>
                <w:noProof/>
                <w:color w:val="006100"/>
                <w:sz w:val="22"/>
              </w:rPr>
              <w:t>5</w:t>
            </w: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1D8FD6C5" w14:textId="46B2FE46"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322EF2D9" w14:textId="5BD18AD6" w:rsidR="00396174" w:rsidRPr="00DD6A04" w:rsidRDefault="00396174" w:rsidP="00396174">
            <w:pPr>
              <w:spacing w:before="0" w:after="0" w:line="240" w:lineRule="auto"/>
              <w:rPr>
                <w:rFonts w:eastAsia="Times New Roman"/>
                <w:noProof/>
                <w:color w:val="006100"/>
                <w:sz w:val="22"/>
              </w:rPr>
            </w:pPr>
            <w:r>
              <w:rPr>
                <w:noProof/>
                <w:color w:val="006100"/>
                <w:sz w:val="22"/>
              </w:rPr>
              <w:t>2026</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1A679129" w14:textId="77777777" w:rsidR="00C52E0B" w:rsidRPr="00DD6A04" w:rsidRDefault="00C52E0B" w:rsidP="00C52E0B">
            <w:pPr>
              <w:spacing w:before="0" w:after="0" w:line="240" w:lineRule="auto"/>
              <w:rPr>
                <w:rFonts w:eastAsia="Times New Roman"/>
                <w:noProof/>
                <w:color w:val="006100"/>
                <w:sz w:val="22"/>
              </w:rPr>
            </w:pPr>
            <w:r>
              <w:rPr>
                <w:noProof/>
                <w:color w:val="006100"/>
                <w:sz w:val="22"/>
              </w:rPr>
              <w:t>Vzpostavljen demonstracijski projekt „brezemisijska linija v javnem potniškem prometu“.</w:t>
            </w:r>
          </w:p>
          <w:p w14:paraId="4E2739E9" w14:textId="011BCE02" w:rsidR="00396174" w:rsidRPr="00DD6A04" w:rsidRDefault="2D14CE25" w:rsidP="4975B5D6">
            <w:pPr>
              <w:spacing w:before="0" w:after="0" w:line="240" w:lineRule="auto"/>
              <w:rPr>
                <w:rFonts w:eastAsia="Times New Roman"/>
                <w:noProof/>
                <w:color w:val="006100"/>
                <w:sz w:val="22"/>
              </w:rPr>
            </w:pPr>
            <w:r>
              <w:rPr>
                <w:noProof/>
                <w:color w:val="006100"/>
                <w:sz w:val="22"/>
              </w:rPr>
              <w:t xml:space="preserve">Demonstracijski projekt vključuje uvedbo vsaj dveh avtobusov dolžine 12 metrov na vodik in treh električnih avtobusov ter operacionalizacijo spremljajoče polnilne infrastrukture. </w:t>
            </w:r>
          </w:p>
        </w:tc>
      </w:tr>
      <w:tr w:rsidR="00BA37DA" w:rsidRPr="00DD6A04" w14:paraId="1D18AD58" w14:textId="77777777" w:rsidTr="00BE4788">
        <w:trPr>
          <w:trHeight w:val="309"/>
          <w:jc w:val="center"/>
        </w:trPr>
        <w:tc>
          <w:tcPr>
            <w:tcW w:w="1354" w:type="dxa"/>
            <w:tcBorders>
              <w:top w:val="single" w:sz="4" w:space="0" w:color="auto"/>
              <w:left w:val="single" w:sz="4" w:space="0" w:color="auto"/>
              <w:bottom w:val="single" w:sz="4" w:space="0" w:color="auto"/>
              <w:right w:val="single" w:sz="4" w:space="0" w:color="auto"/>
            </w:tcBorders>
            <w:shd w:val="clear" w:color="auto" w:fill="C6EFCE"/>
            <w:noWrap/>
          </w:tcPr>
          <w:p w14:paraId="39747F8E" w14:textId="7FAE1C9F" w:rsidR="00396174" w:rsidRPr="00DD6A04" w:rsidRDefault="00396174" w:rsidP="00396174">
            <w:pPr>
              <w:spacing w:before="0" w:after="0" w:line="240" w:lineRule="auto"/>
              <w:rPr>
                <w:rFonts w:eastAsia="Times New Roman"/>
                <w:noProof/>
                <w:color w:val="006100"/>
                <w:sz w:val="22"/>
              </w:rPr>
            </w:pPr>
            <w:r>
              <w:rPr>
                <w:noProof/>
                <w:color w:val="006100"/>
                <w:sz w:val="22"/>
              </w:rPr>
              <w:t>221</w:t>
            </w:r>
          </w:p>
        </w:tc>
        <w:tc>
          <w:tcPr>
            <w:tcW w:w="1492" w:type="dxa"/>
            <w:tcBorders>
              <w:top w:val="single" w:sz="4" w:space="0" w:color="auto"/>
              <w:left w:val="single" w:sz="4" w:space="0" w:color="auto"/>
              <w:bottom w:val="single" w:sz="4" w:space="0" w:color="auto"/>
              <w:right w:val="single" w:sz="4" w:space="0" w:color="auto"/>
            </w:tcBorders>
            <w:shd w:val="clear" w:color="auto" w:fill="C6EFCE"/>
            <w:noWrap/>
          </w:tcPr>
          <w:p w14:paraId="454E35BD" w14:textId="558CEA29" w:rsidR="00396174" w:rsidRPr="00DD6A04" w:rsidRDefault="00CC355A" w:rsidP="6B3B27EA">
            <w:pPr>
              <w:spacing w:before="0" w:after="0" w:line="240" w:lineRule="auto"/>
              <w:rPr>
                <w:rFonts w:eastAsia="Times New Roman"/>
                <w:noProof/>
                <w:color w:val="006100"/>
                <w:sz w:val="22"/>
              </w:rPr>
            </w:pPr>
            <w:r>
              <w:rPr>
                <w:noProof/>
                <w:color w:val="006100"/>
                <w:sz w:val="22"/>
              </w:rPr>
              <w:t>E: Spodbujanje vzpostavitve infrastrukture za alternativna goriva v prometu (razširitev)</w:t>
            </w:r>
          </w:p>
        </w:tc>
        <w:tc>
          <w:tcPr>
            <w:tcW w:w="1074" w:type="dxa"/>
            <w:tcBorders>
              <w:top w:val="single" w:sz="4" w:space="0" w:color="auto"/>
              <w:left w:val="single" w:sz="4" w:space="0" w:color="auto"/>
              <w:bottom w:val="single" w:sz="4" w:space="0" w:color="auto"/>
              <w:right w:val="single" w:sz="4" w:space="0" w:color="auto"/>
            </w:tcBorders>
            <w:shd w:val="clear" w:color="auto" w:fill="C6EFCE"/>
            <w:noWrap/>
          </w:tcPr>
          <w:p w14:paraId="6470749E" w14:textId="514D8242" w:rsidR="00396174" w:rsidRPr="00DD6A04" w:rsidRDefault="00396174" w:rsidP="00396174">
            <w:pPr>
              <w:spacing w:before="0" w:after="0" w:line="240" w:lineRule="auto"/>
              <w:rPr>
                <w:rFonts w:eastAsia="Times New Roman"/>
                <w:noProof/>
                <w:color w:val="006100"/>
                <w:sz w:val="22"/>
              </w:rPr>
            </w:pPr>
            <w:r>
              <w:rPr>
                <w:noProof/>
                <w:color w:val="006100"/>
                <w:sz w:val="22"/>
              </w:rPr>
              <w:t>Cilj</w:t>
            </w:r>
          </w:p>
        </w:tc>
        <w:tc>
          <w:tcPr>
            <w:tcW w:w="1785" w:type="dxa"/>
            <w:tcBorders>
              <w:top w:val="single" w:sz="4" w:space="0" w:color="auto"/>
              <w:left w:val="single" w:sz="4" w:space="0" w:color="auto"/>
              <w:bottom w:val="single" w:sz="4" w:space="0" w:color="auto"/>
              <w:right w:val="single" w:sz="4" w:space="0" w:color="auto"/>
            </w:tcBorders>
            <w:shd w:val="clear" w:color="auto" w:fill="C6EFCE"/>
            <w:noWrap/>
          </w:tcPr>
          <w:p w14:paraId="4936ACE3" w14:textId="633178B1" w:rsidR="00396174" w:rsidRPr="00DD6A04" w:rsidRDefault="7E16B612" w:rsidP="6B3B27EA">
            <w:pPr>
              <w:spacing w:before="0" w:after="0" w:line="240" w:lineRule="auto"/>
              <w:rPr>
                <w:rFonts w:eastAsia="Times New Roman"/>
                <w:noProof/>
                <w:color w:val="006100"/>
                <w:sz w:val="22"/>
              </w:rPr>
            </w:pPr>
            <w:r>
              <w:rPr>
                <w:noProof/>
                <w:color w:val="006100"/>
                <w:sz w:val="22"/>
              </w:rPr>
              <w:t xml:space="preserve">Podprta brezemisijska vozila </w:t>
            </w:r>
          </w:p>
        </w:tc>
        <w:tc>
          <w:tcPr>
            <w:tcW w:w="1653" w:type="dxa"/>
            <w:tcBorders>
              <w:top w:val="single" w:sz="4" w:space="0" w:color="auto"/>
              <w:left w:val="single" w:sz="4" w:space="0" w:color="auto"/>
              <w:bottom w:val="single" w:sz="4" w:space="0" w:color="auto"/>
              <w:right w:val="single" w:sz="4" w:space="0" w:color="auto"/>
            </w:tcBorders>
            <w:shd w:val="clear" w:color="auto" w:fill="C6EFCE"/>
            <w:noWrap/>
          </w:tcPr>
          <w:p w14:paraId="519351FC" w14:textId="77777777" w:rsidR="00396174" w:rsidRPr="00DD6A04" w:rsidRDefault="00396174" w:rsidP="00396174">
            <w:pPr>
              <w:spacing w:before="0" w:after="0" w:line="240" w:lineRule="auto"/>
              <w:rPr>
                <w:rFonts w:eastAsia="Times New Roman"/>
                <w:noProof/>
                <w:color w:val="006100"/>
                <w:sz w:val="22"/>
                <w:lang w:val="en-GB" w:eastAsia="en-GB"/>
              </w:rPr>
            </w:pPr>
          </w:p>
        </w:tc>
        <w:tc>
          <w:tcPr>
            <w:tcW w:w="1082" w:type="dxa"/>
            <w:tcBorders>
              <w:top w:val="single" w:sz="4" w:space="0" w:color="auto"/>
              <w:left w:val="single" w:sz="4" w:space="0" w:color="auto"/>
              <w:bottom w:val="single" w:sz="4" w:space="0" w:color="auto"/>
              <w:right w:val="single" w:sz="4" w:space="0" w:color="auto"/>
            </w:tcBorders>
            <w:shd w:val="clear" w:color="auto" w:fill="C6EFCE"/>
            <w:noWrap/>
          </w:tcPr>
          <w:p w14:paraId="1BBD225E" w14:textId="5DFBCDFC" w:rsidR="00396174" w:rsidRPr="00DD6A04" w:rsidRDefault="00396174" w:rsidP="00396174">
            <w:pPr>
              <w:spacing w:before="0" w:after="0" w:line="240" w:lineRule="auto"/>
              <w:rPr>
                <w:rFonts w:eastAsia="Times New Roman"/>
                <w:noProof/>
                <w:color w:val="006100"/>
                <w:sz w:val="22"/>
              </w:rPr>
            </w:pPr>
            <w:r>
              <w:rPr>
                <w:noProof/>
                <w:color w:val="006100"/>
                <w:sz w:val="22"/>
              </w:rPr>
              <w:t>Število</w:t>
            </w:r>
          </w:p>
        </w:tc>
        <w:tc>
          <w:tcPr>
            <w:tcW w:w="867" w:type="dxa"/>
            <w:tcBorders>
              <w:top w:val="single" w:sz="4" w:space="0" w:color="auto"/>
              <w:left w:val="single" w:sz="4" w:space="0" w:color="auto"/>
              <w:bottom w:val="single" w:sz="4" w:space="0" w:color="auto"/>
              <w:right w:val="single" w:sz="4" w:space="0" w:color="auto"/>
            </w:tcBorders>
            <w:shd w:val="clear" w:color="auto" w:fill="C6EFCE"/>
            <w:noWrap/>
          </w:tcPr>
          <w:p w14:paraId="41DC2041" w14:textId="201A33FC" w:rsidR="00396174" w:rsidRPr="00DD6A04" w:rsidRDefault="00396174" w:rsidP="00396174">
            <w:pPr>
              <w:spacing w:before="0" w:after="0" w:line="240" w:lineRule="auto"/>
              <w:rPr>
                <w:rFonts w:eastAsia="Times New Roman"/>
                <w:noProof/>
                <w:color w:val="006100"/>
                <w:sz w:val="22"/>
              </w:rPr>
            </w:pPr>
            <w:r>
              <w:rPr>
                <w:noProof/>
                <w:color w:val="006100"/>
                <w:sz w:val="22"/>
              </w:rPr>
              <w:t>0</w:t>
            </w:r>
          </w:p>
        </w:tc>
        <w:tc>
          <w:tcPr>
            <w:tcW w:w="918" w:type="dxa"/>
            <w:tcBorders>
              <w:top w:val="single" w:sz="4" w:space="0" w:color="auto"/>
              <w:left w:val="single" w:sz="4" w:space="0" w:color="auto"/>
              <w:bottom w:val="single" w:sz="4" w:space="0" w:color="auto"/>
              <w:right w:val="single" w:sz="4" w:space="0" w:color="auto"/>
            </w:tcBorders>
            <w:shd w:val="clear" w:color="auto" w:fill="C6EFCE"/>
            <w:noWrap/>
          </w:tcPr>
          <w:p w14:paraId="34CE289E" w14:textId="2849128E" w:rsidR="00396174" w:rsidRPr="00DD6A04" w:rsidRDefault="00396174" w:rsidP="00396174">
            <w:pPr>
              <w:spacing w:before="0" w:after="0" w:line="240" w:lineRule="auto"/>
              <w:rPr>
                <w:rFonts w:eastAsia="Times New Roman"/>
                <w:noProof/>
                <w:color w:val="006100"/>
                <w:sz w:val="22"/>
              </w:rPr>
            </w:pPr>
            <w:r>
              <w:rPr>
                <w:noProof/>
                <w:color w:val="006100"/>
                <w:sz w:val="22"/>
              </w:rPr>
              <w:t>2700</w:t>
            </w:r>
          </w:p>
        </w:tc>
        <w:tc>
          <w:tcPr>
            <w:tcW w:w="924" w:type="dxa"/>
            <w:tcBorders>
              <w:top w:val="single" w:sz="4" w:space="0" w:color="auto"/>
              <w:left w:val="single" w:sz="4" w:space="0" w:color="auto"/>
              <w:bottom w:val="single" w:sz="4" w:space="0" w:color="auto"/>
              <w:right w:val="single" w:sz="4" w:space="0" w:color="auto"/>
            </w:tcBorders>
            <w:shd w:val="clear" w:color="auto" w:fill="C6EFCE"/>
            <w:noWrap/>
          </w:tcPr>
          <w:p w14:paraId="63F9086B" w14:textId="16599A6B" w:rsidR="00396174" w:rsidRPr="00DD6A04" w:rsidRDefault="00396174" w:rsidP="00396174">
            <w:pPr>
              <w:spacing w:before="0" w:after="0" w:line="240" w:lineRule="auto"/>
              <w:rPr>
                <w:rFonts w:eastAsia="Times New Roman"/>
                <w:noProof/>
                <w:color w:val="006100"/>
                <w:sz w:val="22"/>
              </w:rPr>
            </w:pPr>
            <w:r>
              <w:rPr>
                <w:noProof/>
                <w:color w:val="006100"/>
                <w:sz w:val="22"/>
              </w:rPr>
              <w:t>Q2</w:t>
            </w:r>
          </w:p>
        </w:tc>
        <w:tc>
          <w:tcPr>
            <w:tcW w:w="888" w:type="dxa"/>
            <w:tcBorders>
              <w:top w:val="single" w:sz="4" w:space="0" w:color="auto"/>
              <w:left w:val="single" w:sz="4" w:space="0" w:color="auto"/>
              <w:bottom w:val="single" w:sz="4" w:space="0" w:color="auto"/>
              <w:right w:val="single" w:sz="4" w:space="0" w:color="auto"/>
            </w:tcBorders>
            <w:shd w:val="clear" w:color="auto" w:fill="C6EFCE"/>
            <w:noWrap/>
          </w:tcPr>
          <w:p w14:paraId="63C4D499" w14:textId="0685C3A1" w:rsidR="00396174" w:rsidRPr="00DD6A04" w:rsidRDefault="00396174" w:rsidP="00396174">
            <w:pPr>
              <w:spacing w:before="0" w:after="0" w:line="240" w:lineRule="auto"/>
              <w:rPr>
                <w:rFonts w:eastAsia="Times New Roman"/>
                <w:noProof/>
                <w:color w:val="006100"/>
                <w:sz w:val="22"/>
              </w:rPr>
            </w:pPr>
            <w:r>
              <w:rPr>
                <w:noProof/>
                <w:color w:val="006100"/>
                <w:sz w:val="22"/>
              </w:rPr>
              <w:t>2026</w:t>
            </w:r>
          </w:p>
        </w:tc>
        <w:tc>
          <w:tcPr>
            <w:tcW w:w="3285" w:type="dxa"/>
            <w:tcBorders>
              <w:top w:val="single" w:sz="4" w:space="0" w:color="auto"/>
              <w:left w:val="single" w:sz="4" w:space="0" w:color="auto"/>
              <w:bottom w:val="single" w:sz="4" w:space="0" w:color="auto"/>
              <w:right w:val="single" w:sz="4" w:space="0" w:color="auto"/>
            </w:tcBorders>
            <w:shd w:val="clear" w:color="auto" w:fill="C6EFCE"/>
            <w:noWrap/>
          </w:tcPr>
          <w:p w14:paraId="111CE8B9" w14:textId="54AEB946" w:rsidR="00396174" w:rsidRPr="00DD6A04" w:rsidRDefault="3BE0187F" w:rsidP="170A6336">
            <w:pPr>
              <w:spacing w:before="0" w:after="0" w:line="240" w:lineRule="auto"/>
              <w:rPr>
                <w:rFonts w:eastAsia="Times New Roman"/>
                <w:noProof/>
                <w:color w:val="006100"/>
                <w:sz w:val="22"/>
              </w:rPr>
            </w:pPr>
            <w:r>
              <w:rPr>
                <w:noProof/>
                <w:color w:val="006100"/>
                <w:sz w:val="22"/>
              </w:rPr>
              <w:t>V skladu s pogoji iz opisa ukrepa se sofinancira najmanj 2 700 brezemisijskih vozil.</w:t>
            </w:r>
          </w:p>
        </w:tc>
      </w:tr>
    </w:tbl>
    <w:p w14:paraId="2CDBBB92" w14:textId="0FDCE91C" w:rsidR="33DCC11D" w:rsidRPr="00DD6A04" w:rsidRDefault="33DCC11D" w:rsidP="00205B18">
      <w:pPr>
        <w:spacing w:line="240" w:lineRule="auto"/>
        <w:jc w:val="both"/>
        <w:rPr>
          <w:rFonts w:eastAsia="Times New Roman"/>
          <w:noProof/>
          <w:color w:val="000000" w:themeColor="text1"/>
          <w:lang w:val="en-GB"/>
        </w:rPr>
      </w:pPr>
    </w:p>
    <w:p w14:paraId="1BC34A7A" w14:textId="759541C4" w:rsidR="00080221" w:rsidRPr="00DD6A04" w:rsidRDefault="00080221" w:rsidP="001C3022">
      <w:pPr>
        <w:tabs>
          <w:tab w:val="num" w:pos="850"/>
        </w:tabs>
        <w:spacing w:line="240" w:lineRule="auto"/>
        <w:jc w:val="both"/>
        <w:rPr>
          <w:b/>
          <w:noProof/>
          <w:lang w:val="en-GB"/>
        </w:rPr>
        <w:sectPr w:rsidR="00080221" w:rsidRPr="00DD6A04" w:rsidSect="007453D6">
          <w:headerReference w:type="even" r:id="rId288"/>
          <w:headerReference w:type="default" r:id="rId289"/>
          <w:footerReference w:type="even" r:id="rId290"/>
          <w:footerReference w:type="default" r:id="rId291"/>
          <w:headerReference w:type="first" r:id="rId292"/>
          <w:footerReference w:type="first" r:id="rId293"/>
          <w:footnotePr>
            <w:numRestart w:val="eachPage"/>
          </w:footnotePr>
          <w:pgSz w:w="16839" w:h="11907" w:orient="landscape"/>
          <w:pgMar w:top="1134" w:right="1134" w:bottom="1134" w:left="1134" w:header="567" w:footer="567" w:gutter="0"/>
          <w:cols w:space="720"/>
          <w:docGrid w:linePitch="360"/>
        </w:sectPr>
      </w:pPr>
    </w:p>
    <w:p w14:paraId="3ED6C383" w14:textId="77777777" w:rsidR="003C6015" w:rsidRPr="00DD6A04" w:rsidRDefault="003C6015" w:rsidP="003C6015">
      <w:pPr>
        <w:tabs>
          <w:tab w:val="num" w:pos="850"/>
        </w:tabs>
        <w:spacing w:line="240" w:lineRule="auto"/>
        <w:ind w:left="850" w:hanging="850"/>
        <w:jc w:val="both"/>
        <w:rPr>
          <w:b/>
          <w:noProof/>
        </w:rPr>
      </w:pPr>
      <w:r>
        <w:rPr>
          <w:b/>
          <w:noProof/>
        </w:rPr>
        <w:t>2. Ocenjeni skupni stroški načrta za okrevanje in odpornost</w:t>
      </w:r>
    </w:p>
    <w:p w14:paraId="501755A6" w14:textId="09CB6134" w:rsidR="003C6015" w:rsidRPr="00DD6A04" w:rsidRDefault="003C6015" w:rsidP="003C6015">
      <w:pPr>
        <w:spacing w:line="240" w:lineRule="auto"/>
        <w:ind w:left="850"/>
        <w:jc w:val="both"/>
        <w:rPr>
          <w:noProof/>
        </w:rPr>
      </w:pPr>
      <w:r>
        <w:rPr>
          <w:noProof/>
        </w:rPr>
        <w:t>Ocenjeni skupni stroški načrta za okrevanje in odpornost Slovenije znašajo 2 685 318 340 EUR.</w:t>
      </w:r>
    </w:p>
    <w:p w14:paraId="53696003" w14:textId="5C68A6FF" w:rsidR="00FA2F81" w:rsidRPr="00DD6A04" w:rsidRDefault="00FA2F81" w:rsidP="00D75566">
      <w:pPr>
        <w:ind w:left="850"/>
        <w:rPr>
          <w:noProof/>
        </w:rPr>
      </w:pPr>
      <w:r>
        <w:rPr>
          <w:noProof/>
        </w:rPr>
        <w:t xml:space="preserve">Ocenjeni skupni stroški poglavja REPowerEU znašajo 121 991 707 EUR. Zlasti ocenjeni skupni stroški ukrepov iz člena 21c(3), točka (a), Uredbe (EU) 2023/435 znašajo </w:t>
      </w:r>
      <w:r>
        <w:rPr>
          <w:rStyle w:val="normaltextrun"/>
          <w:noProof/>
          <w:color w:val="000000"/>
          <w:shd w:val="clear" w:color="auto" w:fill="FFFFFF"/>
        </w:rPr>
        <w:t>116 734 327</w:t>
      </w:r>
      <w:r>
        <w:rPr>
          <w:noProof/>
        </w:rPr>
        <w:t xml:space="preserve"> EUR, medtem ko stroški drugih ukrepov v poglavju REPowerEU znašajo </w:t>
      </w:r>
      <w:r>
        <w:rPr>
          <w:rStyle w:val="normaltextrun"/>
          <w:noProof/>
          <w:color w:val="000000"/>
          <w:shd w:val="clear" w:color="auto" w:fill="FFFFFF"/>
        </w:rPr>
        <w:t>5 257 380</w:t>
      </w:r>
      <w:r>
        <w:rPr>
          <w:noProof/>
        </w:rPr>
        <w:t> EUR.</w:t>
      </w:r>
    </w:p>
    <w:p w14:paraId="2A3DB213" w14:textId="77777777" w:rsidR="003C6015" w:rsidRPr="00DD6A04" w:rsidRDefault="003C6015" w:rsidP="003C6015">
      <w:pPr>
        <w:spacing w:line="240" w:lineRule="auto"/>
        <w:jc w:val="both"/>
        <w:rPr>
          <w:noProof/>
          <w:lang w:val="en-GB"/>
        </w:rPr>
      </w:pPr>
    </w:p>
    <w:p w14:paraId="1BE5448B" w14:textId="6938354E" w:rsidR="003C6015" w:rsidRPr="00DD6A04" w:rsidRDefault="003C6015" w:rsidP="003C6015">
      <w:pPr>
        <w:spacing w:line="240" w:lineRule="auto"/>
        <w:jc w:val="both"/>
        <w:rPr>
          <w:noProof/>
        </w:rPr>
      </w:pPr>
      <w:r>
        <w:rPr>
          <w:b/>
          <w:noProof/>
        </w:rPr>
        <w:t xml:space="preserve">ODDELEK 2: FINANČNA PODPORA </w:t>
      </w:r>
    </w:p>
    <w:p w14:paraId="45834078" w14:textId="77777777" w:rsidR="003C6015" w:rsidRPr="00DD6A04" w:rsidRDefault="003C6015" w:rsidP="00BD7FBD">
      <w:pPr>
        <w:numPr>
          <w:ilvl w:val="0"/>
          <w:numId w:val="35"/>
        </w:numPr>
        <w:spacing w:before="0" w:after="200" w:line="240" w:lineRule="auto"/>
        <w:jc w:val="both"/>
        <w:rPr>
          <w:b/>
          <w:noProof/>
        </w:rPr>
      </w:pPr>
      <w:r>
        <w:rPr>
          <w:b/>
          <w:noProof/>
        </w:rPr>
        <w:t xml:space="preserve">Finančni prispevek </w:t>
      </w:r>
    </w:p>
    <w:p w14:paraId="574D095E" w14:textId="77777777" w:rsidR="003C6015" w:rsidRPr="00DD6A04" w:rsidRDefault="003C6015" w:rsidP="003C6015">
      <w:pPr>
        <w:spacing w:line="240" w:lineRule="auto"/>
        <w:ind w:left="850"/>
        <w:jc w:val="both"/>
        <w:rPr>
          <w:noProof/>
        </w:rPr>
      </w:pPr>
      <w:r>
        <w:rPr>
          <w:noProof/>
        </w:rPr>
        <w:t>Obroki iz člena 2(2) se razporedijo na naslednji način:</w:t>
      </w:r>
    </w:p>
    <w:p w14:paraId="416D49D1" w14:textId="77777777" w:rsidR="003C6015" w:rsidRPr="00DD6A04" w:rsidRDefault="003C6015" w:rsidP="003C6015">
      <w:pPr>
        <w:spacing w:line="240" w:lineRule="auto"/>
        <w:ind w:left="850"/>
        <w:jc w:val="both"/>
        <w:rPr>
          <w:noProof/>
          <w:lang w:val="en-GB"/>
        </w:rPr>
      </w:pPr>
    </w:p>
    <w:p w14:paraId="18B5BBA2" w14:textId="77777777" w:rsidR="003C6015" w:rsidRPr="00DD6A04" w:rsidRDefault="003C6015" w:rsidP="00BD7FBD">
      <w:pPr>
        <w:numPr>
          <w:ilvl w:val="1"/>
          <w:numId w:val="19"/>
        </w:numPr>
        <w:spacing w:before="0" w:after="200" w:line="240" w:lineRule="auto"/>
        <w:jc w:val="both"/>
        <w:rPr>
          <w:noProof/>
        </w:rPr>
      </w:pPr>
      <w:r>
        <w:rPr>
          <w:noProof/>
        </w:rPr>
        <w:t>Prvi obrok (nepovratna podpora):</w:t>
      </w:r>
    </w:p>
    <w:tbl>
      <w:tblPr>
        <w:tblW w:w="9752" w:type="dxa"/>
        <w:tblInd w:w="113" w:type="dxa"/>
        <w:tblLook w:val="04A0" w:firstRow="1" w:lastRow="0" w:firstColumn="1" w:lastColumn="0" w:noHBand="0" w:noVBand="1"/>
      </w:tblPr>
      <w:tblGrid>
        <w:gridCol w:w="1256"/>
        <w:gridCol w:w="3119"/>
        <w:gridCol w:w="1255"/>
        <w:gridCol w:w="4139"/>
      </w:tblGrid>
      <w:tr w:rsidR="003C6015" w:rsidRPr="00DD6A04" w14:paraId="16846FE5" w14:textId="77777777" w:rsidTr="00CF5FDB">
        <w:trPr>
          <w:trHeight w:val="567"/>
          <w:tblHeader/>
        </w:trPr>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EEBEE20" w14:textId="77777777" w:rsidR="003C6015" w:rsidRPr="00DD6A04" w:rsidRDefault="003C6015" w:rsidP="003C6015">
            <w:pPr>
              <w:spacing w:before="0" w:after="0" w:line="276" w:lineRule="auto"/>
              <w:jc w:val="center"/>
              <w:rPr>
                <w:rFonts w:eastAsia="Times New Roman"/>
                <w:b/>
                <w:noProof/>
                <w:sz w:val="22"/>
              </w:rPr>
            </w:pPr>
            <w:r>
              <w:rPr>
                <w:b/>
                <w:noProof/>
                <w:sz w:val="22"/>
              </w:rPr>
              <w:t>Zaporedna številka</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C1B04EA" w14:textId="77777777" w:rsidR="003C6015" w:rsidRPr="00DD6A04" w:rsidRDefault="003C6015" w:rsidP="003C6015">
            <w:pPr>
              <w:spacing w:before="0" w:after="0" w:line="276" w:lineRule="auto"/>
              <w:jc w:val="center"/>
              <w:rPr>
                <w:rFonts w:eastAsia="Times New Roman"/>
                <w:b/>
                <w:noProof/>
                <w:sz w:val="22"/>
              </w:rPr>
            </w:pPr>
            <w:r>
              <w:rPr>
                <w:b/>
                <w:noProof/>
                <w:sz w:val="22"/>
              </w:rPr>
              <w:t>Povezani ukrep (reforma ali naložba)</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3983CD5" w14:textId="77777777" w:rsidR="003C6015" w:rsidRPr="00DD6A04" w:rsidRDefault="003C6015" w:rsidP="003C6015">
            <w:pPr>
              <w:spacing w:before="0" w:after="0" w:line="276" w:lineRule="auto"/>
              <w:jc w:val="center"/>
              <w:rPr>
                <w:rFonts w:eastAsia="Times New Roman"/>
                <w:b/>
                <w:noProof/>
                <w:sz w:val="22"/>
              </w:rPr>
            </w:pPr>
            <w:r>
              <w:rPr>
                <w:b/>
                <w:noProof/>
                <w:sz w:val="22"/>
              </w:rPr>
              <w:t>Mejnik/cilj</w:t>
            </w:r>
          </w:p>
        </w:tc>
        <w:tc>
          <w:tcPr>
            <w:tcW w:w="4139" w:type="dxa"/>
            <w:vMerge w:val="restart"/>
            <w:tcBorders>
              <w:top w:val="single" w:sz="4" w:space="0" w:color="auto"/>
              <w:left w:val="nil"/>
              <w:bottom w:val="single" w:sz="4" w:space="0" w:color="000000"/>
              <w:right w:val="single" w:sz="4" w:space="0" w:color="auto"/>
            </w:tcBorders>
            <w:shd w:val="clear" w:color="auto" w:fill="BDD7EE"/>
            <w:vAlign w:val="center"/>
            <w:hideMark/>
          </w:tcPr>
          <w:p w14:paraId="02627739" w14:textId="77777777" w:rsidR="003C6015" w:rsidRPr="00DD6A04" w:rsidRDefault="003C6015" w:rsidP="003C6015">
            <w:pPr>
              <w:spacing w:before="0" w:after="0" w:line="276" w:lineRule="auto"/>
              <w:jc w:val="center"/>
              <w:rPr>
                <w:rFonts w:eastAsia="Times New Roman"/>
                <w:b/>
                <w:noProof/>
                <w:sz w:val="22"/>
              </w:rPr>
            </w:pPr>
            <w:r>
              <w:rPr>
                <w:b/>
                <w:noProof/>
                <w:sz w:val="22"/>
              </w:rPr>
              <w:t>Ime</w:t>
            </w:r>
          </w:p>
        </w:tc>
      </w:tr>
      <w:tr w:rsidR="003C6015" w:rsidRPr="00DD6A04" w14:paraId="2EEC6F5E" w14:textId="77777777" w:rsidTr="00CF5FDB">
        <w:trPr>
          <w:trHeight w:val="309"/>
          <w:tblHeader/>
        </w:trPr>
        <w:tc>
          <w:tcPr>
            <w:tcW w:w="1247" w:type="dxa"/>
            <w:vMerge/>
            <w:tcBorders>
              <w:top w:val="single" w:sz="4" w:space="0" w:color="auto"/>
              <w:left w:val="single" w:sz="4" w:space="0" w:color="auto"/>
              <w:bottom w:val="single" w:sz="4" w:space="0" w:color="000000"/>
              <w:right w:val="single" w:sz="4" w:space="0" w:color="auto"/>
            </w:tcBorders>
            <w:vAlign w:val="center"/>
            <w:hideMark/>
          </w:tcPr>
          <w:p w14:paraId="71C561C8" w14:textId="77777777" w:rsidR="003C6015" w:rsidRPr="00DD6A04" w:rsidRDefault="003C6015" w:rsidP="003C6015">
            <w:pPr>
              <w:spacing w:before="0" w:after="0" w:line="276" w:lineRule="auto"/>
              <w:jc w:val="center"/>
              <w:rPr>
                <w:rFonts w:eastAsia="Times New Roman"/>
                <w:b/>
                <w:noProof/>
                <w:sz w:val="22"/>
                <w:szCs w:val="24"/>
                <w:lang w:val="en-GB" w:eastAsia="en-GB"/>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14:paraId="3C453256" w14:textId="77777777" w:rsidR="003C6015" w:rsidRPr="00DD6A04" w:rsidRDefault="003C6015" w:rsidP="003C6015">
            <w:pPr>
              <w:spacing w:before="0" w:after="0" w:line="276" w:lineRule="auto"/>
              <w:rPr>
                <w:rFonts w:eastAsia="Times New Roman"/>
                <w:b/>
                <w:noProof/>
                <w:sz w:val="22"/>
                <w:szCs w:val="24"/>
                <w:lang w:val="en-GB" w:eastAsia="en-GB"/>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45A8F0AC" w14:textId="77777777" w:rsidR="003C6015" w:rsidRPr="00DD6A04" w:rsidRDefault="003C6015" w:rsidP="003C6015">
            <w:pPr>
              <w:spacing w:before="0" w:after="0" w:line="276" w:lineRule="auto"/>
              <w:rPr>
                <w:rFonts w:eastAsia="Times New Roman"/>
                <w:b/>
                <w:noProof/>
                <w:sz w:val="22"/>
                <w:szCs w:val="24"/>
                <w:lang w:val="en-GB" w:eastAsia="en-GB"/>
              </w:rPr>
            </w:pPr>
          </w:p>
        </w:tc>
        <w:tc>
          <w:tcPr>
            <w:tcW w:w="4139" w:type="dxa"/>
            <w:vMerge/>
            <w:tcBorders>
              <w:top w:val="single" w:sz="4" w:space="0" w:color="auto"/>
              <w:left w:val="nil"/>
              <w:bottom w:val="single" w:sz="4" w:space="0" w:color="000000"/>
              <w:right w:val="single" w:sz="4" w:space="0" w:color="auto"/>
            </w:tcBorders>
            <w:vAlign w:val="center"/>
            <w:hideMark/>
          </w:tcPr>
          <w:p w14:paraId="7D25D1BE" w14:textId="77777777" w:rsidR="003C6015" w:rsidRPr="00DD6A04" w:rsidRDefault="003C6015" w:rsidP="003C6015">
            <w:pPr>
              <w:spacing w:before="0" w:after="0" w:line="276" w:lineRule="auto"/>
              <w:rPr>
                <w:rFonts w:eastAsia="Times New Roman"/>
                <w:b/>
                <w:noProof/>
                <w:sz w:val="22"/>
                <w:szCs w:val="24"/>
                <w:lang w:val="en-GB" w:eastAsia="en-GB"/>
              </w:rPr>
            </w:pPr>
          </w:p>
        </w:tc>
      </w:tr>
      <w:tr w:rsidR="003C6015" w:rsidRPr="00DD6A04" w14:paraId="2611EACE"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3F79410A"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83</w:t>
            </w:r>
          </w:p>
        </w:tc>
        <w:tc>
          <w:tcPr>
            <w:tcW w:w="3119" w:type="dxa"/>
            <w:tcBorders>
              <w:top w:val="nil"/>
              <w:left w:val="nil"/>
              <w:bottom w:val="single" w:sz="4" w:space="0" w:color="auto"/>
              <w:right w:val="single" w:sz="4" w:space="0" w:color="auto"/>
            </w:tcBorders>
            <w:shd w:val="clear" w:color="auto" w:fill="C6EFCE"/>
            <w:noWrap/>
          </w:tcPr>
          <w:p w14:paraId="29C0F8F2"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D: Čezmejni in večdržavni projekti – Skupna evropska infrastruktura podatkov in storitve</w:t>
            </w:r>
          </w:p>
        </w:tc>
        <w:tc>
          <w:tcPr>
            <w:tcW w:w="1247" w:type="dxa"/>
            <w:tcBorders>
              <w:top w:val="nil"/>
              <w:left w:val="nil"/>
              <w:bottom w:val="single" w:sz="4" w:space="0" w:color="auto"/>
              <w:right w:val="single" w:sz="4" w:space="0" w:color="auto"/>
            </w:tcBorders>
            <w:shd w:val="clear" w:color="auto" w:fill="C6EFCE"/>
            <w:noWrap/>
          </w:tcPr>
          <w:p w14:paraId="6B1B2D5C"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0CA80D46"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Objava javnega razpisa za prijavo interesa za nov projekt v zvezi z oblakom naslednje generacije</w:t>
            </w:r>
          </w:p>
        </w:tc>
      </w:tr>
      <w:tr w:rsidR="003C6015" w:rsidRPr="00DD6A04" w14:paraId="0C3303AB"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1869B967"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85</w:t>
            </w:r>
          </w:p>
        </w:tc>
        <w:tc>
          <w:tcPr>
            <w:tcW w:w="3119" w:type="dxa"/>
            <w:tcBorders>
              <w:top w:val="nil"/>
              <w:left w:val="nil"/>
              <w:bottom w:val="single" w:sz="4" w:space="0" w:color="auto"/>
              <w:right w:val="single" w:sz="4" w:space="0" w:color="auto"/>
            </w:tcBorders>
            <w:shd w:val="clear" w:color="auto" w:fill="C6EFCE"/>
            <w:noWrap/>
          </w:tcPr>
          <w:p w14:paraId="2AFA72B8"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E: Čezmejni in večdržavni projekti – Nizkoporabni procesorji in polprevodniški čipi</w:t>
            </w:r>
          </w:p>
        </w:tc>
        <w:tc>
          <w:tcPr>
            <w:tcW w:w="1247" w:type="dxa"/>
            <w:tcBorders>
              <w:top w:val="nil"/>
              <w:left w:val="nil"/>
              <w:bottom w:val="single" w:sz="4" w:space="0" w:color="auto"/>
              <w:right w:val="single" w:sz="4" w:space="0" w:color="auto"/>
            </w:tcBorders>
            <w:shd w:val="clear" w:color="auto" w:fill="C6EFCE"/>
            <w:noWrap/>
          </w:tcPr>
          <w:p w14:paraId="650FCF90"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2A9AB589"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Dokončanje seznama potencialnih udeležencev skupnega projekta</w:t>
            </w:r>
          </w:p>
        </w:tc>
      </w:tr>
      <w:tr w:rsidR="003C6015" w:rsidRPr="00DD6A04" w14:paraId="0B2B9F12"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1C2061C2"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171</w:t>
            </w:r>
          </w:p>
        </w:tc>
        <w:tc>
          <w:tcPr>
            <w:tcW w:w="3119" w:type="dxa"/>
            <w:tcBorders>
              <w:top w:val="nil"/>
              <w:left w:val="nil"/>
              <w:bottom w:val="single" w:sz="4" w:space="0" w:color="auto"/>
              <w:right w:val="single" w:sz="4" w:space="0" w:color="auto"/>
            </w:tcBorders>
            <w:shd w:val="clear" w:color="auto" w:fill="C6EFCE"/>
            <w:noWrap/>
          </w:tcPr>
          <w:p w14:paraId="21531084"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A: Odpravljanje administrativnih ovir</w:t>
            </w:r>
          </w:p>
        </w:tc>
        <w:tc>
          <w:tcPr>
            <w:tcW w:w="1247" w:type="dxa"/>
            <w:tcBorders>
              <w:top w:val="nil"/>
              <w:left w:val="nil"/>
              <w:bottom w:val="single" w:sz="4" w:space="0" w:color="auto"/>
              <w:right w:val="single" w:sz="4" w:space="0" w:color="auto"/>
            </w:tcBorders>
            <w:shd w:val="clear" w:color="auto" w:fill="C6EFCE"/>
            <w:noWrap/>
          </w:tcPr>
          <w:p w14:paraId="0AAD64E8"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3904E0AA"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Začetek veljavnosti Zakona o debirokratizaciji </w:t>
            </w:r>
          </w:p>
        </w:tc>
      </w:tr>
      <w:tr w:rsidR="003C6015" w:rsidRPr="00DD6A04" w14:paraId="434B37DE"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hideMark/>
          </w:tcPr>
          <w:p w14:paraId="238229B1"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77</w:t>
            </w:r>
          </w:p>
        </w:tc>
        <w:tc>
          <w:tcPr>
            <w:tcW w:w="3119" w:type="dxa"/>
            <w:tcBorders>
              <w:top w:val="nil"/>
              <w:left w:val="nil"/>
              <w:bottom w:val="single" w:sz="4" w:space="0" w:color="auto"/>
              <w:right w:val="single" w:sz="4" w:space="0" w:color="auto"/>
            </w:tcBorders>
            <w:shd w:val="clear" w:color="auto" w:fill="C6EFCE"/>
            <w:noWrap/>
            <w:hideMark/>
          </w:tcPr>
          <w:p w14:paraId="53862EF6"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A: Digitalna transformacija gospodarstva (podjetij in industrije)</w:t>
            </w:r>
          </w:p>
          <w:p w14:paraId="5DC46E07"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1247" w:type="dxa"/>
            <w:tcBorders>
              <w:top w:val="nil"/>
              <w:left w:val="nil"/>
              <w:bottom w:val="single" w:sz="4" w:space="0" w:color="auto"/>
              <w:right w:val="single" w:sz="4" w:space="0" w:color="auto"/>
            </w:tcBorders>
            <w:shd w:val="clear" w:color="auto" w:fill="C6EFCE"/>
            <w:noWrap/>
            <w:hideMark/>
          </w:tcPr>
          <w:p w14:paraId="53BDFA81"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hideMark/>
          </w:tcPr>
          <w:p w14:paraId="3A3FF949"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Sprejetje Strategije digitalne transformacije podjetij</w:t>
            </w:r>
          </w:p>
        </w:tc>
      </w:tr>
      <w:tr w:rsidR="003C6015" w:rsidRPr="00DD6A04" w14:paraId="11230A89"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hideMark/>
          </w:tcPr>
          <w:p w14:paraId="37AB0B07"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90</w:t>
            </w:r>
          </w:p>
        </w:tc>
        <w:tc>
          <w:tcPr>
            <w:tcW w:w="3119" w:type="dxa"/>
            <w:tcBorders>
              <w:top w:val="nil"/>
              <w:left w:val="nil"/>
              <w:bottom w:val="single" w:sz="4" w:space="0" w:color="auto"/>
              <w:right w:val="single" w:sz="4" w:space="0" w:color="auto"/>
            </w:tcBorders>
            <w:shd w:val="clear" w:color="auto" w:fill="C6EFCE"/>
            <w:noWrap/>
            <w:hideMark/>
          </w:tcPr>
          <w:p w14:paraId="37D2DB0B"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A: Okrepitev upravljanja digitalne preobrazbe javne uprave</w:t>
            </w:r>
          </w:p>
        </w:tc>
        <w:tc>
          <w:tcPr>
            <w:tcW w:w="1247" w:type="dxa"/>
            <w:tcBorders>
              <w:top w:val="nil"/>
              <w:left w:val="nil"/>
              <w:bottom w:val="single" w:sz="4" w:space="0" w:color="auto"/>
              <w:right w:val="single" w:sz="4" w:space="0" w:color="auto"/>
            </w:tcBorders>
            <w:shd w:val="clear" w:color="auto" w:fill="C6EFCE"/>
            <w:noWrap/>
            <w:hideMark/>
          </w:tcPr>
          <w:p w14:paraId="2F2A041F"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hideMark/>
          </w:tcPr>
          <w:p w14:paraId="79ECEBE8"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Ustanovljen in operativen Svet za razvoj informatike v državni upravi</w:t>
            </w:r>
          </w:p>
        </w:tc>
      </w:tr>
      <w:tr w:rsidR="003C6015" w:rsidRPr="00DD6A04" w14:paraId="037785B3"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hideMark/>
          </w:tcPr>
          <w:p w14:paraId="0857E8F0"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124</w:t>
            </w:r>
          </w:p>
        </w:tc>
        <w:tc>
          <w:tcPr>
            <w:tcW w:w="3119" w:type="dxa"/>
            <w:tcBorders>
              <w:top w:val="nil"/>
              <w:left w:val="nil"/>
              <w:bottom w:val="single" w:sz="4" w:space="0" w:color="auto"/>
              <w:right w:val="single" w:sz="4" w:space="0" w:color="auto"/>
            </w:tcBorders>
            <w:shd w:val="clear" w:color="auto" w:fill="C6EFCE"/>
            <w:noWrap/>
            <w:hideMark/>
          </w:tcPr>
          <w:p w14:paraId="2F8FF763"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A: Krepitev kapitalskih trgov</w:t>
            </w:r>
          </w:p>
        </w:tc>
        <w:tc>
          <w:tcPr>
            <w:tcW w:w="1247" w:type="dxa"/>
            <w:tcBorders>
              <w:top w:val="nil"/>
              <w:left w:val="nil"/>
              <w:bottom w:val="single" w:sz="4" w:space="0" w:color="auto"/>
              <w:right w:val="single" w:sz="4" w:space="0" w:color="auto"/>
            </w:tcBorders>
            <w:shd w:val="clear" w:color="auto" w:fill="C6EFCE"/>
            <w:noWrap/>
            <w:hideMark/>
          </w:tcPr>
          <w:p w14:paraId="41124D48"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hideMark/>
          </w:tcPr>
          <w:p w14:paraId="762BA576"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Začetek veljavnosti Zakona o oblikah alternativnih investicijskih skladov</w:t>
            </w:r>
          </w:p>
        </w:tc>
      </w:tr>
      <w:tr w:rsidR="003C6015" w:rsidRPr="00DD6A04" w14:paraId="44E935F8"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1B50D1D0"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126</w:t>
            </w:r>
          </w:p>
        </w:tc>
        <w:tc>
          <w:tcPr>
            <w:tcW w:w="3119" w:type="dxa"/>
            <w:tcBorders>
              <w:top w:val="nil"/>
              <w:left w:val="nil"/>
              <w:bottom w:val="single" w:sz="4" w:space="0" w:color="auto"/>
              <w:right w:val="single" w:sz="4" w:space="0" w:color="auto"/>
            </w:tcBorders>
            <w:shd w:val="clear" w:color="auto" w:fill="C6EFCE"/>
            <w:noWrap/>
          </w:tcPr>
          <w:p w14:paraId="068DCB5E"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B: Produktivnejše gospodarstvo za digitalni in zeleni prehod </w:t>
            </w:r>
          </w:p>
        </w:tc>
        <w:tc>
          <w:tcPr>
            <w:tcW w:w="1247" w:type="dxa"/>
            <w:tcBorders>
              <w:top w:val="nil"/>
              <w:left w:val="nil"/>
              <w:bottom w:val="single" w:sz="4" w:space="0" w:color="auto"/>
              <w:right w:val="single" w:sz="4" w:space="0" w:color="auto"/>
            </w:tcBorders>
            <w:shd w:val="clear" w:color="auto" w:fill="C6EFCE"/>
            <w:noWrap/>
          </w:tcPr>
          <w:p w14:paraId="08BF8E79"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37C969B6"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Začetek veljavnosti sprememb Zakona o spodbujanju investicij z namenom spodbujanja zelenega prehoda</w:t>
            </w:r>
          </w:p>
        </w:tc>
      </w:tr>
      <w:tr w:rsidR="003C6015" w:rsidRPr="00DD6A04" w14:paraId="7B967288"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41C8568B"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149</w:t>
            </w:r>
          </w:p>
        </w:tc>
        <w:tc>
          <w:tcPr>
            <w:tcW w:w="3119" w:type="dxa"/>
            <w:tcBorders>
              <w:top w:val="nil"/>
              <w:left w:val="nil"/>
              <w:bottom w:val="single" w:sz="4" w:space="0" w:color="auto"/>
              <w:right w:val="single" w:sz="4" w:space="0" w:color="auto"/>
            </w:tcBorders>
            <w:shd w:val="clear" w:color="auto" w:fill="C6EFCE"/>
            <w:noWrap/>
          </w:tcPr>
          <w:p w14:paraId="3DACD81B"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A: Krepitev trajnostnega razvoja turizma</w:t>
            </w:r>
          </w:p>
        </w:tc>
        <w:tc>
          <w:tcPr>
            <w:tcW w:w="1247" w:type="dxa"/>
            <w:tcBorders>
              <w:top w:val="nil"/>
              <w:left w:val="nil"/>
              <w:bottom w:val="single" w:sz="4" w:space="0" w:color="auto"/>
              <w:right w:val="single" w:sz="4" w:space="0" w:color="auto"/>
            </w:tcBorders>
            <w:shd w:val="clear" w:color="auto" w:fill="C6EFCE"/>
            <w:noWrap/>
          </w:tcPr>
          <w:p w14:paraId="2AEB53D5"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20FBEBEC"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Začetek veljavnosti Uredbe o razvojnih spodbudah za turizem </w:t>
            </w:r>
          </w:p>
        </w:tc>
      </w:tr>
      <w:tr w:rsidR="003C6015" w:rsidRPr="00DD6A04" w14:paraId="0A39FF1A"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55B4B547"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109B57F6"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174</w:t>
            </w:r>
          </w:p>
          <w:p w14:paraId="328A32D0"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9" w:type="dxa"/>
            <w:tcBorders>
              <w:top w:val="nil"/>
              <w:left w:val="nil"/>
              <w:bottom w:val="single" w:sz="4" w:space="0" w:color="auto"/>
              <w:right w:val="single" w:sz="4" w:space="0" w:color="auto"/>
            </w:tcBorders>
            <w:shd w:val="clear" w:color="auto" w:fill="C6EFCE"/>
            <w:noWrap/>
          </w:tcPr>
          <w:p w14:paraId="7ACC231C"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 Ustvarjanje sistemskih pogojev za rast investicij</w:t>
            </w:r>
          </w:p>
        </w:tc>
        <w:tc>
          <w:tcPr>
            <w:tcW w:w="1247" w:type="dxa"/>
            <w:tcBorders>
              <w:top w:val="nil"/>
              <w:left w:val="nil"/>
              <w:bottom w:val="single" w:sz="4" w:space="0" w:color="auto"/>
              <w:right w:val="single" w:sz="4" w:space="0" w:color="auto"/>
            </w:tcBorders>
            <w:shd w:val="clear" w:color="auto" w:fill="C6EFCE"/>
            <w:noWrap/>
          </w:tcPr>
          <w:p w14:paraId="046BE94E"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3AE1F9D4"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Začetek veljavnosti spremembe Zakona o javnem naročanju</w:t>
            </w:r>
          </w:p>
        </w:tc>
      </w:tr>
      <w:tr w:rsidR="003C6015" w:rsidRPr="00DD6A04" w14:paraId="36CF8125"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6DFC4E0D" w14:textId="77777777" w:rsidR="003C6015" w:rsidRPr="00DD6A04" w:rsidRDefault="003C6015" w:rsidP="003C6015">
            <w:pPr>
              <w:spacing w:before="0" w:after="0" w:line="256" w:lineRule="auto"/>
              <w:jc w:val="center"/>
              <w:rPr>
                <w:rFonts w:eastAsia="Times New Roman"/>
                <w:noProof/>
                <w:color w:val="006100"/>
                <w:sz w:val="22"/>
                <w:lang w:val="en-GB" w:eastAsia="en-GB"/>
              </w:rPr>
            </w:pPr>
          </w:p>
          <w:p w14:paraId="034B3F1D"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78C0EEB5"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178</w:t>
            </w:r>
          </w:p>
          <w:p w14:paraId="1C929849"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3EE8DCBF"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9" w:type="dxa"/>
            <w:tcBorders>
              <w:top w:val="nil"/>
              <w:left w:val="nil"/>
              <w:bottom w:val="single" w:sz="4" w:space="0" w:color="auto"/>
              <w:right w:val="single" w:sz="4" w:space="0" w:color="auto"/>
            </w:tcBorders>
            <w:shd w:val="clear" w:color="auto" w:fill="C6EFCE"/>
            <w:noWrap/>
          </w:tcPr>
          <w:p w14:paraId="06695605"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 Ustvarjanje sistemskih pogojev za rast investicij</w:t>
            </w:r>
          </w:p>
        </w:tc>
        <w:tc>
          <w:tcPr>
            <w:tcW w:w="1247" w:type="dxa"/>
            <w:tcBorders>
              <w:top w:val="nil"/>
              <w:left w:val="nil"/>
              <w:bottom w:val="single" w:sz="4" w:space="0" w:color="auto"/>
              <w:right w:val="single" w:sz="4" w:space="0" w:color="auto"/>
            </w:tcBorders>
            <w:shd w:val="clear" w:color="auto" w:fill="C6EFCE"/>
            <w:noWrap/>
          </w:tcPr>
          <w:p w14:paraId="1215AE00"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64C0E19B"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Uskladitev slovenskih podatkovnih zbirk o javnih naročilih s podatkovno zbirko Evropske komisije</w:t>
            </w:r>
          </w:p>
          <w:p w14:paraId="569BEC92"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in posredovanje podatkov, potrebnih za popolno objavo kazalnikov javnega naročanja v pregledu enotnega trga</w:t>
            </w:r>
          </w:p>
        </w:tc>
      </w:tr>
      <w:tr w:rsidR="003C6015" w:rsidRPr="00DD6A04" w14:paraId="23620D7D"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519A35B1"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181</w:t>
            </w:r>
          </w:p>
        </w:tc>
        <w:tc>
          <w:tcPr>
            <w:tcW w:w="3119" w:type="dxa"/>
            <w:tcBorders>
              <w:top w:val="nil"/>
              <w:left w:val="nil"/>
              <w:bottom w:val="single" w:sz="4" w:space="0" w:color="auto"/>
              <w:right w:val="single" w:sz="4" w:space="0" w:color="auto"/>
            </w:tcBorders>
            <w:shd w:val="clear" w:color="auto" w:fill="C6EFCE"/>
            <w:noWrap/>
          </w:tcPr>
          <w:p w14:paraId="240AAB8F"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D: Spremljanje in izvajanje načrta za okrevanje in odpornost – kontrolni in revizijski sistemi</w:t>
            </w:r>
          </w:p>
        </w:tc>
        <w:tc>
          <w:tcPr>
            <w:tcW w:w="1247" w:type="dxa"/>
            <w:tcBorders>
              <w:top w:val="nil"/>
              <w:left w:val="nil"/>
              <w:bottom w:val="single" w:sz="4" w:space="0" w:color="auto"/>
              <w:right w:val="single" w:sz="4" w:space="0" w:color="auto"/>
            </w:tcBorders>
            <w:shd w:val="clear" w:color="auto" w:fill="C6EFCE"/>
            <w:noWrap/>
          </w:tcPr>
          <w:p w14:paraId="486441C6"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493C24F1" w14:textId="77777777" w:rsidR="003C6015" w:rsidRPr="00DD6A04" w:rsidRDefault="003C6015" w:rsidP="003C6015">
            <w:pPr>
              <w:spacing w:before="0" w:after="200" w:line="252" w:lineRule="auto"/>
              <w:rPr>
                <w:noProof/>
                <w:color w:val="006100"/>
                <w:sz w:val="22"/>
              </w:rPr>
            </w:pPr>
            <w:r>
              <w:rPr>
                <w:noProof/>
                <w:color w:val="006100"/>
                <w:sz w:val="22"/>
              </w:rPr>
              <w:t>Sprejetje nacionalne uredbe, ki določa postopke za izvajanje revizij in kontrol v skladu z veljavno zakonodajo Unije in nacionalno zakonodajo, ter smernic usklajevalnega organa s strani vlade;</w:t>
            </w:r>
            <w:r>
              <w:rPr>
                <w:noProof/>
                <w:sz w:val="22"/>
              </w:rPr>
              <w:t xml:space="preserve"> </w:t>
            </w:r>
            <w:r>
              <w:rPr>
                <w:noProof/>
                <w:color w:val="006100"/>
                <w:sz w:val="22"/>
              </w:rPr>
              <w:t>ustanovitev Urada za izvajanje načrta za okrevanje in odpornost ter</w:t>
            </w:r>
            <w:r>
              <w:rPr>
                <w:noProof/>
                <w:color w:val="FF0000"/>
                <w:sz w:val="22"/>
              </w:rPr>
              <w:t xml:space="preserve"> </w:t>
            </w:r>
            <w:r>
              <w:rPr>
                <w:noProof/>
                <w:color w:val="006100"/>
                <w:sz w:val="22"/>
              </w:rPr>
              <w:t>nadgradnja sistema repozitorijev za revizije in kontrole:</w:t>
            </w:r>
            <w:r>
              <w:rPr>
                <w:noProof/>
                <w:sz w:val="22"/>
              </w:rPr>
              <w:t xml:space="preserve"> </w:t>
            </w:r>
            <w:r>
              <w:rPr>
                <w:noProof/>
                <w:color w:val="006100"/>
                <w:sz w:val="22"/>
              </w:rPr>
              <w:t>informacije za spremljanje izvajanja načrta za okrevanje in odpornost.</w:t>
            </w:r>
          </w:p>
        </w:tc>
      </w:tr>
      <w:tr w:rsidR="003C6015" w:rsidRPr="00DD6A04" w14:paraId="6E35E274"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03AC4962" w14:textId="77777777" w:rsidR="003C6015" w:rsidRPr="00DD6A04" w:rsidRDefault="003C6015" w:rsidP="003C6015">
            <w:pPr>
              <w:spacing w:before="0" w:after="0" w:line="256" w:lineRule="auto"/>
              <w:jc w:val="center"/>
              <w:rPr>
                <w:rFonts w:eastAsia="Times New Roman"/>
                <w:noProof/>
                <w:color w:val="006100"/>
                <w:sz w:val="22"/>
                <w:lang w:val="en-GB" w:eastAsia="en-GB"/>
              </w:rPr>
            </w:pPr>
          </w:p>
          <w:p w14:paraId="0387E755" w14:textId="77777777" w:rsidR="003C6015" w:rsidRPr="00DD6A04" w:rsidRDefault="003C6015" w:rsidP="003C6015">
            <w:pPr>
              <w:spacing w:before="0" w:after="0" w:line="256" w:lineRule="auto"/>
              <w:jc w:val="center"/>
              <w:rPr>
                <w:rFonts w:eastAsia="Times New Roman"/>
                <w:noProof/>
                <w:color w:val="006100"/>
                <w:sz w:val="22"/>
              </w:rPr>
            </w:pPr>
            <w:r>
              <w:rPr>
                <w:noProof/>
                <w:color w:val="006100"/>
                <w:sz w:val="22"/>
              </w:rPr>
              <w:t>196</w:t>
            </w:r>
          </w:p>
          <w:p w14:paraId="0FC25A3C" w14:textId="77777777" w:rsidR="003C6015" w:rsidRPr="00DD6A04" w:rsidRDefault="003C6015" w:rsidP="003C6015">
            <w:pPr>
              <w:spacing w:before="0" w:after="0" w:line="256" w:lineRule="auto"/>
              <w:jc w:val="center"/>
              <w:rPr>
                <w:rFonts w:eastAsia="Times New Roman"/>
                <w:noProof/>
                <w:color w:val="006100"/>
                <w:sz w:val="22"/>
                <w:lang w:val="en-GB" w:eastAsia="en-GB"/>
              </w:rPr>
            </w:pPr>
          </w:p>
        </w:tc>
        <w:tc>
          <w:tcPr>
            <w:tcW w:w="3119" w:type="dxa"/>
            <w:tcBorders>
              <w:top w:val="nil"/>
              <w:left w:val="nil"/>
              <w:bottom w:val="single" w:sz="4" w:space="0" w:color="auto"/>
              <w:right w:val="single" w:sz="4" w:space="0" w:color="auto"/>
            </w:tcBorders>
            <w:shd w:val="clear" w:color="auto" w:fill="C6EFCE"/>
            <w:noWrap/>
          </w:tcPr>
          <w:p w14:paraId="2E0C65AC"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A: Vzpostavitev enotne sistemske ureditve na področju dolgotrajne oskrbe </w:t>
            </w:r>
          </w:p>
        </w:tc>
        <w:tc>
          <w:tcPr>
            <w:tcW w:w="1247" w:type="dxa"/>
            <w:tcBorders>
              <w:top w:val="nil"/>
              <w:left w:val="nil"/>
              <w:bottom w:val="single" w:sz="4" w:space="0" w:color="auto"/>
              <w:right w:val="single" w:sz="4" w:space="0" w:color="auto"/>
            </w:tcBorders>
            <w:shd w:val="clear" w:color="auto" w:fill="C6EFCE"/>
            <w:noWrap/>
          </w:tcPr>
          <w:p w14:paraId="2CA541F7"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5AE06956" w14:textId="77777777" w:rsidR="003C6015" w:rsidRPr="00DD6A04" w:rsidRDefault="003C6015" w:rsidP="003C6015">
            <w:pPr>
              <w:spacing w:before="0" w:after="200" w:line="252" w:lineRule="auto"/>
              <w:rPr>
                <w:rFonts w:eastAsia="Times New Roman"/>
                <w:noProof/>
                <w:color w:val="006100"/>
                <w:sz w:val="22"/>
              </w:rPr>
            </w:pPr>
            <w:r>
              <w:rPr>
                <w:noProof/>
                <w:color w:val="006100"/>
                <w:sz w:val="22"/>
              </w:rPr>
              <w:t xml:space="preserve">Vzpostavitev nacionalnega modela spremljanja kazalnikov kakovosti za </w:t>
            </w:r>
            <w:r>
              <w:rPr>
                <w:noProof/>
                <w:color w:val="006100"/>
                <w:sz w:val="22"/>
                <w:u w:val="single"/>
              </w:rPr>
              <w:t>ponudnike</w:t>
            </w:r>
            <w:r>
              <w:rPr>
                <w:noProof/>
                <w:color w:val="006100"/>
                <w:sz w:val="22"/>
              </w:rPr>
              <w:t xml:space="preserve"> dolgotrajne oskrbe</w:t>
            </w:r>
          </w:p>
        </w:tc>
      </w:tr>
      <w:tr w:rsidR="003C6015" w:rsidRPr="00DD6A04" w14:paraId="1A92DA30" w14:textId="77777777" w:rsidTr="00CF5FDB">
        <w:trPr>
          <w:trHeight w:val="302"/>
        </w:trPr>
        <w:tc>
          <w:tcPr>
            <w:tcW w:w="124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BBA44F"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9" w:type="dxa"/>
            <w:tcBorders>
              <w:top w:val="single" w:sz="4" w:space="0" w:color="auto"/>
              <w:left w:val="nil"/>
              <w:bottom w:val="single" w:sz="4" w:space="0" w:color="auto"/>
              <w:right w:val="single" w:sz="4" w:space="0" w:color="auto"/>
            </w:tcBorders>
            <w:shd w:val="clear" w:color="auto" w:fill="C6EFCE"/>
            <w:noWrap/>
            <w:vAlign w:val="bottom"/>
          </w:tcPr>
          <w:p w14:paraId="1A9B418B"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1247" w:type="dxa"/>
            <w:tcBorders>
              <w:top w:val="single" w:sz="4" w:space="0" w:color="auto"/>
              <w:left w:val="nil"/>
              <w:bottom w:val="single" w:sz="4" w:space="0" w:color="auto"/>
              <w:right w:val="single" w:sz="4" w:space="0" w:color="auto"/>
            </w:tcBorders>
            <w:shd w:val="clear" w:color="auto" w:fill="C6EFCE"/>
            <w:noWrap/>
            <w:vAlign w:val="bottom"/>
          </w:tcPr>
          <w:p w14:paraId="512E38FA" w14:textId="77777777" w:rsidR="003C6015" w:rsidRPr="00DD6A04" w:rsidRDefault="003C6015" w:rsidP="003C6015">
            <w:pPr>
              <w:spacing w:before="0" w:after="0" w:line="276" w:lineRule="auto"/>
              <w:rPr>
                <w:rFonts w:eastAsia="Times New Roman"/>
                <w:b/>
                <w:noProof/>
                <w:color w:val="006100"/>
                <w:sz w:val="22"/>
              </w:rPr>
            </w:pPr>
            <w:r>
              <w:rPr>
                <w:b/>
                <w:noProof/>
                <w:color w:val="006100"/>
                <w:sz w:val="22"/>
              </w:rPr>
              <w:t>Znesek obroka</w:t>
            </w:r>
          </w:p>
        </w:tc>
        <w:tc>
          <w:tcPr>
            <w:tcW w:w="4139" w:type="dxa"/>
            <w:tcBorders>
              <w:top w:val="single" w:sz="4" w:space="0" w:color="auto"/>
              <w:left w:val="nil"/>
              <w:bottom w:val="single" w:sz="4" w:space="0" w:color="auto"/>
              <w:right w:val="single" w:sz="4" w:space="0" w:color="auto"/>
            </w:tcBorders>
            <w:shd w:val="clear" w:color="auto" w:fill="C6EFCE"/>
            <w:noWrap/>
            <w:vAlign w:val="bottom"/>
          </w:tcPr>
          <w:p w14:paraId="754CB399" w14:textId="77777777" w:rsidR="003C6015" w:rsidRPr="00DD6A04" w:rsidRDefault="003C6015" w:rsidP="003C6015">
            <w:pPr>
              <w:spacing w:before="0" w:after="0" w:line="276" w:lineRule="auto"/>
              <w:rPr>
                <w:rFonts w:eastAsia="Times New Roman"/>
                <w:b/>
                <w:noProof/>
                <w:color w:val="006100"/>
                <w:sz w:val="22"/>
              </w:rPr>
            </w:pPr>
            <w:r>
              <w:rPr>
                <w:b/>
                <w:noProof/>
                <w:color w:val="006100"/>
                <w:sz w:val="22"/>
              </w:rPr>
              <w:t>57 064 305 EUR</w:t>
            </w:r>
          </w:p>
        </w:tc>
      </w:tr>
    </w:tbl>
    <w:p w14:paraId="0EC9229B" w14:textId="77777777" w:rsidR="003C6015" w:rsidRPr="00DD6A04" w:rsidRDefault="003C6015" w:rsidP="003C6015">
      <w:pPr>
        <w:spacing w:before="0" w:after="200" w:line="276" w:lineRule="auto"/>
        <w:rPr>
          <w:rFonts w:ascii="Calibri" w:hAnsi="Calibri"/>
          <w:noProof/>
          <w:sz w:val="22"/>
          <w:lang w:val="en-GB"/>
        </w:rPr>
      </w:pPr>
    </w:p>
    <w:p w14:paraId="55414C81" w14:textId="2F634C20" w:rsidR="003C6015" w:rsidRPr="00DD6A04" w:rsidRDefault="003C6015" w:rsidP="00BD7FBD">
      <w:pPr>
        <w:numPr>
          <w:ilvl w:val="1"/>
          <w:numId w:val="19"/>
        </w:numPr>
        <w:spacing w:before="0" w:after="200" w:line="240" w:lineRule="auto"/>
        <w:jc w:val="both"/>
        <w:rPr>
          <w:noProof/>
        </w:rPr>
      </w:pPr>
      <w:r>
        <w:rPr>
          <w:noProof/>
        </w:rPr>
        <w:t xml:space="preserve">Drugi obrok (nepovratna podpora): </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CB0219" w:rsidRPr="00DD6A04" w14:paraId="4BE7D1ED" w14:textId="77777777" w:rsidTr="00CB0219">
        <w:trPr>
          <w:trHeight w:val="567"/>
          <w:tblHeader/>
        </w:trPr>
        <w:tc>
          <w:tcPr>
            <w:tcW w:w="1247" w:type="dxa"/>
            <w:vMerge w:val="restart"/>
            <w:shd w:val="clear" w:color="auto" w:fill="BDD7EE"/>
            <w:vAlign w:val="center"/>
            <w:hideMark/>
          </w:tcPr>
          <w:p w14:paraId="20BE9E76" w14:textId="77777777" w:rsidR="00CB0219" w:rsidRPr="00DD6A04" w:rsidRDefault="00CB0219">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4BD1D8D4" w14:textId="77777777" w:rsidR="00CB0219" w:rsidRPr="00DD6A04" w:rsidRDefault="00CB0219">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4C780D30" w14:textId="77777777" w:rsidR="00CB0219" w:rsidRPr="00DD6A04" w:rsidRDefault="00CB0219">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349ED1EA" w14:textId="77777777" w:rsidR="00CB0219" w:rsidRPr="00DD6A04" w:rsidRDefault="00CB0219">
            <w:pPr>
              <w:spacing w:before="0" w:after="0" w:line="276" w:lineRule="auto"/>
              <w:jc w:val="center"/>
              <w:rPr>
                <w:rFonts w:eastAsia="Times New Roman"/>
                <w:b/>
                <w:noProof/>
                <w:sz w:val="22"/>
              </w:rPr>
            </w:pPr>
            <w:r>
              <w:rPr>
                <w:b/>
                <w:noProof/>
                <w:sz w:val="22"/>
              </w:rPr>
              <w:t>Ime</w:t>
            </w:r>
          </w:p>
        </w:tc>
      </w:tr>
      <w:tr w:rsidR="00CB0219" w:rsidRPr="00DD6A04" w14:paraId="5C717F4A" w14:textId="77777777" w:rsidTr="00CB0219">
        <w:trPr>
          <w:trHeight w:val="309"/>
          <w:tblHeader/>
        </w:trPr>
        <w:tc>
          <w:tcPr>
            <w:tcW w:w="1247" w:type="dxa"/>
            <w:vMerge/>
            <w:vAlign w:val="center"/>
            <w:hideMark/>
          </w:tcPr>
          <w:p w14:paraId="176D5BB9" w14:textId="77777777" w:rsidR="00CB0219" w:rsidRPr="00DD6A04" w:rsidRDefault="00CB0219">
            <w:pPr>
              <w:spacing w:before="0" w:after="0" w:line="276" w:lineRule="auto"/>
              <w:jc w:val="center"/>
              <w:rPr>
                <w:rFonts w:eastAsia="Times New Roman"/>
                <w:b/>
                <w:noProof/>
                <w:sz w:val="22"/>
                <w:szCs w:val="24"/>
                <w:lang w:val="en-GB" w:eastAsia="en-GB"/>
              </w:rPr>
            </w:pPr>
          </w:p>
        </w:tc>
        <w:tc>
          <w:tcPr>
            <w:tcW w:w="3119" w:type="dxa"/>
            <w:vMerge/>
            <w:vAlign w:val="center"/>
            <w:hideMark/>
          </w:tcPr>
          <w:p w14:paraId="59648DE4" w14:textId="77777777" w:rsidR="00CB0219" w:rsidRPr="00DD6A04" w:rsidRDefault="00CB0219">
            <w:pPr>
              <w:spacing w:before="0" w:after="0" w:line="276" w:lineRule="auto"/>
              <w:rPr>
                <w:rFonts w:eastAsia="Times New Roman"/>
                <w:b/>
                <w:noProof/>
                <w:sz w:val="22"/>
                <w:szCs w:val="24"/>
                <w:lang w:val="en-GB" w:eastAsia="en-GB"/>
              </w:rPr>
            </w:pPr>
          </w:p>
        </w:tc>
        <w:tc>
          <w:tcPr>
            <w:tcW w:w="1247" w:type="dxa"/>
            <w:vMerge/>
            <w:vAlign w:val="center"/>
            <w:hideMark/>
          </w:tcPr>
          <w:p w14:paraId="01A43AD3" w14:textId="77777777" w:rsidR="00CB0219" w:rsidRPr="00DD6A04" w:rsidRDefault="00CB0219">
            <w:pPr>
              <w:spacing w:before="0" w:after="0" w:line="276" w:lineRule="auto"/>
              <w:rPr>
                <w:rFonts w:eastAsia="Times New Roman"/>
                <w:b/>
                <w:noProof/>
                <w:sz w:val="22"/>
                <w:szCs w:val="24"/>
                <w:lang w:val="en-GB" w:eastAsia="en-GB"/>
              </w:rPr>
            </w:pPr>
          </w:p>
        </w:tc>
        <w:tc>
          <w:tcPr>
            <w:tcW w:w="4139" w:type="dxa"/>
            <w:vMerge/>
            <w:vAlign w:val="center"/>
            <w:hideMark/>
          </w:tcPr>
          <w:p w14:paraId="14715FB6" w14:textId="77777777" w:rsidR="00CB0219" w:rsidRPr="00DD6A04" w:rsidRDefault="00CB0219">
            <w:pPr>
              <w:spacing w:before="0" w:after="0" w:line="276" w:lineRule="auto"/>
              <w:rPr>
                <w:rFonts w:eastAsia="Times New Roman"/>
                <w:b/>
                <w:noProof/>
                <w:sz w:val="22"/>
                <w:szCs w:val="24"/>
                <w:lang w:val="en-GB" w:eastAsia="en-GB"/>
              </w:rPr>
            </w:pPr>
          </w:p>
        </w:tc>
      </w:tr>
      <w:tr w:rsidR="006B726D" w:rsidRPr="00DD6A04" w14:paraId="77685164" w14:textId="77777777">
        <w:trPr>
          <w:trHeight w:val="302"/>
        </w:trPr>
        <w:tc>
          <w:tcPr>
            <w:tcW w:w="1247" w:type="dxa"/>
            <w:shd w:val="clear" w:color="auto" w:fill="C6EFCE"/>
            <w:noWrap/>
          </w:tcPr>
          <w:p w14:paraId="31A92B1F"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41E81EC6"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w:t>
            </w:r>
          </w:p>
          <w:p w14:paraId="092D2BBD" w14:textId="7EB97DFC"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4F3B865" w14:textId="00F17BF5" w:rsidR="006B726D" w:rsidRPr="00DD6A04" w:rsidRDefault="006B726D" w:rsidP="006B726D">
            <w:pPr>
              <w:spacing w:before="0" w:after="0" w:line="276" w:lineRule="auto"/>
              <w:rPr>
                <w:rFonts w:eastAsia="Times New Roman"/>
                <w:noProof/>
                <w:color w:val="006100"/>
                <w:sz w:val="22"/>
              </w:rPr>
            </w:pPr>
            <w:r>
              <w:rPr>
                <w:noProof/>
                <w:color w:val="006100"/>
                <w:sz w:val="22"/>
              </w:rPr>
              <w:t>A: Reforma spodbujanja obnovljivih virov energije v Sloveniji</w:t>
            </w:r>
          </w:p>
        </w:tc>
        <w:tc>
          <w:tcPr>
            <w:tcW w:w="1247" w:type="dxa"/>
            <w:shd w:val="clear" w:color="auto" w:fill="C6EFCE"/>
            <w:noWrap/>
          </w:tcPr>
          <w:p w14:paraId="34F5C027" w14:textId="4B2D1A4E"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2D95A41" w14:textId="1C56F3F0"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Začetek veljavnosti Zakona o spodbujanju rabe obnovljivih virov energije </w:t>
            </w:r>
          </w:p>
        </w:tc>
      </w:tr>
      <w:tr w:rsidR="006B726D" w:rsidRPr="00DD6A04" w14:paraId="7B77C6BB" w14:textId="77777777">
        <w:trPr>
          <w:trHeight w:val="302"/>
        </w:trPr>
        <w:tc>
          <w:tcPr>
            <w:tcW w:w="1247" w:type="dxa"/>
            <w:shd w:val="clear" w:color="auto" w:fill="C6EFCE"/>
            <w:noWrap/>
          </w:tcPr>
          <w:p w14:paraId="78DFB806"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39A3BEAF"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54</w:t>
            </w:r>
          </w:p>
          <w:p w14:paraId="364AD5BF"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FF6E311" w14:textId="59D706D4" w:rsidR="006B726D" w:rsidRPr="00DD6A04" w:rsidRDefault="006B726D" w:rsidP="006B726D">
            <w:pPr>
              <w:spacing w:before="0" w:after="0" w:line="276" w:lineRule="auto"/>
              <w:rPr>
                <w:rFonts w:eastAsia="Times New Roman"/>
                <w:noProof/>
                <w:color w:val="006100"/>
                <w:sz w:val="22"/>
              </w:rPr>
            </w:pPr>
            <w:r>
              <w:rPr>
                <w:noProof/>
                <w:color w:val="006100"/>
                <w:sz w:val="22"/>
              </w:rPr>
              <w:t>A: Reforma organiziranosti javnega potniškega prometa</w:t>
            </w:r>
          </w:p>
        </w:tc>
        <w:tc>
          <w:tcPr>
            <w:tcW w:w="1247" w:type="dxa"/>
            <w:shd w:val="clear" w:color="auto" w:fill="C6EFCE"/>
            <w:noWrap/>
          </w:tcPr>
          <w:p w14:paraId="6D71E57B" w14:textId="292DE941"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57D8583" w14:textId="615A2E37" w:rsidR="006B726D" w:rsidRPr="00DD6A04" w:rsidRDefault="006B726D" w:rsidP="006B726D">
            <w:pPr>
              <w:spacing w:before="0" w:after="0" w:line="276" w:lineRule="auto"/>
              <w:rPr>
                <w:rFonts w:eastAsia="Times New Roman"/>
                <w:noProof/>
                <w:color w:val="006100"/>
                <w:sz w:val="22"/>
              </w:rPr>
            </w:pPr>
            <w:r>
              <w:rPr>
                <w:noProof/>
                <w:color w:val="006100"/>
                <w:sz w:val="22"/>
              </w:rPr>
              <w:t>Začetek veljavnosti zakona o vzpostavitvi upravljavca integriranega javnega potniškega prometa</w:t>
            </w:r>
          </w:p>
        </w:tc>
      </w:tr>
      <w:tr w:rsidR="006B726D" w:rsidRPr="00DD6A04" w14:paraId="179E2A39" w14:textId="77777777">
        <w:trPr>
          <w:trHeight w:val="302"/>
        </w:trPr>
        <w:tc>
          <w:tcPr>
            <w:tcW w:w="1247" w:type="dxa"/>
            <w:shd w:val="clear" w:color="auto" w:fill="C6EFCE"/>
            <w:noWrap/>
          </w:tcPr>
          <w:p w14:paraId="5BABD862"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6A9910B9"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63</w:t>
            </w:r>
          </w:p>
          <w:p w14:paraId="0E65C25D"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0DE18FD" w14:textId="0D238358" w:rsidR="006B726D" w:rsidRPr="00DD6A04" w:rsidRDefault="006B726D" w:rsidP="006B726D">
            <w:pPr>
              <w:spacing w:before="0" w:after="0" w:line="276" w:lineRule="auto"/>
              <w:rPr>
                <w:rFonts w:eastAsia="Times New Roman"/>
                <w:noProof/>
                <w:color w:val="006100"/>
                <w:sz w:val="22"/>
              </w:rPr>
            </w:pPr>
            <w:r>
              <w:rPr>
                <w:noProof/>
                <w:color w:val="006100"/>
                <w:sz w:val="22"/>
              </w:rPr>
              <w:t>B: Reforma na področju uvajanja infrastrukture za alternativna goriva</w:t>
            </w:r>
          </w:p>
        </w:tc>
        <w:tc>
          <w:tcPr>
            <w:tcW w:w="1247" w:type="dxa"/>
            <w:shd w:val="clear" w:color="auto" w:fill="C6EFCE"/>
            <w:noWrap/>
          </w:tcPr>
          <w:p w14:paraId="13718C63" w14:textId="0BDED8FB" w:rsidR="006B726D" w:rsidRPr="00DD6A04" w:rsidRDefault="003B0C3E"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62369CA" w14:textId="26727D4B" w:rsidR="006B726D" w:rsidRPr="00DD6A04" w:rsidRDefault="006B726D" w:rsidP="006B726D">
            <w:pPr>
              <w:spacing w:before="0" w:after="0" w:line="276" w:lineRule="auto"/>
              <w:rPr>
                <w:rFonts w:eastAsia="Times New Roman"/>
                <w:noProof/>
                <w:color w:val="006100"/>
                <w:sz w:val="22"/>
              </w:rPr>
            </w:pPr>
            <w:r>
              <w:rPr>
                <w:noProof/>
                <w:color w:val="006100"/>
                <w:sz w:val="22"/>
              </w:rPr>
              <w:t>Začetek veljavnosti Zakona o alternativnih gorivih v prometu</w:t>
            </w:r>
          </w:p>
        </w:tc>
      </w:tr>
      <w:tr w:rsidR="006B726D" w:rsidRPr="00DD6A04" w14:paraId="5E2C538A" w14:textId="77777777">
        <w:trPr>
          <w:trHeight w:val="302"/>
        </w:trPr>
        <w:tc>
          <w:tcPr>
            <w:tcW w:w="1247" w:type="dxa"/>
            <w:shd w:val="clear" w:color="auto" w:fill="C6EFCE"/>
            <w:noWrap/>
          </w:tcPr>
          <w:p w14:paraId="113D742D"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7D9E9239"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71</w:t>
            </w:r>
          </w:p>
          <w:p w14:paraId="2A1C493E"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A328C38" w14:textId="475C9788" w:rsidR="006B726D" w:rsidRPr="00DD6A04" w:rsidRDefault="006B726D" w:rsidP="006B726D">
            <w:pPr>
              <w:spacing w:before="0" w:after="0" w:line="276" w:lineRule="auto"/>
              <w:rPr>
                <w:rFonts w:eastAsia="Times New Roman"/>
                <w:noProof/>
                <w:color w:val="006100"/>
                <w:sz w:val="22"/>
              </w:rPr>
            </w:pPr>
            <w:r>
              <w:rPr>
                <w:noProof/>
                <w:color w:val="006100"/>
                <w:sz w:val="22"/>
              </w:rPr>
              <w:t>A: Vzpostavitev okvira za trajnostno in zeleno transformacijo</w:t>
            </w:r>
          </w:p>
        </w:tc>
        <w:tc>
          <w:tcPr>
            <w:tcW w:w="1247" w:type="dxa"/>
            <w:shd w:val="clear" w:color="auto" w:fill="C6EFCE"/>
            <w:noWrap/>
          </w:tcPr>
          <w:p w14:paraId="2039F8C4" w14:textId="462E1BF1"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B09486C" w14:textId="71F2B6BA" w:rsidR="006B726D" w:rsidRPr="00DD6A04" w:rsidRDefault="006B726D" w:rsidP="006B726D">
            <w:pPr>
              <w:spacing w:before="0" w:after="0" w:line="276" w:lineRule="auto"/>
              <w:rPr>
                <w:rFonts w:eastAsia="Times New Roman"/>
                <w:noProof/>
                <w:color w:val="006100"/>
                <w:sz w:val="22"/>
              </w:rPr>
            </w:pPr>
            <w:r>
              <w:rPr>
                <w:noProof/>
                <w:color w:val="006100"/>
                <w:sz w:val="22"/>
              </w:rPr>
              <w:t>Operativna enotna točka za krožno gospodarstvo</w:t>
            </w:r>
          </w:p>
        </w:tc>
      </w:tr>
      <w:tr w:rsidR="006B726D" w:rsidRPr="00DD6A04" w14:paraId="1336E371" w14:textId="77777777">
        <w:trPr>
          <w:trHeight w:val="302"/>
        </w:trPr>
        <w:tc>
          <w:tcPr>
            <w:tcW w:w="1247" w:type="dxa"/>
            <w:shd w:val="clear" w:color="auto" w:fill="C6EFCE"/>
            <w:noWrap/>
          </w:tcPr>
          <w:p w14:paraId="0758F708"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7B09B250"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78</w:t>
            </w:r>
          </w:p>
          <w:p w14:paraId="4C9A67ED"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A91CD0E" w14:textId="3E0AA10C" w:rsidR="006B726D" w:rsidRPr="00DD6A04" w:rsidRDefault="006B726D" w:rsidP="006B726D">
            <w:pPr>
              <w:spacing w:before="0" w:after="0" w:line="276" w:lineRule="auto"/>
              <w:rPr>
                <w:rFonts w:eastAsia="Times New Roman"/>
                <w:noProof/>
                <w:color w:val="006100"/>
                <w:sz w:val="22"/>
              </w:rPr>
            </w:pPr>
            <w:r>
              <w:rPr>
                <w:noProof/>
                <w:color w:val="006100"/>
                <w:sz w:val="22"/>
              </w:rPr>
              <w:t>A: Digitalna transformacija gospodarstva (podjetij in industrije)</w:t>
            </w:r>
          </w:p>
        </w:tc>
        <w:tc>
          <w:tcPr>
            <w:tcW w:w="1247" w:type="dxa"/>
            <w:shd w:val="clear" w:color="auto" w:fill="C6EFCE"/>
            <w:noWrap/>
          </w:tcPr>
          <w:p w14:paraId="267489C0" w14:textId="38D1181C"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FD5414C" w14:textId="4896C057"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Smernice za inovativno javno naročanje </w:t>
            </w:r>
          </w:p>
        </w:tc>
      </w:tr>
      <w:tr w:rsidR="006B726D" w:rsidRPr="00DD6A04" w14:paraId="24C17968" w14:textId="77777777">
        <w:trPr>
          <w:trHeight w:val="302"/>
        </w:trPr>
        <w:tc>
          <w:tcPr>
            <w:tcW w:w="1247" w:type="dxa"/>
            <w:shd w:val="clear" w:color="auto" w:fill="C6EFCE"/>
            <w:noWrap/>
          </w:tcPr>
          <w:p w14:paraId="734B156B"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2281964B"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80</w:t>
            </w:r>
          </w:p>
          <w:p w14:paraId="5B29D477"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EC8B28B" w14:textId="606F8ECA"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B: Program digitalne transformacije industrije/podjetij </w:t>
            </w:r>
          </w:p>
        </w:tc>
        <w:tc>
          <w:tcPr>
            <w:tcW w:w="1247" w:type="dxa"/>
            <w:shd w:val="clear" w:color="auto" w:fill="C6EFCE"/>
            <w:noWrap/>
          </w:tcPr>
          <w:p w14:paraId="24766C1E" w14:textId="32C5C987"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E1E8AD8" w14:textId="68D11A54" w:rsidR="006B726D" w:rsidRPr="00DD6A04" w:rsidRDefault="006B726D" w:rsidP="006B726D">
            <w:pPr>
              <w:spacing w:before="0" w:after="0" w:line="276" w:lineRule="auto"/>
              <w:rPr>
                <w:rFonts w:eastAsia="Times New Roman"/>
                <w:noProof/>
                <w:color w:val="006100"/>
                <w:sz w:val="22"/>
              </w:rPr>
            </w:pPr>
            <w:r>
              <w:rPr>
                <w:noProof/>
                <w:color w:val="006100"/>
                <w:sz w:val="22"/>
              </w:rPr>
              <w:t>Oddaja naročil za projekte digitalne preobrazbe podjetij</w:t>
            </w:r>
          </w:p>
        </w:tc>
      </w:tr>
      <w:tr w:rsidR="006B726D" w:rsidRPr="00DD6A04" w14:paraId="73D59A23" w14:textId="77777777">
        <w:trPr>
          <w:trHeight w:val="302"/>
        </w:trPr>
        <w:tc>
          <w:tcPr>
            <w:tcW w:w="1247" w:type="dxa"/>
            <w:shd w:val="clear" w:color="auto" w:fill="C6EFCE"/>
            <w:noWrap/>
          </w:tcPr>
          <w:p w14:paraId="38EC0400"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516234AA"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81</w:t>
            </w:r>
          </w:p>
          <w:p w14:paraId="3E68B90D"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2900FDF" w14:textId="3F8B2E3B"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B: Program digitalne transformacije industrije/podjetij </w:t>
            </w:r>
          </w:p>
        </w:tc>
        <w:tc>
          <w:tcPr>
            <w:tcW w:w="1247" w:type="dxa"/>
            <w:shd w:val="clear" w:color="auto" w:fill="C6EFCE"/>
            <w:noWrap/>
          </w:tcPr>
          <w:p w14:paraId="7BBDCA48" w14:textId="59796A6B" w:rsidR="006B726D" w:rsidRPr="00DD6A04" w:rsidRDefault="006B726D" w:rsidP="006B726D">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B06180E" w14:textId="21F474AC" w:rsidR="006B726D" w:rsidRPr="00DD6A04" w:rsidRDefault="006B726D" w:rsidP="006B726D">
            <w:pPr>
              <w:spacing w:before="0" w:after="0" w:line="276" w:lineRule="auto"/>
              <w:rPr>
                <w:rFonts w:eastAsia="Times New Roman"/>
                <w:noProof/>
                <w:color w:val="006100"/>
                <w:sz w:val="22"/>
              </w:rPr>
            </w:pPr>
            <w:r>
              <w:rPr>
                <w:noProof/>
                <w:color w:val="006100"/>
                <w:sz w:val="22"/>
              </w:rPr>
              <w:t>Konzorciji podjetij z razvito digitalno strategijo</w:t>
            </w:r>
          </w:p>
        </w:tc>
      </w:tr>
      <w:tr w:rsidR="006B726D" w:rsidRPr="00DD6A04" w14:paraId="3B0F99A5" w14:textId="77777777">
        <w:trPr>
          <w:trHeight w:val="302"/>
        </w:trPr>
        <w:tc>
          <w:tcPr>
            <w:tcW w:w="1247" w:type="dxa"/>
            <w:shd w:val="clear" w:color="auto" w:fill="C6EFCE"/>
            <w:noWrap/>
          </w:tcPr>
          <w:p w14:paraId="3FFD427E" w14:textId="77777777" w:rsidR="006B726D" w:rsidRPr="00DD6A04" w:rsidRDefault="006B726D" w:rsidP="006B726D">
            <w:pPr>
              <w:spacing w:before="0" w:after="0" w:line="276" w:lineRule="auto"/>
              <w:rPr>
                <w:rFonts w:eastAsia="Times New Roman"/>
                <w:noProof/>
                <w:color w:val="006100"/>
                <w:sz w:val="22"/>
                <w:lang w:val="en-GB" w:eastAsia="en-GB"/>
              </w:rPr>
            </w:pPr>
          </w:p>
          <w:p w14:paraId="71ECAB45"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91</w:t>
            </w:r>
          </w:p>
          <w:p w14:paraId="64B2C2CD"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8E82424" w14:textId="1F736B8E"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B: Vzpostavitev okolja za uporabo e-storitev javne uprave </w:t>
            </w:r>
          </w:p>
        </w:tc>
        <w:tc>
          <w:tcPr>
            <w:tcW w:w="1247" w:type="dxa"/>
            <w:shd w:val="clear" w:color="auto" w:fill="C6EFCE"/>
            <w:noWrap/>
          </w:tcPr>
          <w:p w14:paraId="3CBF419C" w14:textId="29F1F93C"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1044D0EC" w14:textId="42F333AF" w:rsidR="006B726D" w:rsidRPr="00DD6A04" w:rsidRDefault="006B726D" w:rsidP="006B726D">
            <w:pPr>
              <w:spacing w:before="0" w:after="0" w:line="276" w:lineRule="auto"/>
              <w:rPr>
                <w:rFonts w:eastAsia="Times New Roman"/>
                <w:noProof/>
                <w:color w:val="006100"/>
                <w:sz w:val="22"/>
              </w:rPr>
            </w:pPr>
            <w:r>
              <w:rPr>
                <w:noProof/>
                <w:color w:val="006100"/>
                <w:sz w:val="22"/>
              </w:rPr>
              <w:t>Varni nacionalni dokumenti z e-identiteto</w:t>
            </w:r>
          </w:p>
        </w:tc>
      </w:tr>
      <w:tr w:rsidR="006B726D" w:rsidRPr="00DD6A04" w14:paraId="02927008" w14:textId="77777777">
        <w:trPr>
          <w:trHeight w:val="302"/>
        </w:trPr>
        <w:tc>
          <w:tcPr>
            <w:tcW w:w="1247" w:type="dxa"/>
            <w:shd w:val="clear" w:color="auto" w:fill="C6EFCE"/>
            <w:noWrap/>
          </w:tcPr>
          <w:p w14:paraId="0712A5F5"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71755243"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94</w:t>
            </w:r>
          </w:p>
          <w:p w14:paraId="3D937672"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D33D6EB" w14:textId="3CE1BF43" w:rsidR="006B726D" w:rsidRPr="00DD6A04" w:rsidRDefault="006B726D" w:rsidP="006B726D">
            <w:pPr>
              <w:spacing w:before="0" w:after="0" w:line="276" w:lineRule="auto"/>
              <w:rPr>
                <w:rFonts w:eastAsia="Times New Roman"/>
                <w:noProof/>
                <w:color w:val="006100"/>
                <w:sz w:val="22"/>
              </w:rPr>
            </w:pPr>
            <w:r>
              <w:rPr>
                <w:noProof/>
                <w:color w:val="006100"/>
                <w:sz w:val="22"/>
              </w:rPr>
              <w:t>F: Prehod v gigabitno družbo</w:t>
            </w:r>
          </w:p>
        </w:tc>
        <w:tc>
          <w:tcPr>
            <w:tcW w:w="1247" w:type="dxa"/>
            <w:shd w:val="clear" w:color="auto" w:fill="C6EFCE"/>
            <w:noWrap/>
          </w:tcPr>
          <w:p w14:paraId="28C8D79B" w14:textId="3B734EF9"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C040DCE" w14:textId="51A973EF"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Sprejetje Načrta razvoja širokopasovnih omrežij 2021–2025 </w:t>
            </w:r>
          </w:p>
        </w:tc>
      </w:tr>
      <w:tr w:rsidR="006B726D" w:rsidRPr="00DD6A04" w14:paraId="1305A739" w14:textId="77777777">
        <w:trPr>
          <w:trHeight w:val="302"/>
        </w:trPr>
        <w:tc>
          <w:tcPr>
            <w:tcW w:w="1247" w:type="dxa"/>
            <w:shd w:val="clear" w:color="auto" w:fill="C6EFCE"/>
            <w:noWrap/>
          </w:tcPr>
          <w:p w14:paraId="6CD16A9E"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38F42496"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110</w:t>
            </w:r>
          </w:p>
          <w:p w14:paraId="00A77AA9"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4195CFE" w14:textId="092C6BA2" w:rsidR="006B726D" w:rsidRPr="00DD6A04" w:rsidRDefault="006B726D" w:rsidP="006B726D">
            <w:pPr>
              <w:spacing w:before="0" w:after="0" w:line="276" w:lineRule="auto"/>
              <w:rPr>
                <w:rFonts w:eastAsia="Times New Roman"/>
                <w:noProof/>
                <w:color w:val="006100"/>
                <w:sz w:val="22"/>
              </w:rPr>
            </w:pPr>
            <w:r>
              <w:rPr>
                <w:noProof/>
                <w:color w:val="006100"/>
                <w:sz w:val="22"/>
              </w:rPr>
              <w:t>A: Delovanje in upravljanje RRI sistema</w:t>
            </w:r>
          </w:p>
        </w:tc>
        <w:tc>
          <w:tcPr>
            <w:tcW w:w="1247" w:type="dxa"/>
            <w:shd w:val="clear" w:color="auto" w:fill="C6EFCE"/>
            <w:noWrap/>
          </w:tcPr>
          <w:p w14:paraId="4C114D92" w14:textId="0829D0DD"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ED9C273" w14:textId="473E6BCD"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Začetek veljavnosti Zakona o znanstvenoraziskovalni in inovacijski dejavnosti </w:t>
            </w:r>
          </w:p>
        </w:tc>
      </w:tr>
      <w:tr w:rsidR="006B726D" w:rsidRPr="00DD6A04" w14:paraId="74D9DE93" w14:textId="77777777">
        <w:trPr>
          <w:trHeight w:val="302"/>
        </w:trPr>
        <w:tc>
          <w:tcPr>
            <w:tcW w:w="1247" w:type="dxa"/>
            <w:shd w:val="clear" w:color="auto" w:fill="C6EFCE"/>
            <w:noWrap/>
          </w:tcPr>
          <w:p w14:paraId="40BA762F"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4C54B354"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111</w:t>
            </w:r>
          </w:p>
          <w:p w14:paraId="603245CE"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3ACDF55" w14:textId="68707794" w:rsidR="006B726D" w:rsidRPr="00DD6A04" w:rsidRDefault="006B726D" w:rsidP="006B726D">
            <w:pPr>
              <w:spacing w:before="0" w:after="0" w:line="276" w:lineRule="auto"/>
              <w:rPr>
                <w:rFonts w:eastAsia="Times New Roman"/>
                <w:noProof/>
                <w:color w:val="006100"/>
                <w:sz w:val="22"/>
              </w:rPr>
            </w:pPr>
            <w:r>
              <w:rPr>
                <w:noProof/>
                <w:color w:val="006100"/>
                <w:sz w:val="22"/>
              </w:rPr>
              <w:t>A: Delovanje in upravljanje RRI sistema</w:t>
            </w:r>
          </w:p>
        </w:tc>
        <w:tc>
          <w:tcPr>
            <w:tcW w:w="1247" w:type="dxa"/>
            <w:shd w:val="clear" w:color="auto" w:fill="C6EFCE"/>
            <w:noWrap/>
          </w:tcPr>
          <w:p w14:paraId="1A007E26" w14:textId="3DA84F58"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1FF4291C" w14:textId="7CF8AFFE" w:rsidR="006B726D" w:rsidRPr="00DD6A04" w:rsidRDefault="006B726D" w:rsidP="006B726D">
            <w:pPr>
              <w:spacing w:before="0" w:after="0" w:line="276" w:lineRule="auto"/>
              <w:rPr>
                <w:rFonts w:eastAsia="Times New Roman"/>
                <w:noProof/>
                <w:color w:val="006100"/>
                <w:sz w:val="22"/>
              </w:rPr>
            </w:pPr>
            <w:r>
              <w:rPr>
                <w:noProof/>
                <w:color w:val="006100"/>
                <w:sz w:val="22"/>
              </w:rPr>
              <w:t>Ustanovljen in operativen skupni Programski odbor</w:t>
            </w:r>
          </w:p>
        </w:tc>
      </w:tr>
      <w:tr w:rsidR="006B726D" w:rsidRPr="00DD6A04" w14:paraId="6F6C1D15" w14:textId="77777777">
        <w:trPr>
          <w:trHeight w:val="302"/>
        </w:trPr>
        <w:tc>
          <w:tcPr>
            <w:tcW w:w="1247" w:type="dxa"/>
            <w:shd w:val="clear" w:color="auto" w:fill="C6EFCE"/>
            <w:noWrap/>
          </w:tcPr>
          <w:p w14:paraId="6B8498FC"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58EDE32C"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125</w:t>
            </w:r>
          </w:p>
          <w:p w14:paraId="18E3FDCD"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D8C6701" w14:textId="3930F0EB" w:rsidR="006B726D" w:rsidRPr="00DD6A04" w:rsidRDefault="006B726D" w:rsidP="006B726D">
            <w:pPr>
              <w:spacing w:before="0" w:after="0" w:line="276" w:lineRule="auto"/>
              <w:rPr>
                <w:rFonts w:eastAsia="Times New Roman"/>
                <w:noProof/>
                <w:color w:val="006100"/>
                <w:sz w:val="22"/>
              </w:rPr>
            </w:pPr>
            <w:r>
              <w:rPr>
                <w:noProof/>
                <w:color w:val="006100"/>
                <w:sz w:val="22"/>
              </w:rPr>
              <w:t>A: Krepitev kapitalskih trgov</w:t>
            </w:r>
          </w:p>
        </w:tc>
        <w:tc>
          <w:tcPr>
            <w:tcW w:w="1247" w:type="dxa"/>
            <w:shd w:val="clear" w:color="auto" w:fill="C6EFCE"/>
            <w:noWrap/>
          </w:tcPr>
          <w:p w14:paraId="0E5880C9" w14:textId="25972A5C"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4515664" w14:textId="3340CDBC" w:rsidR="006B726D" w:rsidRPr="00DD6A04" w:rsidRDefault="006B726D" w:rsidP="006B726D">
            <w:pPr>
              <w:spacing w:before="0" w:after="0" w:line="276" w:lineRule="auto"/>
              <w:rPr>
                <w:rFonts w:eastAsia="Times New Roman"/>
                <w:noProof/>
                <w:color w:val="006100"/>
                <w:sz w:val="22"/>
              </w:rPr>
            </w:pPr>
            <w:r>
              <w:rPr>
                <w:noProof/>
                <w:color w:val="006100"/>
                <w:sz w:val="22"/>
              </w:rPr>
              <w:t>Sprejetje strategije razvoja kapitalskega trga</w:t>
            </w:r>
          </w:p>
        </w:tc>
      </w:tr>
      <w:tr w:rsidR="006B726D" w:rsidRPr="00DD6A04" w14:paraId="008D1223" w14:textId="77777777">
        <w:trPr>
          <w:trHeight w:val="302"/>
        </w:trPr>
        <w:tc>
          <w:tcPr>
            <w:tcW w:w="1247" w:type="dxa"/>
            <w:shd w:val="clear" w:color="auto" w:fill="C6EFCE"/>
            <w:noWrap/>
          </w:tcPr>
          <w:p w14:paraId="5821759E"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16AA23D0"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127</w:t>
            </w:r>
          </w:p>
          <w:p w14:paraId="3B8B4DB2"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A307FE0" w14:textId="182CAE3E"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B: Produktivnejše gospodarstvo za digitalni in zeleni prehod </w:t>
            </w:r>
          </w:p>
        </w:tc>
        <w:tc>
          <w:tcPr>
            <w:tcW w:w="1247" w:type="dxa"/>
            <w:shd w:val="clear" w:color="auto" w:fill="C6EFCE"/>
            <w:noWrap/>
          </w:tcPr>
          <w:p w14:paraId="61A6A8E3" w14:textId="05254589"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1A9F79D" w14:textId="01E9576A" w:rsidR="006B726D" w:rsidRPr="00DD6A04" w:rsidRDefault="006B726D" w:rsidP="006B726D">
            <w:pPr>
              <w:spacing w:before="0" w:after="0" w:line="276" w:lineRule="auto"/>
              <w:rPr>
                <w:rFonts w:eastAsia="Times New Roman"/>
                <w:noProof/>
                <w:color w:val="006100"/>
                <w:sz w:val="22"/>
              </w:rPr>
            </w:pPr>
            <w:r>
              <w:rPr>
                <w:noProof/>
                <w:color w:val="006100"/>
                <w:sz w:val="22"/>
              </w:rPr>
              <w:t>Začetek veljavnosti izvedbenega predpisa Zakona o spodbujanju investicij</w:t>
            </w:r>
          </w:p>
        </w:tc>
      </w:tr>
      <w:tr w:rsidR="006B726D" w:rsidRPr="00DD6A04" w14:paraId="0FFAF2E2" w14:textId="77777777">
        <w:trPr>
          <w:trHeight w:val="302"/>
        </w:trPr>
        <w:tc>
          <w:tcPr>
            <w:tcW w:w="1247" w:type="dxa"/>
            <w:shd w:val="clear" w:color="auto" w:fill="C6EFCE"/>
            <w:noWrap/>
          </w:tcPr>
          <w:p w14:paraId="6FCB2B49"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60488F0C"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128</w:t>
            </w:r>
          </w:p>
          <w:p w14:paraId="76DE92D0"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3B31C10" w14:textId="5AA4B61F" w:rsidR="006B726D" w:rsidRPr="00DD6A04" w:rsidRDefault="006B726D" w:rsidP="006B726D">
            <w:pPr>
              <w:spacing w:before="0" w:after="0" w:line="276" w:lineRule="auto"/>
              <w:rPr>
                <w:rFonts w:eastAsia="Times New Roman"/>
                <w:noProof/>
                <w:color w:val="006100"/>
                <w:sz w:val="22"/>
              </w:rPr>
            </w:pPr>
            <w:r>
              <w:rPr>
                <w:noProof/>
                <w:color w:val="006100"/>
                <w:sz w:val="22"/>
              </w:rPr>
              <w:t>C: Podpora za dekarbonizacijo, produktivnost in konkurenčnost podjetij</w:t>
            </w:r>
          </w:p>
        </w:tc>
        <w:tc>
          <w:tcPr>
            <w:tcW w:w="1247" w:type="dxa"/>
            <w:shd w:val="clear" w:color="auto" w:fill="C6EFCE"/>
            <w:noWrap/>
          </w:tcPr>
          <w:p w14:paraId="19487E3D" w14:textId="7BEB9947"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D1F9745" w14:textId="417025E5"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Izdaja sklepov o sofinanciranju projektov v podporo regionalnemu razvoju </w:t>
            </w:r>
          </w:p>
        </w:tc>
      </w:tr>
      <w:tr w:rsidR="006B726D" w:rsidRPr="00DD6A04" w14:paraId="5AF81E2B" w14:textId="77777777">
        <w:trPr>
          <w:trHeight w:val="302"/>
        </w:trPr>
        <w:tc>
          <w:tcPr>
            <w:tcW w:w="1247" w:type="dxa"/>
            <w:shd w:val="clear" w:color="auto" w:fill="C6EFCE"/>
            <w:noWrap/>
          </w:tcPr>
          <w:p w14:paraId="552DFFF0"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60C082A3"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133</w:t>
            </w:r>
          </w:p>
          <w:p w14:paraId="0FC9100A"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F78FE51" w14:textId="546088FF" w:rsidR="006B726D" w:rsidRPr="00DD6A04" w:rsidRDefault="006B726D" w:rsidP="006B726D">
            <w:pPr>
              <w:spacing w:before="0" w:after="0" w:line="276" w:lineRule="auto"/>
              <w:rPr>
                <w:rFonts w:eastAsia="Times New Roman"/>
                <w:noProof/>
                <w:color w:val="006100"/>
                <w:sz w:val="22"/>
              </w:rPr>
            </w:pPr>
            <w:r>
              <w:rPr>
                <w:noProof/>
                <w:color w:val="006100"/>
                <w:sz w:val="22"/>
              </w:rPr>
              <w:t>D: Zagotavljanje inovativnih ekosistemov ekonomsko-poslovne infrastrukture</w:t>
            </w:r>
          </w:p>
        </w:tc>
        <w:tc>
          <w:tcPr>
            <w:tcW w:w="1247" w:type="dxa"/>
            <w:shd w:val="clear" w:color="auto" w:fill="C6EFCE"/>
            <w:noWrap/>
          </w:tcPr>
          <w:p w14:paraId="4FC1231F" w14:textId="16747A0D"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F6D30DB" w14:textId="454F354A"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Izdaja sklepov o sofinanciranju za ekosisteme inovativne poslovne infrastrukture </w:t>
            </w:r>
          </w:p>
        </w:tc>
      </w:tr>
      <w:tr w:rsidR="006B726D" w:rsidRPr="00DD6A04" w14:paraId="7E5B333F" w14:textId="77777777">
        <w:trPr>
          <w:trHeight w:val="302"/>
        </w:trPr>
        <w:tc>
          <w:tcPr>
            <w:tcW w:w="1247" w:type="dxa"/>
            <w:shd w:val="clear" w:color="auto" w:fill="C6EFCE"/>
            <w:noWrap/>
          </w:tcPr>
          <w:p w14:paraId="4505E65E"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0E637A3F"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160</w:t>
            </w:r>
          </w:p>
          <w:p w14:paraId="21D4B9C2"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8E6FB53" w14:textId="19556B0D"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F: Pilotni projekti za reformo visokega šolstva za zelen in odporen prehod </w:t>
            </w:r>
          </w:p>
        </w:tc>
        <w:tc>
          <w:tcPr>
            <w:tcW w:w="1247" w:type="dxa"/>
            <w:shd w:val="clear" w:color="auto" w:fill="C6EFCE"/>
            <w:noWrap/>
          </w:tcPr>
          <w:p w14:paraId="504493AA" w14:textId="7CF892FB"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1E1CBFA" w14:textId="672BAF67"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Dokončan izbor pilotnih projektov za prenovo visokošolskega študijskega procesa </w:t>
            </w:r>
          </w:p>
        </w:tc>
      </w:tr>
      <w:tr w:rsidR="006B726D" w:rsidRPr="00DD6A04" w14:paraId="0282308A" w14:textId="77777777">
        <w:trPr>
          <w:trHeight w:val="302"/>
        </w:trPr>
        <w:tc>
          <w:tcPr>
            <w:tcW w:w="1247" w:type="dxa"/>
            <w:shd w:val="clear" w:color="auto" w:fill="C6EFCE"/>
            <w:noWrap/>
          </w:tcPr>
          <w:p w14:paraId="11F4E4F4"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7B0012A5"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172</w:t>
            </w:r>
          </w:p>
          <w:p w14:paraId="2B53B3F7"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52BC64C" w14:textId="4CD83203" w:rsidR="006B726D" w:rsidRPr="00DD6A04" w:rsidRDefault="006B726D" w:rsidP="006B726D">
            <w:pPr>
              <w:spacing w:before="0" w:after="0" w:line="276" w:lineRule="auto"/>
              <w:rPr>
                <w:rFonts w:eastAsia="Times New Roman"/>
                <w:noProof/>
                <w:color w:val="006100"/>
                <w:sz w:val="22"/>
              </w:rPr>
            </w:pPr>
            <w:r>
              <w:rPr>
                <w:noProof/>
                <w:color w:val="006100"/>
                <w:sz w:val="22"/>
              </w:rPr>
              <w:t>A: Odpravljanje administrativnih ovir</w:t>
            </w:r>
          </w:p>
        </w:tc>
        <w:tc>
          <w:tcPr>
            <w:tcW w:w="1247" w:type="dxa"/>
            <w:shd w:val="clear" w:color="auto" w:fill="C6EFCE"/>
            <w:noWrap/>
          </w:tcPr>
          <w:p w14:paraId="3B633AF6" w14:textId="1D03707D"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8D9B1AD" w14:textId="27FF2542" w:rsidR="006B726D" w:rsidRPr="00DD6A04" w:rsidRDefault="006B726D" w:rsidP="006B726D">
            <w:pPr>
              <w:spacing w:before="0" w:after="0" w:line="276" w:lineRule="auto"/>
              <w:rPr>
                <w:rFonts w:eastAsia="Times New Roman"/>
                <w:noProof/>
                <w:color w:val="006100"/>
                <w:sz w:val="22"/>
              </w:rPr>
            </w:pPr>
            <w:r>
              <w:rPr>
                <w:noProof/>
                <w:color w:val="006100"/>
                <w:sz w:val="22"/>
              </w:rPr>
              <w:t xml:space="preserve">Začetek veljavnosti Drugega zakona o debirokratizaciji </w:t>
            </w:r>
          </w:p>
        </w:tc>
      </w:tr>
      <w:tr w:rsidR="006B726D" w:rsidRPr="00DD6A04" w14:paraId="7DF43B6E" w14:textId="77777777">
        <w:trPr>
          <w:trHeight w:val="302"/>
        </w:trPr>
        <w:tc>
          <w:tcPr>
            <w:tcW w:w="1247" w:type="dxa"/>
            <w:shd w:val="clear" w:color="auto" w:fill="C6EFCE"/>
            <w:noWrap/>
          </w:tcPr>
          <w:p w14:paraId="02451126"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68190A6E" w14:textId="2EAF8CD0" w:rsidR="006B726D" w:rsidRPr="00DD6A04" w:rsidRDefault="006B726D" w:rsidP="006B726D">
            <w:pPr>
              <w:spacing w:before="0" w:after="0" w:line="276" w:lineRule="auto"/>
              <w:jc w:val="center"/>
              <w:rPr>
                <w:rFonts w:eastAsia="Times New Roman"/>
                <w:noProof/>
                <w:color w:val="006100"/>
                <w:sz w:val="22"/>
              </w:rPr>
            </w:pPr>
            <w:r>
              <w:rPr>
                <w:noProof/>
                <w:color w:val="006100"/>
                <w:sz w:val="22"/>
              </w:rPr>
              <w:t>176</w:t>
            </w:r>
          </w:p>
        </w:tc>
        <w:tc>
          <w:tcPr>
            <w:tcW w:w="3119" w:type="dxa"/>
            <w:shd w:val="clear" w:color="auto" w:fill="C6EFCE"/>
            <w:noWrap/>
          </w:tcPr>
          <w:p w14:paraId="23B1FE05" w14:textId="1FB9CF46" w:rsidR="006B726D" w:rsidRPr="00DD6A04" w:rsidRDefault="006B726D" w:rsidP="006B726D">
            <w:pPr>
              <w:spacing w:before="0" w:after="0" w:line="276" w:lineRule="auto"/>
              <w:rPr>
                <w:rFonts w:eastAsia="Times New Roman"/>
                <w:noProof/>
                <w:color w:val="006100"/>
                <w:sz w:val="22"/>
              </w:rPr>
            </w:pPr>
            <w:r>
              <w:rPr>
                <w:noProof/>
                <w:color w:val="006100"/>
                <w:sz w:val="22"/>
              </w:rPr>
              <w:t>C: Ustvarjanje sistemskih pogojev za rast investicij</w:t>
            </w:r>
          </w:p>
        </w:tc>
        <w:tc>
          <w:tcPr>
            <w:tcW w:w="1247" w:type="dxa"/>
            <w:shd w:val="clear" w:color="auto" w:fill="C6EFCE"/>
            <w:noWrap/>
          </w:tcPr>
          <w:p w14:paraId="7E6ADA68" w14:textId="36517464"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449CAC1" w14:textId="6DEAF080" w:rsidR="006B726D" w:rsidRPr="00DD6A04" w:rsidRDefault="006B726D" w:rsidP="006B726D">
            <w:pPr>
              <w:spacing w:before="0" w:after="0" w:line="276" w:lineRule="auto"/>
              <w:rPr>
                <w:rFonts w:eastAsia="Times New Roman"/>
                <w:noProof/>
                <w:color w:val="006100"/>
                <w:sz w:val="22"/>
              </w:rPr>
            </w:pPr>
            <w:r>
              <w:rPr>
                <w:noProof/>
                <w:color w:val="006100"/>
                <w:sz w:val="22"/>
              </w:rPr>
              <w:t>Opravljena tehnična pomoč za podporo izvajanju reform javnega naročanja</w:t>
            </w:r>
          </w:p>
        </w:tc>
      </w:tr>
      <w:tr w:rsidR="006B726D" w:rsidRPr="00DD6A04" w14:paraId="182C262A" w14:textId="77777777">
        <w:trPr>
          <w:trHeight w:val="302"/>
        </w:trPr>
        <w:tc>
          <w:tcPr>
            <w:tcW w:w="1247" w:type="dxa"/>
            <w:shd w:val="clear" w:color="auto" w:fill="C6EFCE"/>
            <w:noWrap/>
          </w:tcPr>
          <w:p w14:paraId="691945F9" w14:textId="77777777" w:rsidR="006B726D" w:rsidRPr="00DD6A04" w:rsidRDefault="006B726D" w:rsidP="006B726D">
            <w:pPr>
              <w:spacing w:before="0" w:after="0" w:line="276" w:lineRule="auto"/>
              <w:jc w:val="center"/>
              <w:rPr>
                <w:rFonts w:eastAsia="Times New Roman"/>
                <w:noProof/>
                <w:color w:val="006100"/>
                <w:sz w:val="22"/>
                <w:lang w:val="en-GB" w:eastAsia="en-GB"/>
              </w:rPr>
            </w:pPr>
          </w:p>
          <w:p w14:paraId="099E5BD2" w14:textId="77777777" w:rsidR="006B726D" w:rsidRPr="00DD6A04" w:rsidRDefault="006B726D" w:rsidP="006B726D">
            <w:pPr>
              <w:spacing w:before="0" w:after="0" w:line="276" w:lineRule="auto"/>
              <w:jc w:val="center"/>
              <w:rPr>
                <w:rFonts w:eastAsia="Times New Roman"/>
                <w:noProof/>
                <w:color w:val="006100"/>
                <w:sz w:val="22"/>
              </w:rPr>
            </w:pPr>
            <w:r>
              <w:rPr>
                <w:noProof/>
                <w:color w:val="006100"/>
                <w:sz w:val="22"/>
              </w:rPr>
              <w:t>180</w:t>
            </w:r>
          </w:p>
          <w:p w14:paraId="7008B5F9"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93A05F9" w14:textId="1B352C28" w:rsidR="006B726D" w:rsidRPr="00DD6A04" w:rsidRDefault="006B726D" w:rsidP="006B726D">
            <w:pPr>
              <w:spacing w:before="0" w:after="0" w:line="276" w:lineRule="auto"/>
              <w:rPr>
                <w:rFonts w:eastAsia="Times New Roman"/>
                <w:noProof/>
                <w:color w:val="006100"/>
                <w:sz w:val="22"/>
              </w:rPr>
            </w:pPr>
            <w:r>
              <w:rPr>
                <w:noProof/>
                <w:color w:val="006100"/>
                <w:sz w:val="22"/>
              </w:rPr>
              <w:t>C: Ustvarjanje sistemskih pogojev za rast investicij</w:t>
            </w:r>
          </w:p>
        </w:tc>
        <w:tc>
          <w:tcPr>
            <w:tcW w:w="1247" w:type="dxa"/>
            <w:shd w:val="clear" w:color="auto" w:fill="C6EFCE"/>
            <w:noWrap/>
          </w:tcPr>
          <w:p w14:paraId="6203E650" w14:textId="61EBBC17" w:rsidR="006B726D" w:rsidRPr="00DD6A04" w:rsidRDefault="006B726D" w:rsidP="006B726D">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AA7887E" w14:textId="2B9BBC16" w:rsidR="006B726D" w:rsidRPr="00DD6A04" w:rsidRDefault="006B726D" w:rsidP="006B726D">
            <w:pPr>
              <w:spacing w:before="0" w:after="0" w:line="276" w:lineRule="auto"/>
              <w:rPr>
                <w:rFonts w:eastAsia="Times New Roman"/>
                <w:noProof/>
                <w:color w:val="006100"/>
                <w:sz w:val="22"/>
              </w:rPr>
            </w:pPr>
            <w:r>
              <w:rPr>
                <w:noProof/>
                <w:color w:val="006100"/>
                <w:sz w:val="22"/>
              </w:rPr>
              <w:t>Začetek veljavnosti sprememb Gradbenega zakona in Zakona o urejanju prostora</w:t>
            </w:r>
          </w:p>
        </w:tc>
      </w:tr>
      <w:tr w:rsidR="006B726D" w:rsidRPr="00DD6A04" w14:paraId="1690F977" w14:textId="77777777">
        <w:trPr>
          <w:trHeight w:val="302"/>
        </w:trPr>
        <w:tc>
          <w:tcPr>
            <w:tcW w:w="1247" w:type="dxa"/>
            <w:shd w:val="clear" w:color="auto" w:fill="C6EFCE"/>
            <w:noWrap/>
            <w:vAlign w:val="bottom"/>
          </w:tcPr>
          <w:p w14:paraId="0413A79D" w14:textId="77777777" w:rsidR="006B726D" w:rsidRPr="00DD6A04" w:rsidRDefault="006B726D" w:rsidP="006B726D">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0111EAFC" w14:textId="77777777" w:rsidR="006B726D" w:rsidRPr="00DD6A04" w:rsidRDefault="006B726D" w:rsidP="006B726D">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27707AD3" w14:textId="2D9CDDFA" w:rsidR="006B726D" w:rsidRPr="00DD6A04" w:rsidRDefault="006B726D" w:rsidP="006B726D">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2124A9C0" w14:textId="76BD086B" w:rsidR="006B726D" w:rsidRPr="00DD6A04" w:rsidRDefault="006B726D" w:rsidP="006B726D">
            <w:pPr>
              <w:spacing w:before="0" w:after="0" w:line="276" w:lineRule="auto"/>
              <w:rPr>
                <w:rFonts w:eastAsia="Times New Roman"/>
                <w:noProof/>
                <w:color w:val="006100"/>
                <w:sz w:val="22"/>
              </w:rPr>
            </w:pPr>
            <w:r>
              <w:rPr>
                <w:b/>
                <w:noProof/>
                <w:color w:val="006100"/>
                <w:sz w:val="22"/>
              </w:rPr>
              <w:t>147 498 852 EUR</w:t>
            </w:r>
          </w:p>
        </w:tc>
      </w:tr>
    </w:tbl>
    <w:p w14:paraId="7331E934" w14:textId="77777777" w:rsidR="003C6015" w:rsidRPr="00DD6A04" w:rsidRDefault="003C6015" w:rsidP="003C6015">
      <w:pPr>
        <w:spacing w:before="0" w:after="200" w:line="276" w:lineRule="auto"/>
        <w:rPr>
          <w:rFonts w:ascii="Calibri" w:hAnsi="Calibri"/>
          <w:noProof/>
          <w:sz w:val="22"/>
          <w:lang w:val="en-GB"/>
        </w:rPr>
      </w:pPr>
    </w:p>
    <w:p w14:paraId="60A859F3" w14:textId="77777777" w:rsidR="002E7B11" w:rsidRPr="00DD6A04" w:rsidRDefault="002E7B11" w:rsidP="002E7B11">
      <w:pPr>
        <w:spacing w:before="0" w:after="200" w:line="240" w:lineRule="auto"/>
        <w:ind w:left="850"/>
        <w:jc w:val="both"/>
        <w:rPr>
          <w:noProof/>
          <w:lang w:val="en-GB"/>
        </w:rPr>
      </w:pPr>
    </w:p>
    <w:p w14:paraId="6261D504" w14:textId="77777777" w:rsidR="002E7B11" w:rsidRPr="00DD6A04" w:rsidRDefault="002E7B11" w:rsidP="00BD7FBD">
      <w:pPr>
        <w:numPr>
          <w:ilvl w:val="1"/>
          <w:numId w:val="19"/>
        </w:numPr>
        <w:spacing w:before="0" w:after="200" w:line="240" w:lineRule="auto"/>
        <w:jc w:val="both"/>
        <w:rPr>
          <w:noProof/>
          <w:lang w:val="en-GB"/>
        </w:rPr>
        <w:sectPr w:rsidR="002E7B11" w:rsidRPr="00DD6A04" w:rsidSect="00073927">
          <w:headerReference w:type="even" r:id="rId294"/>
          <w:headerReference w:type="default" r:id="rId295"/>
          <w:footerReference w:type="even" r:id="rId296"/>
          <w:footerReference w:type="default" r:id="rId297"/>
          <w:headerReference w:type="first" r:id="rId298"/>
          <w:footerReference w:type="first" r:id="rId299"/>
          <w:footnotePr>
            <w:numRestart w:val="eachPage"/>
          </w:footnotePr>
          <w:pgSz w:w="11907" w:h="16839"/>
          <w:pgMar w:top="1134" w:right="1134" w:bottom="1134" w:left="1134" w:header="567" w:footer="567" w:gutter="0"/>
          <w:cols w:space="720"/>
          <w:docGrid w:linePitch="360"/>
        </w:sectPr>
      </w:pPr>
    </w:p>
    <w:p w14:paraId="5CCC5903" w14:textId="72AFE31A" w:rsidR="003C6015" w:rsidRPr="00DD6A04" w:rsidRDefault="003C6015" w:rsidP="00BD7FBD">
      <w:pPr>
        <w:numPr>
          <w:ilvl w:val="1"/>
          <w:numId w:val="19"/>
        </w:numPr>
        <w:spacing w:before="0" w:after="200" w:line="240" w:lineRule="auto"/>
        <w:jc w:val="both"/>
        <w:rPr>
          <w:noProof/>
        </w:rPr>
      </w:pPr>
      <w:r>
        <w:rPr>
          <w:noProof/>
        </w:rPr>
        <w:t>Tretji obrok (nepovratna podpora):</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CB0219" w:rsidRPr="00DD6A04" w14:paraId="735BE94A" w14:textId="77777777" w:rsidTr="150EC00E">
        <w:trPr>
          <w:trHeight w:val="567"/>
          <w:tblHeader/>
        </w:trPr>
        <w:tc>
          <w:tcPr>
            <w:tcW w:w="1247" w:type="dxa"/>
            <w:vMerge w:val="restart"/>
            <w:shd w:val="clear" w:color="auto" w:fill="BDD7EE"/>
            <w:vAlign w:val="center"/>
            <w:hideMark/>
          </w:tcPr>
          <w:p w14:paraId="1AE4D77B" w14:textId="77777777" w:rsidR="00CB0219" w:rsidRPr="00DD6A04" w:rsidRDefault="00CB0219">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582B4A6C" w14:textId="77777777" w:rsidR="00CB0219" w:rsidRPr="00DD6A04" w:rsidRDefault="00CB0219">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0FD2E8AE" w14:textId="77777777" w:rsidR="00CB0219" w:rsidRPr="00DD6A04" w:rsidRDefault="00CB0219">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29350DB7" w14:textId="77777777" w:rsidR="00CB0219" w:rsidRPr="00DD6A04" w:rsidRDefault="00CB0219">
            <w:pPr>
              <w:spacing w:before="0" w:after="0" w:line="276" w:lineRule="auto"/>
              <w:jc w:val="center"/>
              <w:rPr>
                <w:rFonts w:eastAsia="Times New Roman"/>
                <w:b/>
                <w:noProof/>
                <w:sz w:val="22"/>
              </w:rPr>
            </w:pPr>
            <w:r>
              <w:rPr>
                <w:b/>
                <w:noProof/>
                <w:sz w:val="22"/>
              </w:rPr>
              <w:t>Ime</w:t>
            </w:r>
          </w:p>
        </w:tc>
      </w:tr>
      <w:tr w:rsidR="00CB0219" w:rsidRPr="00DD6A04" w14:paraId="6F52B57F" w14:textId="77777777" w:rsidTr="150EC00E">
        <w:trPr>
          <w:trHeight w:val="309"/>
          <w:tblHeader/>
        </w:trPr>
        <w:tc>
          <w:tcPr>
            <w:tcW w:w="1247" w:type="dxa"/>
            <w:vMerge/>
            <w:vAlign w:val="center"/>
            <w:hideMark/>
          </w:tcPr>
          <w:p w14:paraId="2811A47C" w14:textId="77777777" w:rsidR="00CB0219" w:rsidRPr="00DD6A04" w:rsidRDefault="00CB0219">
            <w:pPr>
              <w:spacing w:before="0" w:after="0" w:line="276" w:lineRule="auto"/>
              <w:jc w:val="center"/>
              <w:rPr>
                <w:rFonts w:eastAsia="Times New Roman"/>
                <w:b/>
                <w:noProof/>
                <w:sz w:val="22"/>
                <w:szCs w:val="24"/>
                <w:lang w:val="en-GB" w:eastAsia="en-GB"/>
              </w:rPr>
            </w:pPr>
          </w:p>
        </w:tc>
        <w:tc>
          <w:tcPr>
            <w:tcW w:w="3119" w:type="dxa"/>
            <w:vMerge/>
            <w:vAlign w:val="center"/>
            <w:hideMark/>
          </w:tcPr>
          <w:p w14:paraId="47DFF267" w14:textId="77777777" w:rsidR="00CB0219" w:rsidRPr="00DD6A04" w:rsidRDefault="00CB0219">
            <w:pPr>
              <w:spacing w:before="0" w:after="0" w:line="276" w:lineRule="auto"/>
              <w:rPr>
                <w:rFonts w:eastAsia="Times New Roman"/>
                <w:b/>
                <w:noProof/>
                <w:sz w:val="22"/>
                <w:szCs w:val="24"/>
                <w:lang w:val="en-GB" w:eastAsia="en-GB"/>
              </w:rPr>
            </w:pPr>
          </w:p>
        </w:tc>
        <w:tc>
          <w:tcPr>
            <w:tcW w:w="1247" w:type="dxa"/>
            <w:vMerge/>
            <w:vAlign w:val="center"/>
            <w:hideMark/>
          </w:tcPr>
          <w:p w14:paraId="75632C96" w14:textId="77777777" w:rsidR="00CB0219" w:rsidRPr="00DD6A04" w:rsidRDefault="00CB0219">
            <w:pPr>
              <w:spacing w:before="0" w:after="0" w:line="276" w:lineRule="auto"/>
              <w:rPr>
                <w:rFonts w:eastAsia="Times New Roman"/>
                <w:b/>
                <w:noProof/>
                <w:sz w:val="22"/>
                <w:szCs w:val="24"/>
                <w:lang w:val="en-GB" w:eastAsia="en-GB"/>
              </w:rPr>
            </w:pPr>
          </w:p>
        </w:tc>
        <w:tc>
          <w:tcPr>
            <w:tcW w:w="4139" w:type="dxa"/>
            <w:vMerge/>
            <w:vAlign w:val="center"/>
            <w:hideMark/>
          </w:tcPr>
          <w:p w14:paraId="78B26828" w14:textId="77777777" w:rsidR="00CB0219" w:rsidRPr="00DD6A04" w:rsidRDefault="00CB0219">
            <w:pPr>
              <w:spacing w:before="0" w:after="0" w:line="276" w:lineRule="auto"/>
              <w:rPr>
                <w:rFonts w:eastAsia="Times New Roman"/>
                <w:b/>
                <w:noProof/>
                <w:sz w:val="22"/>
                <w:szCs w:val="24"/>
                <w:lang w:val="en-GB" w:eastAsia="en-GB"/>
              </w:rPr>
            </w:pPr>
          </w:p>
        </w:tc>
      </w:tr>
      <w:tr w:rsidR="00577E71" w:rsidRPr="00DD6A04" w14:paraId="04C50C25" w14:textId="77777777" w:rsidTr="150EC00E">
        <w:trPr>
          <w:trHeight w:val="302"/>
        </w:trPr>
        <w:tc>
          <w:tcPr>
            <w:tcW w:w="1247" w:type="dxa"/>
            <w:shd w:val="clear" w:color="auto" w:fill="C6EFCE"/>
            <w:noWrap/>
          </w:tcPr>
          <w:p w14:paraId="3ED8271C"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05613B36"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2</w:t>
            </w:r>
          </w:p>
          <w:p w14:paraId="5309C9CA"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98F1F94" w14:textId="7E293884" w:rsidR="00577E71" w:rsidRPr="00DD6A04" w:rsidRDefault="00577E71" w:rsidP="00577E71">
            <w:pPr>
              <w:spacing w:before="0" w:after="0" w:line="276" w:lineRule="auto"/>
              <w:rPr>
                <w:rFonts w:eastAsia="Times New Roman"/>
                <w:noProof/>
                <w:color w:val="006100"/>
                <w:sz w:val="22"/>
              </w:rPr>
            </w:pPr>
            <w:r>
              <w:rPr>
                <w:noProof/>
                <w:color w:val="006100"/>
                <w:sz w:val="22"/>
              </w:rPr>
              <w:t>A: Reforma spodbujanja obnovljivih virov energije v Sloveniji</w:t>
            </w:r>
          </w:p>
        </w:tc>
        <w:tc>
          <w:tcPr>
            <w:tcW w:w="1247" w:type="dxa"/>
            <w:shd w:val="clear" w:color="auto" w:fill="C6EFCE"/>
            <w:noWrap/>
          </w:tcPr>
          <w:p w14:paraId="42BB3866" w14:textId="0E6A1F1C"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36F6D69" w14:textId="18383217" w:rsidR="00577E71" w:rsidRPr="00DD6A04" w:rsidRDefault="00577E71" w:rsidP="00577E71">
            <w:pPr>
              <w:spacing w:before="0" w:after="0" w:line="276" w:lineRule="auto"/>
              <w:rPr>
                <w:rFonts w:eastAsia="Times New Roman"/>
                <w:noProof/>
                <w:color w:val="006100"/>
                <w:sz w:val="22"/>
              </w:rPr>
            </w:pPr>
            <w:r>
              <w:rPr>
                <w:noProof/>
                <w:color w:val="006100"/>
                <w:sz w:val="22"/>
              </w:rPr>
              <w:t>Operativna enotna točka za podporo vlagateljem pri pridobivanju dovoljenj za namestitev in priključitev proizvodnih naprav na obnovljive vire energije</w:t>
            </w:r>
          </w:p>
        </w:tc>
      </w:tr>
      <w:tr w:rsidR="00577E71" w:rsidRPr="00DD6A04" w14:paraId="7FF1FCCE" w14:textId="77777777" w:rsidTr="150EC00E">
        <w:trPr>
          <w:trHeight w:val="302"/>
        </w:trPr>
        <w:tc>
          <w:tcPr>
            <w:tcW w:w="1247" w:type="dxa"/>
            <w:shd w:val="clear" w:color="auto" w:fill="C6EFCE"/>
            <w:noWrap/>
          </w:tcPr>
          <w:p w14:paraId="3EE669AF"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2871236F"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4</w:t>
            </w:r>
          </w:p>
          <w:p w14:paraId="166FA75C"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4742593" w14:textId="17693065" w:rsidR="00577E71" w:rsidRPr="00DD6A04" w:rsidRDefault="00577E71" w:rsidP="00577E71">
            <w:pPr>
              <w:spacing w:before="0" w:after="0" w:line="276" w:lineRule="auto"/>
              <w:rPr>
                <w:rFonts w:eastAsia="Times New Roman"/>
                <w:noProof/>
                <w:color w:val="006100"/>
                <w:sz w:val="22"/>
              </w:rPr>
            </w:pPr>
            <w:r>
              <w:rPr>
                <w:noProof/>
                <w:color w:val="006100"/>
                <w:sz w:val="22"/>
              </w:rPr>
              <w:t>D: Energetsko učinkovito prestrukturiranje sistemov daljinskega ogrevanja na obnovljive vire energije</w:t>
            </w:r>
          </w:p>
        </w:tc>
        <w:tc>
          <w:tcPr>
            <w:tcW w:w="1247" w:type="dxa"/>
            <w:shd w:val="clear" w:color="auto" w:fill="C6EFCE"/>
            <w:noWrap/>
          </w:tcPr>
          <w:p w14:paraId="06D2583D" w14:textId="397248B7"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E8FDBD9" w14:textId="2AF61718" w:rsidR="00577E71" w:rsidRPr="00DD6A04" w:rsidRDefault="002E09DC" w:rsidP="00577E71">
            <w:pPr>
              <w:spacing w:before="0" w:after="0" w:line="276" w:lineRule="auto"/>
              <w:rPr>
                <w:rFonts w:eastAsia="Times New Roman"/>
                <w:noProof/>
                <w:color w:val="006100"/>
                <w:sz w:val="22"/>
              </w:rPr>
            </w:pPr>
            <w:r>
              <w:rPr>
                <w:noProof/>
                <w:color w:val="006100"/>
                <w:sz w:val="22"/>
              </w:rPr>
              <w:t>Objava javnega razpisa za obnovljive vire energije v sistemih daljinskega ogrevanja</w:t>
            </w:r>
          </w:p>
        </w:tc>
      </w:tr>
      <w:tr w:rsidR="00577E71" w:rsidRPr="00DD6A04" w14:paraId="54315486" w14:textId="77777777" w:rsidTr="150EC00E">
        <w:trPr>
          <w:trHeight w:val="302"/>
        </w:trPr>
        <w:tc>
          <w:tcPr>
            <w:tcW w:w="1247" w:type="dxa"/>
            <w:shd w:val="clear" w:color="auto" w:fill="C6EFCE"/>
            <w:noWrap/>
          </w:tcPr>
          <w:p w14:paraId="24CA73EC"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017C5709" w14:textId="05CDD96A" w:rsidR="00577E71" w:rsidRPr="00DD6A04" w:rsidRDefault="00577E71" w:rsidP="00577E71">
            <w:pPr>
              <w:spacing w:before="0" w:after="0" w:line="276" w:lineRule="auto"/>
              <w:jc w:val="center"/>
              <w:rPr>
                <w:rFonts w:eastAsia="Times New Roman"/>
                <w:noProof/>
                <w:color w:val="006100"/>
                <w:sz w:val="22"/>
              </w:rPr>
            </w:pPr>
            <w:r>
              <w:rPr>
                <w:noProof/>
                <w:color w:val="006100"/>
                <w:sz w:val="22"/>
              </w:rPr>
              <w:t>6</w:t>
            </w:r>
          </w:p>
        </w:tc>
        <w:tc>
          <w:tcPr>
            <w:tcW w:w="3119" w:type="dxa"/>
            <w:shd w:val="clear" w:color="auto" w:fill="C6EFCE"/>
            <w:noWrap/>
          </w:tcPr>
          <w:p w14:paraId="1A23B2D6" w14:textId="451A5F38" w:rsidR="00577E71" w:rsidRPr="00DD6A04" w:rsidRDefault="00577E71" w:rsidP="00577E71">
            <w:pPr>
              <w:spacing w:before="0" w:after="0" w:line="276" w:lineRule="auto"/>
              <w:rPr>
                <w:rFonts w:eastAsia="Times New Roman"/>
                <w:noProof/>
                <w:color w:val="006100"/>
                <w:sz w:val="22"/>
              </w:rPr>
            </w:pPr>
            <w:r>
              <w:rPr>
                <w:noProof/>
                <w:color w:val="006100"/>
                <w:sz w:val="22"/>
              </w:rPr>
              <w:t>F: Krepitev distribucijskega omrežja električne energije (transformatorske postaje)</w:t>
            </w:r>
          </w:p>
        </w:tc>
        <w:tc>
          <w:tcPr>
            <w:tcW w:w="1247" w:type="dxa"/>
            <w:shd w:val="clear" w:color="auto" w:fill="C6EFCE"/>
            <w:noWrap/>
          </w:tcPr>
          <w:p w14:paraId="669088EB" w14:textId="1FC3CB86"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1E18828" w14:textId="3563A7E6" w:rsidR="00577E71" w:rsidRPr="00DD6A04" w:rsidRDefault="00577E71" w:rsidP="00577E71">
            <w:pPr>
              <w:spacing w:before="0" w:after="0" w:line="276" w:lineRule="auto"/>
              <w:rPr>
                <w:rFonts w:eastAsia="Times New Roman"/>
                <w:noProof/>
                <w:color w:val="006100"/>
                <w:sz w:val="22"/>
              </w:rPr>
            </w:pPr>
            <w:r>
              <w:rPr>
                <w:noProof/>
                <w:color w:val="006100"/>
                <w:sz w:val="22"/>
              </w:rPr>
              <w:t>Objava javnega razpisa za elektroenergetske transformatorske postaje</w:t>
            </w:r>
          </w:p>
        </w:tc>
      </w:tr>
      <w:tr w:rsidR="00577E71" w:rsidRPr="00DD6A04" w14:paraId="7DE605EE" w14:textId="77777777" w:rsidTr="150EC00E">
        <w:trPr>
          <w:trHeight w:val="302"/>
        </w:trPr>
        <w:tc>
          <w:tcPr>
            <w:tcW w:w="1247" w:type="dxa"/>
            <w:shd w:val="clear" w:color="auto" w:fill="C6EFCE"/>
            <w:noWrap/>
          </w:tcPr>
          <w:p w14:paraId="672E8A0C"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7F72D29C"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21</w:t>
            </w:r>
          </w:p>
          <w:p w14:paraId="63186B12"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AD07AAA" w14:textId="7306AC38" w:rsidR="00577E71" w:rsidRPr="00DD6A04" w:rsidRDefault="00577E71" w:rsidP="00577E71">
            <w:pPr>
              <w:spacing w:before="0" w:after="0" w:line="276" w:lineRule="auto"/>
              <w:rPr>
                <w:rFonts w:eastAsia="Times New Roman"/>
                <w:noProof/>
                <w:color w:val="006100"/>
                <w:sz w:val="22"/>
              </w:rPr>
            </w:pPr>
            <w:r>
              <w:rPr>
                <w:noProof/>
                <w:color w:val="006100"/>
                <w:sz w:val="22"/>
              </w:rPr>
              <w:t>B: Trajnostna prenova stavb</w:t>
            </w:r>
          </w:p>
        </w:tc>
        <w:tc>
          <w:tcPr>
            <w:tcW w:w="1247" w:type="dxa"/>
            <w:shd w:val="clear" w:color="auto" w:fill="C6EFCE"/>
            <w:noWrap/>
          </w:tcPr>
          <w:p w14:paraId="6AFE9F86" w14:textId="6209E2CB"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53ADABB" w14:textId="3DE0CBD6" w:rsidR="00577E71" w:rsidRPr="00DD6A04" w:rsidRDefault="00577E71" w:rsidP="00577E71">
            <w:pPr>
              <w:spacing w:before="0" w:after="0" w:line="276" w:lineRule="auto"/>
              <w:rPr>
                <w:rFonts w:eastAsia="Times New Roman"/>
                <w:noProof/>
                <w:color w:val="006100"/>
                <w:sz w:val="22"/>
              </w:rPr>
            </w:pPr>
            <w:r>
              <w:rPr>
                <w:noProof/>
                <w:color w:val="006100"/>
                <w:sz w:val="22"/>
              </w:rPr>
              <w:t>Objava javnega razpisa za izvedbo posameznih nadgradenj tehničnih stavbnih sistemov</w:t>
            </w:r>
          </w:p>
        </w:tc>
      </w:tr>
      <w:tr w:rsidR="00577E71" w:rsidRPr="00DD6A04" w14:paraId="7A24F021" w14:textId="77777777" w:rsidTr="150EC00E">
        <w:trPr>
          <w:trHeight w:val="302"/>
        </w:trPr>
        <w:tc>
          <w:tcPr>
            <w:tcW w:w="1247" w:type="dxa"/>
            <w:shd w:val="clear" w:color="auto" w:fill="C6EFCE"/>
            <w:noWrap/>
          </w:tcPr>
          <w:p w14:paraId="4B147F63"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6C67CE4E"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22</w:t>
            </w:r>
          </w:p>
          <w:p w14:paraId="7C7E7F08"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BDC549D" w14:textId="36E42609" w:rsidR="00577E71" w:rsidRPr="00DD6A04" w:rsidRDefault="00577E71" w:rsidP="00577E71">
            <w:pPr>
              <w:spacing w:before="0" w:after="0" w:line="276" w:lineRule="auto"/>
              <w:rPr>
                <w:rFonts w:eastAsia="Times New Roman"/>
                <w:noProof/>
                <w:color w:val="006100"/>
                <w:sz w:val="22"/>
              </w:rPr>
            </w:pPr>
            <w:r>
              <w:rPr>
                <w:noProof/>
                <w:color w:val="006100"/>
                <w:sz w:val="22"/>
              </w:rPr>
              <w:t>B:</w:t>
            </w:r>
            <w:r w:rsidR="00037751">
              <w:rPr>
                <w:noProof/>
                <w:color w:val="006100"/>
                <w:sz w:val="22"/>
              </w:rPr>
              <w:t xml:space="preserve"> </w:t>
            </w:r>
            <w:r>
              <w:rPr>
                <w:noProof/>
                <w:color w:val="006100"/>
                <w:sz w:val="22"/>
              </w:rPr>
              <w:t>Trajnostna prenova stavb</w:t>
            </w:r>
          </w:p>
        </w:tc>
        <w:tc>
          <w:tcPr>
            <w:tcW w:w="1247" w:type="dxa"/>
            <w:shd w:val="clear" w:color="auto" w:fill="C6EFCE"/>
            <w:noWrap/>
          </w:tcPr>
          <w:p w14:paraId="6EA6C481" w14:textId="0F2C5554"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ECD6EEB" w14:textId="73F89B98" w:rsidR="00577E71" w:rsidRPr="00DD6A04" w:rsidRDefault="05945557" w:rsidP="150EC00E">
            <w:pPr>
              <w:spacing w:before="0" w:after="0" w:line="276" w:lineRule="auto"/>
              <w:rPr>
                <w:rFonts w:eastAsia="Times New Roman"/>
                <w:noProof/>
                <w:color w:val="006100"/>
                <w:sz w:val="22"/>
              </w:rPr>
            </w:pPr>
            <w:r>
              <w:rPr>
                <w:noProof/>
                <w:color w:val="006100"/>
                <w:sz w:val="22"/>
              </w:rPr>
              <w:t>Objava javnega povabila za energetsko in trajnostno prenovo stavb velikega upravnega in družbenega pomena, ki so v javni lasti</w:t>
            </w:r>
          </w:p>
        </w:tc>
      </w:tr>
      <w:tr w:rsidR="00577E71" w:rsidRPr="00DD6A04" w14:paraId="1979D51D" w14:textId="77777777" w:rsidTr="150EC00E">
        <w:trPr>
          <w:trHeight w:val="302"/>
        </w:trPr>
        <w:tc>
          <w:tcPr>
            <w:tcW w:w="1247" w:type="dxa"/>
            <w:shd w:val="clear" w:color="auto" w:fill="C6EFCE"/>
            <w:noWrap/>
          </w:tcPr>
          <w:p w14:paraId="4682A485"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1CEE57BD"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23</w:t>
            </w:r>
          </w:p>
          <w:p w14:paraId="761D1C1E"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5CCAE19" w14:textId="7EA8A3D4" w:rsidR="00577E71" w:rsidRPr="00DD6A04" w:rsidRDefault="00577E71" w:rsidP="00577E71">
            <w:pPr>
              <w:spacing w:before="0" w:after="0" w:line="276" w:lineRule="auto"/>
              <w:rPr>
                <w:rFonts w:eastAsia="Times New Roman"/>
                <w:noProof/>
                <w:color w:val="006100"/>
                <w:sz w:val="22"/>
              </w:rPr>
            </w:pPr>
            <w:r>
              <w:rPr>
                <w:noProof/>
                <w:color w:val="006100"/>
                <w:sz w:val="22"/>
              </w:rPr>
              <w:t>B: Trajnostna prenova stavb</w:t>
            </w:r>
          </w:p>
        </w:tc>
        <w:tc>
          <w:tcPr>
            <w:tcW w:w="1247" w:type="dxa"/>
            <w:shd w:val="clear" w:color="auto" w:fill="C6EFCE"/>
            <w:noWrap/>
          </w:tcPr>
          <w:p w14:paraId="283FD105" w14:textId="26A208BC"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34281C9" w14:textId="237601AB" w:rsidR="00577E71" w:rsidRPr="00DD6A04" w:rsidRDefault="00577E71" w:rsidP="00577E71">
            <w:pPr>
              <w:spacing w:before="0" w:after="0" w:line="276" w:lineRule="auto"/>
              <w:rPr>
                <w:rFonts w:eastAsia="Times New Roman"/>
                <w:noProof/>
                <w:color w:val="006100"/>
                <w:sz w:val="22"/>
              </w:rPr>
            </w:pPr>
            <w:r>
              <w:rPr>
                <w:noProof/>
                <w:color w:val="006100"/>
                <w:sz w:val="22"/>
              </w:rPr>
              <w:t xml:space="preserve">Objava javnega razpisa za energetsko in trajnostno prenovo stanovanjskih stavb v javni lasti </w:t>
            </w:r>
          </w:p>
        </w:tc>
      </w:tr>
      <w:tr w:rsidR="00577E71" w:rsidRPr="00DD6A04" w14:paraId="0EB7661E" w14:textId="77777777" w:rsidTr="150EC00E">
        <w:trPr>
          <w:trHeight w:val="302"/>
        </w:trPr>
        <w:tc>
          <w:tcPr>
            <w:tcW w:w="1247" w:type="dxa"/>
            <w:shd w:val="clear" w:color="auto" w:fill="C6EFCE"/>
            <w:noWrap/>
          </w:tcPr>
          <w:p w14:paraId="0EE2396C"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17C18B0D"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36</w:t>
            </w:r>
          </w:p>
          <w:p w14:paraId="464A3934"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881663F" w14:textId="770028A4" w:rsidR="00577E71" w:rsidRPr="00DD6A04" w:rsidRDefault="00577E71" w:rsidP="00577E71">
            <w:pPr>
              <w:spacing w:before="0" w:after="0" w:line="276" w:lineRule="auto"/>
              <w:rPr>
                <w:rFonts w:eastAsia="Times New Roman"/>
                <w:noProof/>
                <w:color w:val="006100"/>
                <w:sz w:val="22"/>
              </w:rPr>
            </w:pPr>
            <w:r>
              <w:rPr>
                <w:noProof/>
                <w:color w:val="006100"/>
                <w:sz w:val="22"/>
              </w:rPr>
              <w:t>C: Obnova in blaženje posledic podnebnih sprememb ter podnebno pogojenih nesreč za odporne biotsko pestre gozdove</w:t>
            </w:r>
          </w:p>
        </w:tc>
        <w:tc>
          <w:tcPr>
            <w:tcW w:w="1247" w:type="dxa"/>
            <w:shd w:val="clear" w:color="auto" w:fill="C6EFCE"/>
            <w:noWrap/>
          </w:tcPr>
          <w:p w14:paraId="073C3703" w14:textId="5C242140"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C172371" w14:textId="711C6FE2" w:rsidR="00577E71" w:rsidRPr="00DD6A04" w:rsidRDefault="00577E71" w:rsidP="00577E71">
            <w:pPr>
              <w:spacing w:before="0" w:after="0" w:line="276" w:lineRule="auto"/>
              <w:rPr>
                <w:rFonts w:eastAsia="Times New Roman"/>
                <w:noProof/>
                <w:color w:val="006100"/>
                <w:sz w:val="22"/>
              </w:rPr>
            </w:pPr>
            <w:r>
              <w:rPr>
                <w:noProof/>
                <w:color w:val="006100"/>
                <w:sz w:val="22"/>
              </w:rPr>
              <w:t>Začetek veljavnosti sprememb Pravilnika o pogojih za vpis v register dobaviteljev in drugih obveznostih dobaviteljev ter zahtevah za trženje gozdnega reprodukcijskega materiala</w:t>
            </w:r>
          </w:p>
        </w:tc>
      </w:tr>
      <w:tr w:rsidR="00577E71" w:rsidRPr="00DD6A04" w14:paraId="46B6E344" w14:textId="77777777" w:rsidTr="150EC00E">
        <w:trPr>
          <w:trHeight w:val="302"/>
        </w:trPr>
        <w:tc>
          <w:tcPr>
            <w:tcW w:w="1247" w:type="dxa"/>
            <w:shd w:val="clear" w:color="auto" w:fill="C6EFCE"/>
            <w:noWrap/>
          </w:tcPr>
          <w:p w14:paraId="6AFD36EC"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0F30E576"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38</w:t>
            </w:r>
          </w:p>
          <w:p w14:paraId="2CD54BFD"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DD10081" w14:textId="61DF9EBB" w:rsidR="00577E71" w:rsidRPr="00DD6A04" w:rsidRDefault="00577E71" w:rsidP="00577E71">
            <w:pPr>
              <w:spacing w:before="0" w:after="0" w:line="276" w:lineRule="auto"/>
              <w:rPr>
                <w:rFonts w:eastAsia="Times New Roman"/>
                <w:noProof/>
                <w:color w:val="006100"/>
                <w:sz w:val="22"/>
              </w:rPr>
            </w:pPr>
            <w:r>
              <w:rPr>
                <w:noProof/>
                <w:color w:val="006100"/>
                <w:sz w:val="22"/>
              </w:rPr>
              <w:t>H: Projekti odvajanja in čiščenja komunalne odpadne vode</w:t>
            </w:r>
          </w:p>
        </w:tc>
        <w:tc>
          <w:tcPr>
            <w:tcW w:w="1247" w:type="dxa"/>
            <w:shd w:val="clear" w:color="auto" w:fill="C6EFCE"/>
            <w:noWrap/>
          </w:tcPr>
          <w:p w14:paraId="260D154E" w14:textId="5AD954FB"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EF70CE7" w14:textId="012AC2E2" w:rsidR="00577E71" w:rsidRPr="00DD6A04" w:rsidRDefault="00577E71" w:rsidP="00577E71">
            <w:pPr>
              <w:spacing w:before="0" w:after="0" w:line="276" w:lineRule="auto"/>
              <w:rPr>
                <w:rFonts w:eastAsia="Times New Roman"/>
                <w:noProof/>
                <w:color w:val="006100"/>
                <w:sz w:val="22"/>
              </w:rPr>
            </w:pPr>
            <w:r>
              <w:rPr>
                <w:noProof/>
                <w:color w:val="006100"/>
                <w:sz w:val="22"/>
              </w:rPr>
              <w:t>Izdaja sklepov o sofinanciranju za projekte odvajanja in čiščenja komunalne odpadne vode</w:t>
            </w:r>
          </w:p>
        </w:tc>
      </w:tr>
      <w:tr w:rsidR="00577E71" w:rsidRPr="00DD6A04" w14:paraId="52AC913D" w14:textId="77777777" w:rsidTr="150EC00E">
        <w:trPr>
          <w:trHeight w:val="302"/>
        </w:trPr>
        <w:tc>
          <w:tcPr>
            <w:tcW w:w="1247" w:type="dxa"/>
            <w:shd w:val="clear" w:color="auto" w:fill="C6EFCE"/>
            <w:noWrap/>
          </w:tcPr>
          <w:p w14:paraId="717F7B23"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42A3E1A1"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42</w:t>
            </w:r>
          </w:p>
          <w:p w14:paraId="71399060"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864A990" w14:textId="2413B754" w:rsidR="00577E71" w:rsidRPr="00DD6A04" w:rsidRDefault="00577E71" w:rsidP="00577E71">
            <w:pPr>
              <w:spacing w:before="0" w:after="0" w:line="276" w:lineRule="auto"/>
              <w:rPr>
                <w:rFonts w:eastAsia="Times New Roman"/>
                <w:noProof/>
                <w:color w:val="006100"/>
                <w:sz w:val="22"/>
              </w:rPr>
            </w:pPr>
            <w:r>
              <w:rPr>
                <w:noProof/>
                <w:color w:val="006100"/>
                <w:sz w:val="22"/>
              </w:rPr>
              <w:t>I: Projekti oskrbe in varčevanja s pitno vodo</w:t>
            </w:r>
          </w:p>
        </w:tc>
        <w:tc>
          <w:tcPr>
            <w:tcW w:w="1247" w:type="dxa"/>
            <w:shd w:val="clear" w:color="auto" w:fill="C6EFCE"/>
            <w:noWrap/>
          </w:tcPr>
          <w:p w14:paraId="58C9C85C" w14:textId="236CE331"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0186376" w14:textId="60830FB2" w:rsidR="00577E71" w:rsidRPr="00DD6A04" w:rsidRDefault="00577E71" w:rsidP="00577E71">
            <w:pPr>
              <w:spacing w:before="0" w:after="0" w:line="276" w:lineRule="auto"/>
              <w:rPr>
                <w:rFonts w:eastAsia="Times New Roman"/>
                <w:noProof/>
                <w:color w:val="006100"/>
                <w:sz w:val="22"/>
              </w:rPr>
            </w:pPr>
            <w:r>
              <w:rPr>
                <w:noProof/>
                <w:color w:val="006100"/>
                <w:sz w:val="22"/>
              </w:rPr>
              <w:t>Izdaja sklepov o sofinanciranju za projekte oskrbe s pitno vodo</w:t>
            </w:r>
          </w:p>
        </w:tc>
      </w:tr>
      <w:tr w:rsidR="00577E71" w:rsidRPr="00DD6A04" w14:paraId="44B0834F" w14:textId="77777777" w:rsidTr="150EC00E">
        <w:trPr>
          <w:trHeight w:val="302"/>
        </w:trPr>
        <w:tc>
          <w:tcPr>
            <w:tcW w:w="1247" w:type="dxa"/>
            <w:shd w:val="clear" w:color="auto" w:fill="C6EFCE"/>
            <w:noWrap/>
          </w:tcPr>
          <w:p w14:paraId="1E21E057"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14A83270"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57</w:t>
            </w:r>
          </w:p>
          <w:p w14:paraId="7C7214EE"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F99FC27" w14:textId="13A3BB72" w:rsidR="00577E71" w:rsidRPr="00DD6A04" w:rsidRDefault="00577E71" w:rsidP="00577E71">
            <w:pPr>
              <w:spacing w:before="0" w:after="0" w:line="276" w:lineRule="auto"/>
              <w:rPr>
                <w:rFonts w:eastAsia="Times New Roman"/>
                <w:noProof/>
                <w:color w:val="006100"/>
                <w:sz w:val="22"/>
              </w:rPr>
            </w:pPr>
            <w:r>
              <w:rPr>
                <w:noProof/>
                <w:color w:val="006100"/>
                <w:sz w:val="22"/>
              </w:rPr>
              <w:t>C: Povečanje zmogljivosti železniške infrastrukture</w:t>
            </w:r>
          </w:p>
        </w:tc>
        <w:tc>
          <w:tcPr>
            <w:tcW w:w="1247" w:type="dxa"/>
            <w:shd w:val="clear" w:color="auto" w:fill="C6EFCE"/>
            <w:noWrap/>
          </w:tcPr>
          <w:p w14:paraId="116B2A3B" w14:textId="0B5AC634"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73FC68A" w14:textId="69FEEEC1" w:rsidR="00577E71" w:rsidRPr="00DD6A04" w:rsidRDefault="00577E71" w:rsidP="00577E71">
            <w:pPr>
              <w:spacing w:before="0" w:after="0" w:line="276" w:lineRule="auto"/>
              <w:rPr>
                <w:rFonts w:eastAsia="Times New Roman"/>
                <w:noProof/>
                <w:color w:val="006100"/>
                <w:sz w:val="22"/>
              </w:rPr>
            </w:pPr>
            <w:r>
              <w:rPr>
                <w:noProof/>
                <w:color w:val="006100"/>
                <w:sz w:val="22"/>
              </w:rPr>
              <w:t>Oddaja naročil za nadgradnjo odsekov železniške proge</w:t>
            </w:r>
            <w:r w:rsidR="00037751">
              <w:rPr>
                <w:noProof/>
                <w:color w:val="006100"/>
                <w:sz w:val="22"/>
              </w:rPr>
              <w:t xml:space="preserve"> </w:t>
            </w:r>
          </w:p>
        </w:tc>
      </w:tr>
      <w:tr w:rsidR="00577E71" w:rsidRPr="00DD6A04" w14:paraId="4AB48DDF" w14:textId="77777777" w:rsidTr="150EC00E">
        <w:trPr>
          <w:trHeight w:val="302"/>
        </w:trPr>
        <w:tc>
          <w:tcPr>
            <w:tcW w:w="1247" w:type="dxa"/>
            <w:shd w:val="clear" w:color="auto" w:fill="C6EFCE"/>
            <w:noWrap/>
          </w:tcPr>
          <w:p w14:paraId="27774402"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2578C9C9"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58</w:t>
            </w:r>
          </w:p>
          <w:p w14:paraId="42AA4C1C"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A36A2EB" w14:textId="25E1DB52" w:rsidR="00577E71" w:rsidRPr="00DD6A04" w:rsidRDefault="00577E71" w:rsidP="00577E71">
            <w:pPr>
              <w:spacing w:before="0" w:after="0" w:line="276" w:lineRule="auto"/>
              <w:rPr>
                <w:rFonts w:eastAsia="Times New Roman"/>
                <w:noProof/>
                <w:color w:val="006100"/>
                <w:sz w:val="22"/>
              </w:rPr>
            </w:pPr>
            <w:r>
              <w:rPr>
                <w:noProof/>
                <w:color w:val="006100"/>
                <w:sz w:val="22"/>
              </w:rPr>
              <w:t>C: Povečanje zmogljivosti železniške infrastrukture</w:t>
            </w:r>
          </w:p>
        </w:tc>
        <w:tc>
          <w:tcPr>
            <w:tcW w:w="1247" w:type="dxa"/>
            <w:shd w:val="clear" w:color="auto" w:fill="C6EFCE"/>
            <w:noWrap/>
          </w:tcPr>
          <w:p w14:paraId="3D14D58E" w14:textId="64A78E36"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3518DAA" w14:textId="0B079B04" w:rsidR="00577E71" w:rsidRPr="00DD6A04" w:rsidRDefault="00577E71" w:rsidP="00577E71">
            <w:pPr>
              <w:spacing w:before="0" w:after="0" w:line="276" w:lineRule="auto"/>
              <w:rPr>
                <w:rFonts w:eastAsia="Times New Roman"/>
                <w:noProof/>
                <w:color w:val="006100"/>
                <w:sz w:val="22"/>
              </w:rPr>
            </w:pPr>
            <w:r>
              <w:rPr>
                <w:noProof/>
                <w:color w:val="006100"/>
                <w:sz w:val="22"/>
              </w:rPr>
              <w:t xml:space="preserve">Oddaja naročil za nadgradnjo železniških postaj Grosuplje in Domžale </w:t>
            </w:r>
          </w:p>
        </w:tc>
      </w:tr>
      <w:tr w:rsidR="00577E71" w:rsidRPr="00DD6A04" w14:paraId="558DCBEE" w14:textId="77777777" w:rsidTr="150EC00E">
        <w:trPr>
          <w:trHeight w:val="302"/>
        </w:trPr>
        <w:tc>
          <w:tcPr>
            <w:tcW w:w="1247" w:type="dxa"/>
            <w:shd w:val="clear" w:color="auto" w:fill="C6EFCE"/>
            <w:noWrap/>
          </w:tcPr>
          <w:p w14:paraId="0BB3790F" w14:textId="1EFE1754" w:rsidR="00577E71" w:rsidRPr="00DD6A04" w:rsidRDefault="00577E71" w:rsidP="00577E71">
            <w:pPr>
              <w:spacing w:before="0" w:after="0" w:line="276" w:lineRule="auto"/>
              <w:jc w:val="center"/>
              <w:rPr>
                <w:rFonts w:eastAsia="Times New Roman"/>
                <w:noProof/>
                <w:color w:val="006100"/>
                <w:sz w:val="22"/>
              </w:rPr>
            </w:pPr>
            <w:r>
              <w:rPr>
                <w:noProof/>
                <w:color w:val="006100"/>
                <w:sz w:val="22"/>
              </w:rPr>
              <w:t>69</w:t>
            </w:r>
          </w:p>
        </w:tc>
        <w:tc>
          <w:tcPr>
            <w:tcW w:w="3119" w:type="dxa"/>
            <w:shd w:val="clear" w:color="auto" w:fill="C6EFCE"/>
            <w:noWrap/>
          </w:tcPr>
          <w:p w14:paraId="7F37EE24" w14:textId="6D630DCE" w:rsidR="00577E71" w:rsidRPr="00DD6A04" w:rsidRDefault="00577E71" w:rsidP="00577E71">
            <w:pPr>
              <w:spacing w:before="0" w:after="0" w:line="276" w:lineRule="auto"/>
              <w:rPr>
                <w:rFonts w:eastAsia="Times New Roman"/>
                <w:noProof/>
                <w:color w:val="006100"/>
                <w:sz w:val="22"/>
              </w:rPr>
            </w:pPr>
            <w:r>
              <w:rPr>
                <w:noProof/>
                <w:color w:val="006100"/>
                <w:sz w:val="22"/>
              </w:rPr>
              <w:t>A: Vzpostavitev okvira za trajnostno in zeleno transformacijo</w:t>
            </w:r>
          </w:p>
        </w:tc>
        <w:tc>
          <w:tcPr>
            <w:tcW w:w="1247" w:type="dxa"/>
            <w:shd w:val="clear" w:color="auto" w:fill="C6EFCE"/>
            <w:noWrap/>
          </w:tcPr>
          <w:p w14:paraId="1FB7D60A" w14:textId="0C158B87"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A9AF3F4" w14:textId="31967EE7" w:rsidR="00577E71" w:rsidRPr="00DD6A04" w:rsidRDefault="00577E71" w:rsidP="00577E71">
            <w:pPr>
              <w:spacing w:before="0" w:after="0" w:line="276" w:lineRule="auto"/>
              <w:rPr>
                <w:rFonts w:eastAsia="Times New Roman"/>
                <w:noProof/>
                <w:color w:val="006100"/>
                <w:sz w:val="22"/>
              </w:rPr>
            </w:pPr>
            <w:r>
              <w:rPr>
                <w:noProof/>
                <w:color w:val="006100"/>
                <w:sz w:val="22"/>
              </w:rPr>
              <w:t xml:space="preserve">Začetek veljavnosti sprememb podaljšane odgovornosti proizvajalcev in predelave odpadkov </w:t>
            </w:r>
          </w:p>
        </w:tc>
      </w:tr>
      <w:tr w:rsidR="00577E71" w:rsidRPr="00DD6A04" w14:paraId="4A23529C" w14:textId="77777777" w:rsidTr="150EC00E">
        <w:trPr>
          <w:trHeight w:val="302"/>
        </w:trPr>
        <w:tc>
          <w:tcPr>
            <w:tcW w:w="1247" w:type="dxa"/>
            <w:shd w:val="clear" w:color="auto" w:fill="C6EFCE"/>
            <w:noWrap/>
          </w:tcPr>
          <w:p w14:paraId="14E720D1"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01E2A901"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93</w:t>
            </w:r>
          </w:p>
          <w:p w14:paraId="05A7ADAD"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CBE738F" w14:textId="6F7A2BE1" w:rsidR="00577E71" w:rsidRPr="00DD6A04" w:rsidRDefault="00577E71" w:rsidP="00577E71">
            <w:pPr>
              <w:spacing w:before="0" w:after="0" w:line="276" w:lineRule="auto"/>
              <w:rPr>
                <w:rFonts w:eastAsia="Times New Roman"/>
                <w:noProof/>
                <w:color w:val="006100"/>
                <w:sz w:val="22"/>
              </w:rPr>
            </w:pPr>
            <w:r>
              <w:rPr>
                <w:noProof/>
                <w:color w:val="006100"/>
                <w:sz w:val="22"/>
              </w:rPr>
              <w:t>C: Posodobitev upravnih procesov za uspešno digitalno preobrazbo</w:t>
            </w:r>
          </w:p>
        </w:tc>
        <w:tc>
          <w:tcPr>
            <w:tcW w:w="1247" w:type="dxa"/>
            <w:shd w:val="clear" w:color="auto" w:fill="C6EFCE"/>
            <w:noWrap/>
          </w:tcPr>
          <w:p w14:paraId="0163E0C9" w14:textId="3CF25080"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FB33C75" w14:textId="37070F59" w:rsidR="00577E71" w:rsidRPr="00DD6A04" w:rsidRDefault="00577E71" w:rsidP="00577E71">
            <w:pPr>
              <w:spacing w:before="0" w:after="0" w:line="276" w:lineRule="auto"/>
              <w:rPr>
                <w:rFonts w:eastAsia="Times New Roman"/>
                <w:noProof/>
                <w:color w:val="006100"/>
                <w:sz w:val="22"/>
              </w:rPr>
            </w:pPr>
            <w:r>
              <w:rPr>
                <w:noProof/>
                <w:color w:val="006100"/>
                <w:sz w:val="22"/>
              </w:rPr>
              <w:t>Odprava pravnih in upravnih ovir za opravljanje e-storitev:</w:t>
            </w:r>
          </w:p>
        </w:tc>
      </w:tr>
      <w:tr w:rsidR="00577E71" w:rsidRPr="00DD6A04" w14:paraId="127F6163" w14:textId="77777777" w:rsidTr="150EC00E">
        <w:trPr>
          <w:trHeight w:val="302"/>
        </w:trPr>
        <w:tc>
          <w:tcPr>
            <w:tcW w:w="1247" w:type="dxa"/>
            <w:shd w:val="clear" w:color="auto" w:fill="C6EFCE"/>
            <w:noWrap/>
          </w:tcPr>
          <w:p w14:paraId="24E4A2CC"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7246414D"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100</w:t>
            </w:r>
          </w:p>
          <w:p w14:paraId="482504A9"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F30A701" w14:textId="0C4414F9" w:rsidR="00577E71" w:rsidRPr="00DD6A04" w:rsidRDefault="00577E71" w:rsidP="00577E71">
            <w:pPr>
              <w:spacing w:before="0" w:after="0" w:line="276" w:lineRule="auto"/>
              <w:rPr>
                <w:rFonts w:eastAsia="Times New Roman"/>
                <w:noProof/>
                <w:color w:val="006100"/>
                <w:sz w:val="22"/>
              </w:rPr>
            </w:pPr>
            <w:r>
              <w:rPr>
                <w:noProof/>
                <w:color w:val="006100"/>
                <w:sz w:val="22"/>
              </w:rPr>
              <w:t>I: Digitalizacija notranje varnosti</w:t>
            </w:r>
          </w:p>
        </w:tc>
        <w:tc>
          <w:tcPr>
            <w:tcW w:w="1247" w:type="dxa"/>
            <w:shd w:val="clear" w:color="auto" w:fill="C6EFCE"/>
            <w:noWrap/>
          </w:tcPr>
          <w:p w14:paraId="1883A283" w14:textId="2AE53A73" w:rsidR="00577E71" w:rsidRPr="00DD6A04" w:rsidRDefault="00577E71" w:rsidP="00577E71">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CFE4A91" w14:textId="370004C7" w:rsidR="00577E71" w:rsidRPr="00DD6A04" w:rsidRDefault="00577E71" w:rsidP="00577E71">
            <w:pPr>
              <w:spacing w:before="0" w:after="0" w:line="276" w:lineRule="auto"/>
              <w:rPr>
                <w:rFonts w:eastAsia="Times New Roman"/>
                <w:noProof/>
                <w:color w:val="006100"/>
                <w:sz w:val="22"/>
              </w:rPr>
            </w:pPr>
            <w:r>
              <w:rPr>
                <w:noProof/>
                <w:color w:val="006100"/>
                <w:sz w:val="22"/>
              </w:rPr>
              <w:t xml:space="preserve">Uporabniki novega policijskega digitalnega radijskega omrežja (TETRA) </w:t>
            </w:r>
          </w:p>
        </w:tc>
      </w:tr>
      <w:tr w:rsidR="00577E71" w:rsidRPr="00DD6A04" w14:paraId="3281FC73" w14:textId="77777777" w:rsidTr="150EC00E">
        <w:trPr>
          <w:trHeight w:val="302"/>
        </w:trPr>
        <w:tc>
          <w:tcPr>
            <w:tcW w:w="1247" w:type="dxa"/>
            <w:shd w:val="clear" w:color="auto" w:fill="C6EFCE"/>
            <w:noWrap/>
          </w:tcPr>
          <w:p w14:paraId="0AEFDAB2"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2EA59E48"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144</w:t>
            </w:r>
          </w:p>
          <w:p w14:paraId="626647B2"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8D97579" w14:textId="22B5EBCD" w:rsidR="00577E71" w:rsidRPr="00DD6A04" w:rsidRDefault="00577E71" w:rsidP="00577E71">
            <w:pPr>
              <w:spacing w:before="0" w:after="0" w:line="276" w:lineRule="auto"/>
              <w:rPr>
                <w:rFonts w:eastAsia="Times New Roman"/>
                <w:noProof/>
                <w:color w:val="006100"/>
                <w:sz w:val="22"/>
              </w:rPr>
            </w:pPr>
            <w:r>
              <w:rPr>
                <w:noProof/>
                <w:color w:val="006100"/>
                <w:sz w:val="22"/>
              </w:rPr>
              <w:t>D: Hitrejši vstop mladih na trg dela</w:t>
            </w:r>
          </w:p>
        </w:tc>
        <w:tc>
          <w:tcPr>
            <w:tcW w:w="1247" w:type="dxa"/>
            <w:shd w:val="clear" w:color="auto" w:fill="C6EFCE"/>
            <w:noWrap/>
          </w:tcPr>
          <w:p w14:paraId="197C5576" w14:textId="3823E16D" w:rsidR="00577E71" w:rsidRPr="00DD6A04" w:rsidRDefault="00577E71" w:rsidP="00577E71">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1E753AD" w14:textId="538BF727" w:rsidR="00577E71" w:rsidRPr="00DD6A04" w:rsidRDefault="00577E71" w:rsidP="00577E71">
            <w:pPr>
              <w:spacing w:before="0" w:after="0" w:line="276" w:lineRule="auto"/>
              <w:rPr>
                <w:rFonts w:eastAsia="Times New Roman"/>
                <w:noProof/>
                <w:color w:val="006100"/>
                <w:sz w:val="22"/>
              </w:rPr>
            </w:pPr>
            <w:r>
              <w:rPr>
                <w:noProof/>
                <w:color w:val="006100"/>
                <w:sz w:val="22"/>
              </w:rPr>
              <w:t>Število dodatnih mladih s subvencionirano zaposlitvijo za nedoločen čas</w:t>
            </w:r>
          </w:p>
        </w:tc>
      </w:tr>
      <w:tr w:rsidR="00577E71" w:rsidRPr="00DD6A04" w14:paraId="7E83BD82" w14:textId="77777777" w:rsidTr="150EC00E">
        <w:trPr>
          <w:trHeight w:val="302"/>
        </w:trPr>
        <w:tc>
          <w:tcPr>
            <w:tcW w:w="1247" w:type="dxa"/>
            <w:shd w:val="clear" w:color="auto" w:fill="C6EFCE"/>
            <w:noWrap/>
          </w:tcPr>
          <w:p w14:paraId="3B9563DE"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6D25072C"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150</w:t>
            </w:r>
          </w:p>
          <w:p w14:paraId="3FBE9122"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CD29887" w14:textId="409126C9" w:rsidR="00577E71" w:rsidRPr="00DD6A04" w:rsidRDefault="00577E71" w:rsidP="00577E71">
            <w:pPr>
              <w:spacing w:before="0" w:after="0" w:line="276" w:lineRule="auto"/>
              <w:rPr>
                <w:rFonts w:eastAsia="Times New Roman"/>
                <w:noProof/>
                <w:color w:val="006100"/>
                <w:sz w:val="22"/>
              </w:rPr>
            </w:pPr>
            <w:r>
              <w:rPr>
                <w:noProof/>
                <w:color w:val="006100"/>
                <w:sz w:val="22"/>
              </w:rPr>
              <w:t xml:space="preserve">B: Trajnostni razvoj slovenske nastanitvene turistične ponudbe za dvig dodane vrednosti turizma </w:t>
            </w:r>
          </w:p>
        </w:tc>
        <w:tc>
          <w:tcPr>
            <w:tcW w:w="1247" w:type="dxa"/>
            <w:shd w:val="clear" w:color="auto" w:fill="C6EFCE"/>
            <w:noWrap/>
          </w:tcPr>
          <w:p w14:paraId="063217FD" w14:textId="1B89B3FB"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CCA5830" w14:textId="14D1B388" w:rsidR="00577E71" w:rsidRPr="00DD6A04" w:rsidRDefault="00577E71" w:rsidP="00577E71">
            <w:pPr>
              <w:spacing w:before="0" w:after="0" w:line="276" w:lineRule="auto"/>
              <w:rPr>
                <w:rFonts w:eastAsia="Times New Roman"/>
                <w:noProof/>
                <w:color w:val="006100"/>
                <w:sz w:val="22"/>
              </w:rPr>
            </w:pPr>
            <w:r>
              <w:rPr>
                <w:noProof/>
                <w:color w:val="006100"/>
                <w:sz w:val="22"/>
              </w:rPr>
              <w:t xml:space="preserve">Izdaja sklepov o sofinanciranju za povečanje energetske učinkovitosti turističnih nastanitvenih zmogljivosti </w:t>
            </w:r>
          </w:p>
          <w:p w14:paraId="4ACEE714" w14:textId="77777777" w:rsidR="00577E71" w:rsidRPr="00DD6A04" w:rsidRDefault="00577E71" w:rsidP="00577E71">
            <w:pPr>
              <w:spacing w:before="0" w:after="0" w:line="276" w:lineRule="auto"/>
              <w:rPr>
                <w:rFonts w:eastAsia="Times New Roman"/>
                <w:noProof/>
                <w:color w:val="006100"/>
                <w:sz w:val="22"/>
                <w:lang w:val="en-GB" w:eastAsia="en-GB"/>
              </w:rPr>
            </w:pPr>
          </w:p>
        </w:tc>
      </w:tr>
      <w:tr w:rsidR="00577E71" w:rsidRPr="00DD6A04" w14:paraId="0A27F6A5" w14:textId="77777777" w:rsidTr="150EC00E">
        <w:trPr>
          <w:trHeight w:val="302"/>
        </w:trPr>
        <w:tc>
          <w:tcPr>
            <w:tcW w:w="1247" w:type="dxa"/>
            <w:shd w:val="clear" w:color="auto" w:fill="C6EFCE"/>
            <w:noWrap/>
          </w:tcPr>
          <w:p w14:paraId="49A5DF29" w14:textId="77777777" w:rsidR="00577E71" w:rsidRPr="00DD6A04" w:rsidRDefault="00577E71" w:rsidP="00577E71">
            <w:pPr>
              <w:spacing w:before="0" w:after="0" w:line="276" w:lineRule="auto"/>
              <w:jc w:val="center"/>
              <w:rPr>
                <w:rFonts w:eastAsia="Times New Roman"/>
                <w:noProof/>
                <w:color w:val="006100"/>
                <w:sz w:val="22"/>
                <w:lang w:val="en-GB" w:eastAsia="en-GB"/>
              </w:rPr>
            </w:pPr>
          </w:p>
          <w:p w14:paraId="7B6F0ACC" w14:textId="77777777" w:rsidR="00577E71" w:rsidRPr="00DD6A04" w:rsidRDefault="00577E71" w:rsidP="00577E71">
            <w:pPr>
              <w:spacing w:before="0" w:after="0" w:line="276" w:lineRule="auto"/>
              <w:jc w:val="center"/>
              <w:rPr>
                <w:rFonts w:eastAsia="Times New Roman"/>
                <w:noProof/>
                <w:color w:val="006100"/>
                <w:sz w:val="22"/>
              </w:rPr>
            </w:pPr>
            <w:r>
              <w:rPr>
                <w:noProof/>
                <w:color w:val="006100"/>
                <w:sz w:val="22"/>
              </w:rPr>
              <w:t>154</w:t>
            </w:r>
          </w:p>
          <w:p w14:paraId="1F0A1CDD"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2020ED8" w14:textId="6DFE2B51" w:rsidR="00577E71" w:rsidRPr="00DD6A04" w:rsidRDefault="00577E71" w:rsidP="00577E71">
            <w:pPr>
              <w:spacing w:before="0" w:after="0" w:line="276" w:lineRule="auto"/>
              <w:rPr>
                <w:rFonts w:eastAsia="Times New Roman"/>
                <w:noProof/>
                <w:color w:val="006100"/>
                <w:sz w:val="22"/>
              </w:rPr>
            </w:pPr>
            <w:r>
              <w:rPr>
                <w:noProof/>
                <w:color w:val="006100"/>
                <w:sz w:val="22"/>
              </w:rPr>
              <w:t xml:space="preserve">D: Trajnostna obnova in oživljanje kulturne dediščine in javne kulturne infrastrukture </w:t>
            </w:r>
          </w:p>
        </w:tc>
        <w:tc>
          <w:tcPr>
            <w:tcW w:w="1247" w:type="dxa"/>
            <w:shd w:val="clear" w:color="auto" w:fill="C6EFCE"/>
            <w:noWrap/>
          </w:tcPr>
          <w:p w14:paraId="04005608" w14:textId="4AD0C254" w:rsidR="00577E71" w:rsidRPr="00DD6A04" w:rsidRDefault="00577E71" w:rsidP="00577E71">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1BF1110E" w14:textId="161CDD18" w:rsidR="00577E71" w:rsidRPr="00DD6A04" w:rsidRDefault="00577E71" w:rsidP="00577E71">
            <w:pPr>
              <w:spacing w:before="0" w:after="0" w:line="276" w:lineRule="auto"/>
              <w:rPr>
                <w:rFonts w:eastAsia="Times New Roman"/>
                <w:noProof/>
                <w:color w:val="006100"/>
                <w:sz w:val="22"/>
              </w:rPr>
            </w:pPr>
            <w:r>
              <w:rPr>
                <w:noProof/>
                <w:color w:val="006100"/>
                <w:sz w:val="22"/>
              </w:rPr>
              <w:t>Izbor projektov za obnovo objektov kulturne dediščine</w:t>
            </w:r>
          </w:p>
        </w:tc>
      </w:tr>
      <w:tr w:rsidR="00577E71" w:rsidRPr="00DD6A04" w14:paraId="243D7EFA" w14:textId="77777777" w:rsidTr="150EC00E">
        <w:trPr>
          <w:trHeight w:val="302"/>
        </w:trPr>
        <w:tc>
          <w:tcPr>
            <w:tcW w:w="1247" w:type="dxa"/>
            <w:shd w:val="clear" w:color="auto" w:fill="C6EFCE"/>
            <w:noWrap/>
            <w:vAlign w:val="bottom"/>
          </w:tcPr>
          <w:p w14:paraId="4C26215C" w14:textId="77777777" w:rsidR="00577E71" w:rsidRPr="00DD6A04" w:rsidRDefault="00577E71" w:rsidP="00577E71">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6DDA9E16" w14:textId="77777777" w:rsidR="00577E71" w:rsidRPr="00DD6A04" w:rsidRDefault="00577E71" w:rsidP="00577E71">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76EF9FC2" w14:textId="3227D927" w:rsidR="00577E71" w:rsidRPr="00DD6A04" w:rsidRDefault="00577E71" w:rsidP="00577E71">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61D0D9B9" w14:textId="67F5FB35" w:rsidR="00577E71" w:rsidRPr="00DD6A04" w:rsidRDefault="00577E71" w:rsidP="00577E71">
            <w:pPr>
              <w:spacing w:before="0" w:after="0" w:line="276" w:lineRule="auto"/>
              <w:rPr>
                <w:rFonts w:eastAsia="Times New Roman"/>
                <w:noProof/>
                <w:color w:val="006100"/>
                <w:sz w:val="22"/>
              </w:rPr>
            </w:pPr>
            <w:r>
              <w:rPr>
                <w:b/>
                <w:noProof/>
                <w:color w:val="006100"/>
                <w:sz w:val="22"/>
              </w:rPr>
              <w:t>156 822 253 EUR</w:t>
            </w:r>
          </w:p>
        </w:tc>
      </w:tr>
    </w:tbl>
    <w:p w14:paraId="67540586" w14:textId="77777777" w:rsidR="003C6015" w:rsidRPr="00DD6A04" w:rsidRDefault="003C6015" w:rsidP="003C6015">
      <w:pPr>
        <w:spacing w:before="0" w:after="200" w:line="276" w:lineRule="auto"/>
        <w:rPr>
          <w:rFonts w:ascii="Calibri" w:hAnsi="Calibri"/>
          <w:noProof/>
          <w:sz w:val="22"/>
          <w:lang w:val="en-GB"/>
        </w:rPr>
      </w:pPr>
    </w:p>
    <w:p w14:paraId="1D64C524" w14:textId="77777777" w:rsidR="003C6015" w:rsidRPr="00DD6A04" w:rsidRDefault="003C6015" w:rsidP="00BD7FBD">
      <w:pPr>
        <w:numPr>
          <w:ilvl w:val="1"/>
          <w:numId w:val="19"/>
        </w:numPr>
        <w:spacing w:before="0" w:after="200" w:line="240" w:lineRule="auto"/>
        <w:jc w:val="both"/>
        <w:rPr>
          <w:noProof/>
        </w:rPr>
      </w:pPr>
      <w:r>
        <w:rPr>
          <w:noProof/>
        </w:rPr>
        <w:t xml:space="preserve">Četrti obrok (nepovratna podpora): </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CB0219" w:rsidRPr="00DD6A04" w14:paraId="72BBCF52" w14:textId="77777777">
        <w:trPr>
          <w:trHeight w:val="567"/>
          <w:tblHeader/>
        </w:trPr>
        <w:tc>
          <w:tcPr>
            <w:tcW w:w="1247" w:type="dxa"/>
            <w:vMerge w:val="restart"/>
            <w:shd w:val="clear" w:color="auto" w:fill="BDD7EE"/>
            <w:vAlign w:val="center"/>
            <w:hideMark/>
          </w:tcPr>
          <w:p w14:paraId="1D7B6DEF" w14:textId="77777777" w:rsidR="00CB0219" w:rsidRPr="00DD6A04" w:rsidRDefault="00CB0219">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23353E45" w14:textId="77777777" w:rsidR="00CB0219" w:rsidRPr="00DD6A04" w:rsidRDefault="00CB0219">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4CA2ABBE" w14:textId="77777777" w:rsidR="00CB0219" w:rsidRPr="00DD6A04" w:rsidRDefault="00CB0219">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17A3673A" w14:textId="77777777" w:rsidR="00CB0219" w:rsidRPr="00DD6A04" w:rsidRDefault="00CB0219">
            <w:pPr>
              <w:spacing w:before="0" w:after="0" w:line="276" w:lineRule="auto"/>
              <w:jc w:val="center"/>
              <w:rPr>
                <w:rFonts w:eastAsia="Times New Roman"/>
                <w:b/>
                <w:noProof/>
                <w:sz w:val="22"/>
              </w:rPr>
            </w:pPr>
            <w:r>
              <w:rPr>
                <w:b/>
                <w:noProof/>
                <w:sz w:val="22"/>
              </w:rPr>
              <w:t>Ime</w:t>
            </w:r>
          </w:p>
        </w:tc>
      </w:tr>
      <w:tr w:rsidR="00CB0219" w:rsidRPr="00DD6A04" w14:paraId="48E77119" w14:textId="77777777">
        <w:trPr>
          <w:trHeight w:val="309"/>
          <w:tblHeader/>
        </w:trPr>
        <w:tc>
          <w:tcPr>
            <w:tcW w:w="1247" w:type="dxa"/>
            <w:vMerge/>
            <w:vAlign w:val="center"/>
            <w:hideMark/>
          </w:tcPr>
          <w:p w14:paraId="2A0D5FEC" w14:textId="77777777" w:rsidR="00CB0219" w:rsidRPr="00DD6A04" w:rsidRDefault="00CB0219">
            <w:pPr>
              <w:spacing w:before="0" w:after="0" w:line="276" w:lineRule="auto"/>
              <w:jc w:val="center"/>
              <w:rPr>
                <w:rFonts w:eastAsia="Times New Roman"/>
                <w:b/>
                <w:noProof/>
                <w:sz w:val="22"/>
                <w:szCs w:val="24"/>
                <w:lang w:val="en-GB" w:eastAsia="en-GB"/>
              </w:rPr>
            </w:pPr>
          </w:p>
        </w:tc>
        <w:tc>
          <w:tcPr>
            <w:tcW w:w="3119" w:type="dxa"/>
            <w:vMerge/>
            <w:vAlign w:val="center"/>
            <w:hideMark/>
          </w:tcPr>
          <w:p w14:paraId="5E25A032" w14:textId="77777777" w:rsidR="00CB0219" w:rsidRPr="00DD6A04" w:rsidRDefault="00CB0219">
            <w:pPr>
              <w:spacing w:before="0" w:after="0" w:line="276" w:lineRule="auto"/>
              <w:rPr>
                <w:rFonts w:eastAsia="Times New Roman"/>
                <w:b/>
                <w:noProof/>
                <w:sz w:val="22"/>
                <w:szCs w:val="24"/>
                <w:lang w:val="en-GB" w:eastAsia="en-GB"/>
              </w:rPr>
            </w:pPr>
          </w:p>
        </w:tc>
        <w:tc>
          <w:tcPr>
            <w:tcW w:w="1247" w:type="dxa"/>
            <w:vMerge/>
            <w:vAlign w:val="center"/>
            <w:hideMark/>
          </w:tcPr>
          <w:p w14:paraId="647F9898" w14:textId="77777777" w:rsidR="00CB0219" w:rsidRPr="00DD6A04" w:rsidRDefault="00CB0219">
            <w:pPr>
              <w:spacing w:before="0" w:after="0" w:line="276" w:lineRule="auto"/>
              <w:rPr>
                <w:rFonts w:eastAsia="Times New Roman"/>
                <w:b/>
                <w:noProof/>
                <w:sz w:val="22"/>
                <w:szCs w:val="24"/>
                <w:lang w:val="en-GB" w:eastAsia="en-GB"/>
              </w:rPr>
            </w:pPr>
          </w:p>
        </w:tc>
        <w:tc>
          <w:tcPr>
            <w:tcW w:w="4139" w:type="dxa"/>
            <w:vMerge/>
            <w:vAlign w:val="center"/>
            <w:hideMark/>
          </w:tcPr>
          <w:p w14:paraId="0E0DF7C8" w14:textId="77777777" w:rsidR="00CB0219" w:rsidRPr="00DD6A04" w:rsidRDefault="00CB0219">
            <w:pPr>
              <w:spacing w:before="0" w:after="0" w:line="276" w:lineRule="auto"/>
              <w:rPr>
                <w:rFonts w:eastAsia="Times New Roman"/>
                <w:b/>
                <w:noProof/>
                <w:sz w:val="22"/>
                <w:szCs w:val="24"/>
                <w:lang w:val="en-GB" w:eastAsia="en-GB"/>
              </w:rPr>
            </w:pPr>
          </w:p>
        </w:tc>
      </w:tr>
      <w:tr w:rsidR="00AE50CC" w:rsidRPr="00DD6A04" w14:paraId="001CFDD3" w14:textId="77777777">
        <w:trPr>
          <w:trHeight w:val="302"/>
        </w:trPr>
        <w:tc>
          <w:tcPr>
            <w:tcW w:w="1247" w:type="dxa"/>
            <w:shd w:val="clear" w:color="auto" w:fill="C6EFCE"/>
            <w:noWrap/>
          </w:tcPr>
          <w:p w14:paraId="3BD43380" w14:textId="77777777" w:rsidR="00AE50CC" w:rsidRPr="00DD6A04" w:rsidRDefault="00AE50CC" w:rsidP="00AE50CC">
            <w:pPr>
              <w:spacing w:before="0" w:after="0" w:line="276" w:lineRule="auto"/>
              <w:jc w:val="center"/>
              <w:rPr>
                <w:rFonts w:eastAsia="Times New Roman"/>
                <w:noProof/>
                <w:color w:val="006100"/>
                <w:sz w:val="22"/>
                <w:lang w:val="en-GB" w:eastAsia="en-GB"/>
              </w:rPr>
            </w:pPr>
          </w:p>
          <w:p w14:paraId="56C894CF" w14:textId="77777777" w:rsidR="00AE50CC" w:rsidRPr="00DD6A04" w:rsidRDefault="00AE50CC" w:rsidP="00AE50CC">
            <w:pPr>
              <w:spacing w:before="0" w:after="0" w:line="276" w:lineRule="auto"/>
              <w:jc w:val="center"/>
              <w:rPr>
                <w:rFonts w:eastAsia="Times New Roman"/>
                <w:noProof/>
                <w:color w:val="006100"/>
                <w:sz w:val="22"/>
              </w:rPr>
            </w:pPr>
            <w:r>
              <w:rPr>
                <w:noProof/>
                <w:color w:val="006100"/>
                <w:sz w:val="22"/>
              </w:rPr>
              <w:t>19</w:t>
            </w:r>
          </w:p>
          <w:p w14:paraId="71EAA3D2" w14:textId="77777777" w:rsidR="00AE50CC" w:rsidRPr="00DD6A04" w:rsidRDefault="00AE50CC" w:rsidP="00AE50CC">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19BA407" w14:textId="6801A4D6" w:rsidR="00AE50CC" w:rsidRPr="00DD6A04" w:rsidRDefault="00AE50CC" w:rsidP="00AE50CC">
            <w:pPr>
              <w:spacing w:before="0" w:after="0" w:line="276" w:lineRule="auto"/>
              <w:rPr>
                <w:rFonts w:eastAsia="Times New Roman"/>
                <w:noProof/>
                <w:color w:val="006100"/>
                <w:sz w:val="22"/>
              </w:rPr>
            </w:pPr>
            <w:r>
              <w:rPr>
                <w:noProof/>
                <w:color w:val="006100"/>
                <w:sz w:val="22"/>
              </w:rPr>
              <w:t>A: Reforma načrtovanja in financiranja energetske prenove stavb javnega sektorja</w:t>
            </w:r>
          </w:p>
        </w:tc>
        <w:tc>
          <w:tcPr>
            <w:tcW w:w="1247" w:type="dxa"/>
            <w:shd w:val="clear" w:color="auto" w:fill="C6EFCE"/>
            <w:noWrap/>
          </w:tcPr>
          <w:p w14:paraId="5AF07A61" w14:textId="221D8534" w:rsidR="00AE50CC" w:rsidRPr="00DD6A04" w:rsidRDefault="00AE50CC" w:rsidP="00AE50CC">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693D346" w14:textId="618BDF19" w:rsidR="00AE50CC" w:rsidRPr="00DD6A04" w:rsidRDefault="00AE50CC" w:rsidP="00AE50CC">
            <w:pPr>
              <w:spacing w:before="0" w:after="0" w:line="276" w:lineRule="auto"/>
              <w:rPr>
                <w:rFonts w:eastAsia="Times New Roman"/>
                <w:noProof/>
                <w:color w:val="006100"/>
                <w:sz w:val="22"/>
              </w:rPr>
            </w:pPr>
            <w:r>
              <w:rPr>
                <w:noProof/>
                <w:color w:val="006100"/>
                <w:sz w:val="22"/>
              </w:rPr>
              <w:t>Začetek veljavnosti prepovedi uporabe fosilnih goriv za ogrevanje novih stavb</w:t>
            </w:r>
          </w:p>
        </w:tc>
      </w:tr>
      <w:tr w:rsidR="00AE50CC" w:rsidRPr="00DD6A04" w14:paraId="36FFD381" w14:textId="77777777">
        <w:trPr>
          <w:trHeight w:val="302"/>
        </w:trPr>
        <w:tc>
          <w:tcPr>
            <w:tcW w:w="1247" w:type="dxa"/>
            <w:shd w:val="clear" w:color="auto" w:fill="C6EFCE"/>
            <w:noWrap/>
          </w:tcPr>
          <w:p w14:paraId="5F4199F8" w14:textId="77777777" w:rsidR="00AE50CC" w:rsidRPr="00DD6A04" w:rsidRDefault="00AE50CC" w:rsidP="00AE50CC">
            <w:pPr>
              <w:spacing w:before="0" w:after="0" w:line="276" w:lineRule="auto"/>
              <w:jc w:val="center"/>
              <w:rPr>
                <w:rFonts w:eastAsia="Times New Roman"/>
                <w:noProof/>
                <w:color w:val="006100"/>
                <w:sz w:val="22"/>
                <w:lang w:val="en-GB" w:eastAsia="en-GB"/>
              </w:rPr>
            </w:pPr>
          </w:p>
          <w:p w14:paraId="72BCAD9C" w14:textId="77777777" w:rsidR="00AE50CC" w:rsidRPr="00DD6A04" w:rsidRDefault="00AE50CC" w:rsidP="00AE50CC">
            <w:pPr>
              <w:spacing w:before="0" w:after="0" w:line="276" w:lineRule="auto"/>
              <w:jc w:val="center"/>
              <w:rPr>
                <w:rFonts w:eastAsia="Times New Roman"/>
                <w:noProof/>
                <w:color w:val="006100"/>
                <w:sz w:val="22"/>
              </w:rPr>
            </w:pPr>
            <w:r>
              <w:rPr>
                <w:noProof/>
                <w:color w:val="006100"/>
                <w:sz w:val="22"/>
              </w:rPr>
              <w:t>129</w:t>
            </w:r>
          </w:p>
          <w:p w14:paraId="24D169D5" w14:textId="77777777" w:rsidR="00AE50CC" w:rsidRPr="00DD6A04" w:rsidRDefault="00AE50CC" w:rsidP="00AE50CC">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0D5DA43" w14:textId="4B5D36CD" w:rsidR="00AE50CC" w:rsidRPr="00DD6A04" w:rsidRDefault="00AE50CC" w:rsidP="00AE50CC">
            <w:pPr>
              <w:spacing w:before="0" w:after="0" w:line="276" w:lineRule="auto"/>
              <w:rPr>
                <w:rFonts w:eastAsia="Times New Roman"/>
                <w:noProof/>
                <w:color w:val="006100"/>
                <w:sz w:val="22"/>
              </w:rPr>
            </w:pPr>
            <w:r>
              <w:rPr>
                <w:noProof/>
                <w:color w:val="006100"/>
                <w:sz w:val="22"/>
              </w:rPr>
              <w:t>C: Podpora za dekarbonizacijo, produktivnost in konkurenčnost podjetij</w:t>
            </w:r>
          </w:p>
        </w:tc>
        <w:tc>
          <w:tcPr>
            <w:tcW w:w="1247" w:type="dxa"/>
            <w:shd w:val="clear" w:color="auto" w:fill="C6EFCE"/>
            <w:noWrap/>
          </w:tcPr>
          <w:p w14:paraId="7722F38F" w14:textId="520C3D80" w:rsidR="00AE50CC" w:rsidRPr="00DD6A04" w:rsidRDefault="00AE50CC" w:rsidP="00AE50CC">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AA027F9" w14:textId="3E376D16" w:rsidR="00AE50CC" w:rsidRPr="00DD6A04" w:rsidRDefault="00AE50CC" w:rsidP="00AE50CC">
            <w:pPr>
              <w:spacing w:before="0" w:after="0" w:line="276" w:lineRule="auto"/>
              <w:rPr>
                <w:rFonts w:eastAsia="Times New Roman"/>
                <w:noProof/>
                <w:color w:val="006100"/>
                <w:sz w:val="22"/>
              </w:rPr>
            </w:pPr>
            <w:r>
              <w:rPr>
                <w:noProof/>
                <w:color w:val="006100"/>
                <w:sz w:val="22"/>
              </w:rPr>
              <w:t>Izdaja sklepov o sofinanciranju projektov za spodbujanje investicij</w:t>
            </w:r>
          </w:p>
          <w:p w14:paraId="12E6B022" w14:textId="77777777" w:rsidR="00AE50CC" w:rsidRPr="00DD6A04" w:rsidRDefault="00AE50CC" w:rsidP="00AE50CC">
            <w:pPr>
              <w:spacing w:before="0" w:after="0" w:line="276" w:lineRule="auto"/>
              <w:rPr>
                <w:rFonts w:eastAsia="Times New Roman"/>
                <w:noProof/>
                <w:color w:val="006100"/>
                <w:sz w:val="22"/>
                <w:lang w:val="en-GB" w:eastAsia="en-GB"/>
              </w:rPr>
            </w:pPr>
          </w:p>
        </w:tc>
      </w:tr>
      <w:tr w:rsidR="00AE50CC" w:rsidRPr="00DD6A04" w14:paraId="725F1EB4" w14:textId="77777777">
        <w:trPr>
          <w:trHeight w:val="302"/>
        </w:trPr>
        <w:tc>
          <w:tcPr>
            <w:tcW w:w="1247" w:type="dxa"/>
            <w:shd w:val="clear" w:color="auto" w:fill="C6EFCE"/>
            <w:noWrap/>
          </w:tcPr>
          <w:p w14:paraId="2D2A5872" w14:textId="77777777" w:rsidR="00AE50CC" w:rsidRPr="00DD6A04" w:rsidRDefault="00AE50CC" w:rsidP="00AE50CC">
            <w:pPr>
              <w:spacing w:before="0" w:after="0" w:line="276" w:lineRule="auto"/>
              <w:jc w:val="center"/>
              <w:rPr>
                <w:rFonts w:eastAsia="Times New Roman"/>
                <w:noProof/>
                <w:color w:val="006100"/>
                <w:sz w:val="22"/>
                <w:lang w:val="en-GB" w:eastAsia="en-GB"/>
              </w:rPr>
            </w:pPr>
          </w:p>
          <w:p w14:paraId="4C8FD0D9" w14:textId="77777777" w:rsidR="00AE50CC" w:rsidRPr="00DD6A04" w:rsidRDefault="00AE50CC" w:rsidP="00AE50CC">
            <w:pPr>
              <w:spacing w:before="0" w:after="0" w:line="276" w:lineRule="auto"/>
              <w:jc w:val="center"/>
              <w:rPr>
                <w:rFonts w:eastAsia="Times New Roman"/>
                <w:noProof/>
                <w:color w:val="006100"/>
                <w:sz w:val="22"/>
              </w:rPr>
            </w:pPr>
            <w:r>
              <w:rPr>
                <w:noProof/>
                <w:color w:val="006100"/>
                <w:sz w:val="22"/>
              </w:rPr>
              <w:t>137</w:t>
            </w:r>
          </w:p>
          <w:p w14:paraId="0F61DCD3" w14:textId="77777777" w:rsidR="00AE50CC" w:rsidRPr="00DD6A04" w:rsidRDefault="00AE50CC" w:rsidP="00AE50CC">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8613FC7" w14:textId="444C00F4" w:rsidR="00AE50CC" w:rsidRPr="00DD6A04" w:rsidRDefault="00AE50CC" w:rsidP="00AE50CC">
            <w:pPr>
              <w:spacing w:before="0" w:after="0" w:line="276" w:lineRule="auto"/>
              <w:rPr>
                <w:rFonts w:eastAsia="Times New Roman"/>
                <w:noProof/>
                <w:color w:val="006100"/>
                <w:sz w:val="22"/>
              </w:rPr>
            </w:pPr>
            <w:r>
              <w:rPr>
                <w:noProof/>
                <w:color w:val="006100"/>
                <w:sz w:val="22"/>
              </w:rPr>
              <w:t>A: Strukturni ukrepi za krepitev (odpornosti) trga dela</w:t>
            </w:r>
          </w:p>
        </w:tc>
        <w:tc>
          <w:tcPr>
            <w:tcW w:w="1247" w:type="dxa"/>
            <w:shd w:val="clear" w:color="auto" w:fill="C6EFCE"/>
            <w:noWrap/>
          </w:tcPr>
          <w:p w14:paraId="05D886D2" w14:textId="32CD6E9A" w:rsidR="00AE50CC" w:rsidRPr="00DD6A04" w:rsidRDefault="00AE50CC" w:rsidP="00AE50CC">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EB8CB61" w14:textId="0E18DB3F" w:rsidR="00AE50CC" w:rsidRPr="00DD6A04" w:rsidRDefault="00AE50CC" w:rsidP="00AE50CC">
            <w:pPr>
              <w:spacing w:before="0" w:after="0" w:line="276" w:lineRule="auto"/>
              <w:rPr>
                <w:rFonts w:eastAsia="Times New Roman"/>
                <w:noProof/>
                <w:color w:val="006100"/>
                <w:sz w:val="22"/>
              </w:rPr>
            </w:pPr>
            <w:r>
              <w:rPr>
                <w:noProof/>
                <w:color w:val="006100"/>
                <w:sz w:val="22"/>
              </w:rPr>
              <w:t xml:space="preserve">Predlog sprememb pokojninske zakonodaje v posvetovanje </w:t>
            </w:r>
          </w:p>
        </w:tc>
      </w:tr>
      <w:tr w:rsidR="00AE50CC" w:rsidRPr="00DD6A04" w14:paraId="235FBEEF" w14:textId="77777777">
        <w:trPr>
          <w:trHeight w:val="302"/>
        </w:trPr>
        <w:tc>
          <w:tcPr>
            <w:tcW w:w="1247" w:type="dxa"/>
            <w:shd w:val="clear" w:color="auto" w:fill="C6EFCE"/>
            <w:noWrap/>
          </w:tcPr>
          <w:p w14:paraId="6A9FB66F" w14:textId="77777777" w:rsidR="00AE50CC" w:rsidRPr="00DD6A04" w:rsidRDefault="00AE50CC" w:rsidP="00AE50CC">
            <w:pPr>
              <w:spacing w:before="0" w:after="0" w:line="276" w:lineRule="auto"/>
              <w:jc w:val="center"/>
              <w:rPr>
                <w:rFonts w:eastAsia="Times New Roman"/>
                <w:noProof/>
                <w:color w:val="006100"/>
                <w:sz w:val="22"/>
                <w:lang w:val="en-GB" w:eastAsia="en-GB"/>
              </w:rPr>
            </w:pPr>
          </w:p>
          <w:p w14:paraId="0C26A328" w14:textId="77777777" w:rsidR="00AE50CC" w:rsidRPr="00DD6A04" w:rsidRDefault="00AE50CC" w:rsidP="00AE50CC">
            <w:pPr>
              <w:spacing w:before="0" w:after="0" w:line="276" w:lineRule="auto"/>
              <w:jc w:val="center"/>
              <w:rPr>
                <w:rFonts w:eastAsia="Times New Roman"/>
                <w:noProof/>
                <w:color w:val="006100"/>
                <w:sz w:val="22"/>
              </w:rPr>
            </w:pPr>
            <w:r>
              <w:rPr>
                <w:noProof/>
                <w:color w:val="006100"/>
                <w:sz w:val="22"/>
              </w:rPr>
              <w:t>164</w:t>
            </w:r>
          </w:p>
          <w:p w14:paraId="4629D0C2" w14:textId="77777777" w:rsidR="00AE50CC" w:rsidRPr="00DD6A04" w:rsidRDefault="00AE50CC" w:rsidP="00AE50CC">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D3A7592" w14:textId="414DFF69" w:rsidR="00AE50CC" w:rsidRPr="00DD6A04" w:rsidRDefault="00AE50CC" w:rsidP="00AE50CC">
            <w:pPr>
              <w:spacing w:before="0" w:after="0" w:line="276" w:lineRule="auto"/>
              <w:rPr>
                <w:rFonts w:eastAsia="Times New Roman"/>
                <w:noProof/>
                <w:color w:val="006100"/>
                <w:sz w:val="22"/>
              </w:rPr>
            </w:pPr>
            <w:r>
              <w:rPr>
                <w:noProof/>
                <w:color w:val="006100"/>
                <w:sz w:val="22"/>
              </w:rPr>
              <w:t>H: Ozelenitev izobraževalne infrastrukture v Sloveniji</w:t>
            </w:r>
          </w:p>
        </w:tc>
        <w:tc>
          <w:tcPr>
            <w:tcW w:w="1247" w:type="dxa"/>
            <w:shd w:val="clear" w:color="auto" w:fill="C6EFCE"/>
            <w:noWrap/>
          </w:tcPr>
          <w:p w14:paraId="56BD4CBC" w14:textId="684C3CBA" w:rsidR="00AE50CC" w:rsidRPr="00DD6A04" w:rsidRDefault="00AE50CC" w:rsidP="00AE50CC">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735BB50" w14:textId="4FC2A6C0" w:rsidR="00AE50CC" w:rsidRPr="00DD6A04" w:rsidRDefault="00AE50CC" w:rsidP="00AE50CC">
            <w:pPr>
              <w:spacing w:before="0" w:after="0" w:line="276" w:lineRule="auto"/>
              <w:rPr>
                <w:rFonts w:eastAsia="Times New Roman"/>
                <w:noProof/>
                <w:color w:val="006100"/>
                <w:sz w:val="22"/>
              </w:rPr>
            </w:pPr>
            <w:r>
              <w:rPr>
                <w:noProof/>
                <w:color w:val="006100"/>
                <w:sz w:val="22"/>
              </w:rPr>
              <w:t>Dokončan izbor naložbenih projektov za ozelenitev izobraževalne infrastrukture</w:t>
            </w:r>
          </w:p>
        </w:tc>
      </w:tr>
      <w:tr w:rsidR="00AE50CC" w:rsidRPr="00DD6A04" w14:paraId="349FB4C7" w14:textId="77777777">
        <w:trPr>
          <w:trHeight w:val="302"/>
        </w:trPr>
        <w:tc>
          <w:tcPr>
            <w:tcW w:w="1247" w:type="dxa"/>
            <w:shd w:val="clear" w:color="auto" w:fill="C6EFCE"/>
            <w:noWrap/>
          </w:tcPr>
          <w:p w14:paraId="559E9F52" w14:textId="77777777" w:rsidR="00AE50CC" w:rsidRPr="00DD6A04" w:rsidRDefault="00AE50CC" w:rsidP="00AE50CC">
            <w:pPr>
              <w:spacing w:before="0" w:after="0" w:line="276" w:lineRule="auto"/>
              <w:jc w:val="center"/>
              <w:rPr>
                <w:rFonts w:eastAsia="Times New Roman"/>
                <w:noProof/>
                <w:color w:val="006100"/>
                <w:sz w:val="22"/>
                <w:lang w:val="en-GB" w:eastAsia="en-GB"/>
              </w:rPr>
            </w:pPr>
          </w:p>
          <w:p w14:paraId="4152DDC9" w14:textId="77777777" w:rsidR="00AE50CC" w:rsidRPr="00DD6A04" w:rsidRDefault="00AE50CC" w:rsidP="00AE50CC">
            <w:pPr>
              <w:spacing w:before="0" w:after="0" w:line="276" w:lineRule="auto"/>
              <w:jc w:val="center"/>
              <w:rPr>
                <w:rFonts w:eastAsia="Times New Roman"/>
                <w:noProof/>
                <w:color w:val="006100"/>
                <w:sz w:val="22"/>
              </w:rPr>
            </w:pPr>
            <w:r>
              <w:rPr>
                <w:noProof/>
                <w:color w:val="006100"/>
                <w:sz w:val="22"/>
              </w:rPr>
              <w:t>179</w:t>
            </w:r>
          </w:p>
          <w:p w14:paraId="0DB8A77C" w14:textId="77777777" w:rsidR="00AE50CC" w:rsidRPr="00DD6A04" w:rsidRDefault="00AE50CC" w:rsidP="00AE50CC">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FFDF072" w14:textId="23134F6C" w:rsidR="00AE50CC" w:rsidRPr="00DD6A04" w:rsidRDefault="00AE50CC" w:rsidP="00AE50CC">
            <w:pPr>
              <w:spacing w:before="0" w:after="0" w:line="276" w:lineRule="auto"/>
              <w:rPr>
                <w:rFonts w:eastAsia="Times New Roman"/>
                <w:noProof/>
                <w:color w:val="006100"/>
                <w:sz w:val="22"/>
              </w:rPr>
            </w:pPr>
            <w:r>
              <w:rPr>
                <w:noProof/>
                <w:color w:val="006100"/>
                <w:sz w:val="22"/>
              </w:rPr>
              <w:t>C: Ustvarjanje sistemskih pogojev za rast investicij</w:t>
            </w:r>
          </w:p>
        </w:tc>
        <w:tc>
          <w:tcPr>
            <w:tcW w:w="1247" w:type="dxa"/>
            <w:shd w:val="clear" w:color="auto" w:fill="C6EFCE"/>
            <w:noWrap/>
          </w:tcPr>
          <w:p w14:paraId="4BFE52A7" w14:textId="36DAAF30" w:rsidR="00AE50CC" w:rsidRPr="00DD6A04" w:rsidRDefault="00AE50CC" w:rsidP="00AE50CC">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E7F8CD1" w14:textId="77777777" w:rsidR="00AE50CC" w:rsidRPr="00DD6A04" w:rsidRDefault="00AE50CC" w:rsidP="00AE50CC">
            <w:pPr>
              <w:spacing w:before="0" w:after="0" w:line="256" w:lineRule="auto"/>
              <w:rPr>
                <w:rFonts w:eastAsia="Times New Roman"/>
                <w:noProof/>
                <w:color w:val="006100"/>
                <w:sz w:val="22"/>
              </w:rPr>
            </w:pPr>
            <w:r>
              <w:rPr>
                <w:noProof/>
                <w:color w:val="006100"/>
                <w:sz w:val="22"/>
              </w:rPr>
              <w:t>Operativna Akademija javnega naročanja</w:t>
            </w:r>
          </w:p>
          <w:p w14:paraId="7E4A1998" w14:textId="77777777" w:rsidR="00AE50CC" w:rsidRPr="00DD6A04" w:rsidRDefault="00AE50CC" w:rsidP="00AE50CC">
            <w:pPr>
              <w:spacing w:before="0" w:after="0" w:line="256" w:lineRule="auto"/>
              <w:rPr>
                <w:rFonts w:eastAsia="Times New Roman"/>
                <w:noProof/>
                <w:color w:val="006100"/>
                <w:sz w:val="22"/>
                <w:lang w:val="en-GB" w:eastAsia="en-GB"/>
              </w:rPr>
            </w:pPr>
          </w:p>
          <w:p w14:paraId="76B5B9A4" w14:textId="77777777" w:rsidR="00AE50CC" w:rsidRPr="00DD6A04" w:rsidRDefault="00AE50CC" w:rsidP="00AE50CC">
            <w:pPr>
              <w:spacing w:before="0" w:after="0" w:line="276" w:lineRule="auto"/>
              <w:rPr>
                <w:rFonts w:eastAsia="Times New Roman"/>
                <w:noProof/>
                <w:color w:val="006100"/>
                <w:sz w:val="22"/>
                <w:lang w:val="en-GB" w:eastAsia="en-GB"/>
              </w:rPr>
            </w:pPr>
          </w:p>
        </w:tc>
      </w:tr>
      <w:tr w:rsidR="00AE50CC" w:rsidRPr="00DD6A04" w14:paraId="78DFB289" w14:textId="77777777">
        <w:trPr>
          <w:trHeight w:val="302"/>
        </w:trPr>
        <w:tc>
          <w:tcPr>
            <w:tcW w:w="1247" w:type="dxa"/>
            <w:shd w:val="clear" w:color="auto" w:fill="C6EFCE"/>
            <w:noWrap/>
            <w:vAlign w:val="bottom"/>
          </w:tcPr>
          <w:p w14:paraId="500AF773" w14:textId="77777777" w:rsidR="00AE50CC" w:rsidRPr="00DD6A04" w:rsidRDefault="00AE50CC" w:rsidP="00AE50CC">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4FC3D20A" w14:textId="77777777" w:rsidR="00AE50CC" w:rsidRPr="00DD6A04" w:rsidRDefault="00AE50CC" w:rsidP="00AE50CC">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265DAC9D" w14:textId="6847159A" w:rsidR="00AE50CC" w:rsidRPr="00DD6A04" w:rsidRDefault="00AE50CC" w:rsidP="00AE50CC">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72B3DAD9" w14:textId="237DBA42" w:rsidR="00AE50CC" w:rsidRPr="00DD6A04" w:rsidRDefault="00AE50CC" w:rsidP="00AE50CC">
            <w:pPr>
              <w:spacing w:before="0" w:after="0" w:line="276" w:lineRule="auto"/>
              <w:rPr>
                <w:rFonts w:eastAsia="Times New Roman"/>
                <w:noProof/>
                <w:color w:val="006100"/>
                <w:sz w:val="22"/>
              </w:rPr>
            </w:pPr>
            <w:r>
              <w:rPr>
                <w:b/>
                <w:noProof/>
                <w:color w:val="006100"/>
                <w:sz w:val="22"/>
              </w:rPr>
              <w:t>163 730 733 EUR</w:t>
            </w:r>
          </w:p>
        </w:tc>
      </w:tr>
    </w:tbl>
    <w:p w14:paraId="5E46A9B4" w14:textId="77777777" w:rsidR="003C6015" w:rsidRPr="00DD6A04" w:rsidRDefault="003C6015" w:rsidP="00AE50CC">
      <w:pPr>
        <w:spacing w:line="240" w:lineRule="auto"/>
        <w:jc w:val="both"/>
        <w:rPr>
          <w:b/>
          <w:noProof/>
          <w:lang w:val="en-GB"/>
        </w:rPr>
      </w:pPr>
    </w:p>
    <w:p w14:paraId="06C18572" w14:textId="77777777" w:rsidR="00AE50CC" w:rsidRPr="00DD6A04" w:rsidRDefault="00AE50CC" w:rsidP="00AE50CC">
      <w:pPr>
        <w:spacing w:line="240" w:lineRule="auto"/>
        <w:jc w:val="both"/>
        <w:rPr>
          <w:b/>
          <w:noProof/>
          <w:lang w:val="en-GB"/>
        </w:rPr>
      </w:pPr>
    </w:p>
    <w:p w14:paraId="5E35DD6F" w14:textId="77777777" w:rsidR="002E7B11" w:rsidRPr="00DD6A04" w:rsidRDefault="002E7B11" w:rsidP="00BD7FBD">
      <w:pPr>
        <w:numPr>
          <w:ilvl w:val="1"/>
          <w:numId w:val="19"/>
        </w:numPr>
        <w:spacing w:before="0" w:after="200" w:line="240" w:lineRule="auto"/>
        <w:jc w:val="both"/>
        <w:rPr>
          <w:noProof/>
          <w:lang w:val="en-GB"/>
        </w:rPr>
        <w:sectPr w:rsidR="002E7B11" w:rsidRPr="00DD6A04" w:rsidSect="00073927">
          <w:headerReference w:type="even" r:id="rId300"/>
          <w:headerReference w:type="default" r:id="rId301"/>
          <w:footerReference w:type="even" r:id="rId302"/>
          <w:footerReference w:type="default" r:id="rId303"/>
          <w:headerReference w:type="first" r:id="rId304"/>
          <w:footerReference w:type="first" r:id="rId305"/>
          <w:footnotePr>
            <w:numRestart w:val="eachPage"/>
          </w:footnotePr>
          <w:pgSz w:w="11907" w:h="16839"/>
          <w:pgMar w:top="1134" w:right="1134" w:bottom="1134" w:left="1134" w:header="567" w:footer="567" w:gutter="0"/>
          <w:cols w:space="720"/>
          <w:docGrid w:linePitch="360"/>
        </w:sectPr>
      </w:pPr>
    </w:p>
    <w:p w14:paraId="57E9408C" w14:textId="77777777" w:rsidR="003C6015" w:rsidRPr="00DD6A04" w:rsidRDefault="003C6015" w:rsidP="00BD7FBD">
      <w:pPr>
        <w:numPr>
          <w:ilvl w:val="1"/>
          <w:numId w:val="19"/>
        </w:numPr>
        <w:spacing w:before="0" w:after="200" w:line="240" w:lineRule="auto"/>
        <w:jc w:val="both"/>
        <w:rPr>
          <w:noProof/>
        </w:rPr>
      </w:pPr>
      <w:r>
        <w:rPr>
          <w:noProof/>
        </w:rPr>
        <w:t>Peti obrok (nepovratna podpora):</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CB0219" w:rsidRPr="00DD6A04" w14:paraId="321304C4" w14:textId="77777777">
        <w:trPr>
          <w:trHeight w:val="567"/>
          <w:tblHeader/>
        </w:trPr>
        <w:tc>
          <w:tcPr>
            <w:tcW w:w="1247" w:type="dxa"/>
            <w:vMerge w:val="restart"/>
            <w:shd w:val="clear" w:color="auto" w:fill="BDD7EE"/>
            <w:vAlign w:val="center"/>
            <w:hideMark/>
          </w:tcPr>
          <w:p w14:paraId="61DCE708" w14:textId="77777777" w:rsidR="00CB0219" w:rsidRPr="00DD6A04" w:rsidRDefault="00CB0219">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72981929" w14:textId="77777777" w:rsidR="00CB0219" w:rsidRPr="00DD6A04" w:rsidRDefault="00CB0219">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500A3261" w14:textId="77777777" w:rsidR="00CB0219" w:rsidRPr="00DD6A04" w:rsidRDefault="00CB0219">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323B9013" w14:textId="77777777" w:rsidR="00CB0219" w:rsidRPr="00DD6A04" w:rsidRDefault="00CB0219">
            <w:pPr>
              <w:spacing w:before="0" w:after="0" w:line="276" w:lineRule="auto"/>
              <w:jc w:val="center"/>
              <w:rPr>
                <w:rFonts w:eastAsia="Times New Roman"/>
                <w:b/>
                <w:noProof/>
                <w:sz w:val="22"/>
              </w:rPr>
            </w:pPr>
            <w:r>
              <w:rPr>
                <w:b/>
                <w:noProof/>
                <w:sz w:val="22"/>
              </w:rPr>
              <w:t>Ime</w:t>
            </w:r>
          </w:p>
        </w:tc>
      </w:tr>
      <w:tr w:rsidR="00CB0219" w:rsidRPr="00DD6A04" w14:paraId="6CE61560" w14:textId="77777777">
        <w:trPr>
          <w:trHeight w:val="309"/>
          <w:tblHeader/>
        </w:trPr>
        <w:tc>
          <w:tcPr>
            <w:tcW w:w="1247" w:type="dxa"/>
            <w:vMerge/>
            <w:vAlign w:val="center"/>
            <w:hideMark/>
          </w:tcPr>
          <w:p w14:paraId="1EAAA135" w14:textId="77777777" w:rsidR="00CB0219" w:rsidRPr="00DD6A04" w:rsidRDefault="00CB0219">
            <w:pPr>
              <w:spacing w:before="0" w:after="0" w:line="276" w:lineRule="auto"/>
              <w:jc w:val="center"/>
              <w:rPr>
                <w:rFonts w:eastAsia="Times New Roman"/>
                <w:b/>
                <w:noProof/>
                <w:sz w:val="22"/>
                <w:szCs w:val="24"/>
                <w:lang w:val="en-GB" w:eastAsia="en-GB"/>
              </w:rPr>
            </w:pPr>
          </w:p>
        </w:tc>
        <w:tc>
          <w:tcPr>
            <w:tcW w:w="3119" w:type="dxa"/>
            <w:vMerge/>
            <w:vAlign w:val="center"/>
            <w:hideMark/>
          </w:tcPr>
          <w:p w14:paraId="12F7251B" w14:textId="77777777" w:rsidR="00CB0219" w:rsidRPr="00DD6A04" w:rsidRDefault="00CB0219">
            <w:pPr>
              <w:spacing w:before="0" w:after="0" w:line="276" w:lineRule="auto"/>
              <w:rPr>
                <w:rFonts w:eastAsia="Times New Roman"/>
                <w:b/>
                <w:noProof/>
                <w:sz w:val="22"/>
                <w:szCs w:val="24"/>
                <w:lang w:val="en-GB" w:eastAsia="en-GB"/>
              </w:rPr>
            </w:pPr>
          </w:p>
        </w:tc>
        <w:tc>
          <w:tcPr>
            <w:tcW w:w="1247" w:type="dxa"/>
            <w:vMerge/>
            <w:vAlign w:val="center"/>
            <w:hideMark/>
          </w:tcPr>
          <w:p w14:paraId="2E572ECA" w14:textId="77777777" w:rsidR="00CB0219" w:rsidRPr="00DD6A04" w:rsidRDefault="00CB0219">
            <w:pPr>
              <w:spacing w:before="0" w:after="0" w:line="276" w:lineRule="auto"/>
              <w:rPr>
                <w:rFonts w:eastAsia="Times New Roman"/>
                <w:b/>
                <w:noProof/>
                <w:sz w:val="22"/>
                <w:szCs w:val="24"/>
                <w:lang w:val="en-GB" w:eastAsia="en-GB"/>
              </w:rPr>
            </w:pPr>
          </w:p>
        </w:tc>
        <w:tc>
          <w:tcPr>
            <w:tcW w:w="4139" w:type="dxa"/>
            <w:vMerge/>
            <w:vAlign w:val="center"/>
            <w:hideMark/>
          </w:tcPr>
          <w:p w14:paraId="61AAB4C7" w14:textId="77777777" w:rsidR="00CB0219" w:rsidRPr="00DD6A04" w:rsidRDefault="00CB0219">
            <w:pPr>
              <w:spacing w:before="0" w:after="0" w:line="276" w:lineRule="auto"/>
              <w:rPr>
                <w:rFonts w:eastAsia="Times New Roman"/>
                <w:b/>
                <w:noProof/>
                <w:sz w:val="22"/>
                <w:szCs w:val="24"/>
                <w:lang w:val="en-GB" w:eastAsia="en-GB"/>
              </w:rPr>
            </w:pPr>
          </w:p>
        </w:tc>
      </w:tr>
      <w:tr w:rsidR="005957A6" w:rsidRPr="00DD6A04" w14:paraId="07442803" w14:textId="77777777">
        <w:trPr>
          <w:trHeight w:val="302"/>
        </w:trPr>
        <w:tc>
          <w:tcPr>
            <w:tcW w:w="1247" w:type="dxa"/>
            <w:shd w:val="clear" w:color="auto" w:fill="C6EFCE"/>
            <w:noWrap/>
            <w:vAlign w:val="center"/>
          </w:tcPr>
          <w:p w14:paraId="51CEF0F8" w14:textId="73699255" w:rsidR="005957A6" w:rsidRPr="00DD6A04" w:rsidRDefault="005957A6" w:rsidP="005957A6">
            <w:pPr>
              <w:spacing w:before="0" w:after="0" w:line="276" w:lineRule="auto"/>
              <w:jc w:val="center"/>
              <w:rPr>
                <w:rFonts w:eastAsia="Times New Roman"/>
                <w:noProof/>
                <w:color w:val="006100"/>
                <w:sz w:val="22"/>
              </w:rPr>
            </w:pPr>
            <w:r>
              <w:rPr>
                <w:noProof/>
                <w:color w:val="006100"/>
                <w:sz w:val="22"/>
              </w:rPr>
              <w:t>8</w:t>
            </w:r>
          </w:p>
        </w:tc>
        <w:tc>
          <w:tcPr>
            <w:tcW w:w="3119" w:type="dxa"/>
            <w:shd w:val="clear" w:color="auto" w:fill="C6EFCE"/>
            <w:noWrap/>
          </w:tcPr>
          <w:p w14:paraId="0AFF45EB" w14:textId="07DD29D4" w:rsidR="005957A6" w:rsidRPr="00DD6A04" w:rsidRDefault="005957A6" w:rsidP="005957A6">
            <w:pPr>
              <w:spacing w:before="0" w:after="0" w:line="276" w:lineRule="auto"/>
              <w:rPr>
                <w:rFonts w:eastAsia="Times New Roman"/>
                <w:noProof/>
                <w:color w:val="006100"/>
                <w:sz w:val="22"/>
              </w:rPr>
            </w:pPr>
            <w:r>
              <w:rPr>
                <w:noProof/>
                <w:color w:val="006100"/>
                <w:sz w:val="22"/>
              </w:rPr>
              <w:t xml:space="preserve">C: Energetska učinkovitost v gospodarstvu </w:t>
            </w:r>
          </w:p>
        </w:tc>
        <w:tc>
          <w:tcPr>
            <w:tcW w:w="1247" w:type="dxa"/>
            <w:shd w:val="clear" w:color="auto" w:fill="C6EFCE"/>
            <w:noWrap/>
          </w:tcPr>
          <w:p w14:paraId="7E2A0A74" w14:textId="3DFDB23A"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A98F6EC" w14:textId="06BB887E" w:rsidR="005957A6" w:rsidRPr="00DD6A04" w:rsidRDefault="005957A6" w:rsidP="005957A6">
            <w:pPr>
              <w:spacing w:before="0" w:after="0" w:line="240" w:lineRule="auto"/>
              <w:rPr>
                <w:rFonts w:eastAsia="Times New Roman"/>
                <w:noProof/>
                <w:color w:val="006100"/>
                <w:sz w:val="22"/>
              </w:rPr>
            </w:pPr>
            <w:r>
              <w:rPr>
                <w:noProof/>
                <w:color w:val="006100"/>
                <w:sz w:val="22"/>
              </w:rPr>
              <w:t>Akcijski načrt za upravljanje energetske učinkovitosti v gospodarstvu</w:t>
            </w:r>
          </w:p>
          <w:p w14:paraId="2DE00C49" w14:textId="5B2DC817" w:rsidR="005957A6" w:rsidRPr="00DD6A04" w:rsidRDefault="005957A6" w:rsidP="005957A6">
            <w:pPr>
              <w:spacing w:before="0" w:after="0" w:line="276" w:lineRule="auto"/>
              <w:rPr>
                <w:rFonts w:eastAsia="Times New Roman"/>
                <w:noProof/>
                <w:color w:val="006100"/>
                <w:sz w:val="22"/>
                <w:lang w:val="en-GB" w:eastAsia="en-GB"/>
              </w:rPr>
            </w:pPr>
          </w:p>
        </w:tc>
      </w:tr>
      <w:tr w:rsidR="005957A6" w:rsidRPr="00DD6A04" w14:paraId="3970439D" w14:textId="77777777">
        <w:trPr>
          <w:trHeight w:val="302"/>
        </w:trPr>
        <w:tc>
          <w:tcPr>
            <w:tcW w:w="1247" w:type="dxa"/>
            <w:shd w:val="clear" w:color="auto" w:fill="C6EFCE"/>
            <w:noWrap/>
          </w:tcPr>
          <w:p w14:paraId="20F92A01"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11CD3624"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29</w:t>
            </w:r>
          </w:p>
          <w:p w14:paraId="123CEA80"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5FCFD27" w14:textId="08A2CB63" w:rsidR="005957A6" w:rsidRPr="00DD6A04" w:rsidRDefault="005957A6" w:rsidP="005957A6">
            <w:pPr>
              <w:spacing w:before="0" w:after="0" w:line="276" w:lineRule="auto"/>
              <w:rPr>
                <w:rFonts w:eastAsia="Times New Roman"/>
                <w:noProof/>
                <w:color w:val="006100"/>
                <w:sz w:val="22"/>
              </w:rPr>
            </w:pPr>
            <w:r>
              <w:rPr>
                <w:noProof/>
                <w:color w:val="006100"/>
                <w:sz w:val="22"/>
              </w:rPr>
              <w:t>A: Krepitev pripravljenosti in odziva v primeru podnebno pogojenih nesreč</w:t>
            </w:r>
          </w:p>
        </w:tc>
        <w:tc>
          <w:tcPr>
            <w:tcW w:w="1247" w:type="dxa"/>
            <w:shd w:val="clear" w:color="auto" w:fill="C6EFCE"/>
            <w:noWrap/>
          </w:tcPr>
          <w:p w14:paraId="1588940B" w14:textId="6861534E"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3A4196D" w14:textId="78C5B5F8" w:rsidR="005957A6" w:rsidRPr="00DD6A04" w:rsidRDefault="005957A6" w:rsidP="005957A6">
            <w:pPr>
              <w:spacing w:before="0" w:after="0" w:line="276" w:lineRule="auto"/>
              <w:rPr>
                <w:rFonts w:eastAsia="Times New Roman"/>
                <w:noProof/>
                <w:color w:val="006100"/>
                <w:sz w:val="22"/>
              </w:rPr>
            </w:pPr>
            <w:r>
              <w:rPr>
                <w:noProof/>
                <w:color w:val="006100"/>
                <w:sz w:val="22"/>
              </w:rPr>
              <w:t xml:space="preserve">Začetek veljavnosti Resolucije o nacionalnem programu varstva pred naravnimi in drugimi nesrečami </w:t>
            </w:r>
          </w:p>
        </w:tc>
      </w:tr>
      <w:tr w:rsidR="005957A6" w:rsidRPr="00DD6A04" w14:paraId="5448B0B8" w14:textId="77777777">
        <w:trPr>
          <w:trHeight w:val="302"/>
        </w:trPr>
        <w:tc>
          <w:tcPr>
            <w:tcW w:w="1247" w:type="dxa"/>
            <w:shd w:val="clear" w:color="auto" w:fill="C6EFCE"/>
            <w:noWrap/>
          </w:tcPr>
          <w:p w14:paraId="53E2D4BE"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40085B5C"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55</w:t>
            </w:r>
          </w:p>
          <w:p w14:paraId="22DEAFC9"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40A6C03" w14:textId="1BA5A633" w:rsidR="005957A6" w:rsidRPr="00DD6A04" w:rsidRDefault="005957A6" w:rsidP="005957A6">
            <w:pPr>
              <w:spacing w:before="0" w:after="0" w:line="276" w:lineRule="auto"/>
              <w:rPr>
                <w:rFonts w:eastAsia="Times New Roman"/>
                <w:noProof/>
                <w:color w:val="006100"/>
                <w:sz w:val="22"/>
              </w:rPr>
            </w:pPr>
            <w:r>
              <w:rPr>
                <w:noProof/>
                <w:color w:val="006100"/>
                <w:sz w:val="22"/>
              </w:rPr>
              <w:t>A: Reforma organiziranosti javnega potniškega prometa</w:t>
            </w:r>
          </w:p>
        </w:tc>
        <w:tc>
          <w:tcPr>
            <w:tcW w:w="1247" w:type="dxa"/>
            <w:shd w:val="clear" w:color="auto" w:fill="C6EFCE"/>
            <w:noWrap/>
          </w:tcPr>
          <w:p w14:paraId="2EDE9F8F" w14:textId="3CE5BAD5"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D9BFD14" w14:textId="543D6215" w:rsidR="005957A6" w:rsidRPr="00DD6A04" w:rsidRDefault="005957A6" w:rsidP="005957A6">
            <w:pPr>
              <w:spacing w:before="0" w:after="0" w:line="276" w:lineRule="auto"/>
              <w:rPr>
                <w:rFonts w:eastAsia="Times New Roman"/>
                <w:noProof/>
                <w:color w:val="006100"/>
                <w:sz w:val="22"/>
              </w:rPr>
            </w:pPr>
            <w:r>
              <w:rPr>
                <w:noProof/>
                <w:color w:val="006100"/>
                <w:sz w:val="22"/>
              </w:rPr>
              <w:t>Operativna Družba za upravljanje javnega potniškega prometa</w:t>
            </w:r>
          </w:p>
        </w:tc>
      </w:tr>
      <w:tr w:rsidR="005957A6" w:rsidRPr="00DD6A04" w14:paraId="7FF0D9B4" w14:textId="77777777">
        <w:trPr>
          <w:trHeight w:val="302"/>
        </w:trPr>
        <w:tc>
          <w:tcPr>
            <w:tcW w:w="1247" w:type="dxa"/>
            <w:shd w:val="clear" w:color="auto" w:fill="C6EFCE"/>
            <w:noWrap/>
          </w:tcPr>
          <w:p w14:paraId="51E89E43"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640C59FD"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70</w:t>
            </w:r>
          </w:p>
          <w:p w14:paraId="03B0757D"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397EC71" w14:textId="48E51D18" w:rsidR="005957A6" w:rsidRPr="00DD6A04" w:rsidRDefault="005957A6" w:rsidP="005957A6">
            <w:pPr>
              <w:spacing w:before="0" w:after="0" w:line="276" w:lineRule="auto"/>
              <w:rPr>
                <w:rFonts w:eastAsia="Times New Roman"/>
                <w:noProof/>
                <w:color w:val="006100"/>
                <w:sz w:val="22"/>
              </w:rPr>
            </w:pPr>
            <w:r>
              <w:rPr>
                <w:noProof/>
                <w:color w:val="006100"/>
                <w:sz w:val="22"/>
              </w:rPr>
              <w:t>A: Vzpostavitev okvira za trajnostno in zeleno transformacijo</w:t>
            </w:r>
          </w:p>
        </w:tc>
        <w:tc>
          <w:tcPr>
            <w:tcW w:w="1247" w:type="dxa"/>
            <w:shd w:val="clear" w:color="auto" w:fill="C6EFCE"/>
            <w:noWrap/>
          </w:tcPr>
          <w:p w14:paraId="16566F17" w14:textId="189A07EC"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CF07623" w14:textId="682EB948" w:rsidR="005957A6" w:rsidRPr="00DD6A04" w:rsidRDefault="005957A6" w:rsidP="005957A6">
            <w:pPr>
              <w:spacing w:before="0" w:after="0" w:line="276" w:lineRule="auto"/>
              <w:rPr>
                <w:rFonts w:eastAsia="Times New Roman"/>
                <w:noProof/>
                <w:color w:val="006100"/>
                <w:sz w:val="22"/>
              </w:rPr>
            </w:pPr>
            <w:r>
              <w:rPr>
                <w:noProof/>
                <w:color w:val="006100"/>
                <w:sz w:val="22"/>
              </w:rPr>
              <w:t>Razvoj in uporaba metodologije zelenega proračunskega načrtovanja</w:t>
            </w:r>
          </w:p>
        </w:tc>
      </w:tr>
      <w:tr w:rsidR="005957A6" w:rsidRPr="00DD6A04" w14:paraId="126A6525" w14:textId="77777777">
        <w:trPr>
          <w:trHeight w:val="302"/>
        </w:trPr>
        <w:tc>
          <w:tcPr>
            <w:tcW w:w="1247" w:type="dxa"/>
            <w:shd w:val="clear" w:color="auto" w:fill="C6EFCE"/>
            <w:noWrap/>
          </w:tcPr>
          <w:p w14:paraId="5761E5CD"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61B9DC69"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107</w:t>
            </w:r>
          </w:p>
          <w:p w14:paraId="48AA013A"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CFDE5A9" w14:textId="09E04639" w:rsidR="005957A6" w:rsidRPr="00DD6A04" w:rsidRDefault="005957A6" w:rsidP="005957A6">
            <w:pPr>
              <w:spacing w:before="0" w:after="0" w:line="276" w:lineRule="auto"/>
              <w:rPr>
                <w:rFonts w:eastAsia="Times New Roman"/>
                <w:noProof/>
                <w:color w:val="006100"/>
                <w:sz w:val="22"/>
              </w:rPr>
            </w:pPr>
            <w:r>
              <w:rPr>
                <w:noProof/>
                <w:color w:val="006100"/>
                <w:sz w:val="22"/>
              </w:rPr>
              <w:t>J: Digitalizacija izobraževanja in znanosti</w:t>
            </w:r>
          </w:p>
        </w:tc>
        <w:tc>
          <w:tcPr>
            <w:tcW w:w="1247" w:type="dxa"/>
            <w:shd w:val="clear" w:color="auto" w:fill="C6EFCE"/>
            <w:noWrap/>
          </w:tcPr>
          <w:p w14:paraId="73606B31" w14:textId="4CB5880F" w:rsidR="005957A6" w:rsidRPr="00DD6A04" w:rsidRDefault="005957A6" w:rsidP="005957A6">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4FD3F18" w14:textId="6B318016" w:rsidR="005957A6" w:rsidRPr="00DD6A04" w:rsidRDefault="005957A6" w:rsidP="005957A6">
            <w:pPr>
              <w:spacing w:before="0" w:after="0" w:line="276" w:lineRule="auto"/>
              <w:rPr>
                <w:rFonts w:eastAsia="Times New Roman"/>
                <w:noProof/>
                <w:color w:val="006100"/>
                <w:sz w:val="22"/>
              </w:rPr>
            </w:pPr>
            <w:r>
              <w:rPr>
                <w:noProof/>
                <w:color w:val="006100"/>
                <w:sz w:val="22"/>
              </w:rPr>
              <w:t>Dodatne hrbtenične optične povezave s hitrostjo 100 Gb/s</w:t>
            </w:r>
          </w:p>
        </w:tc>
      </w:tr>
      <w:tr w:rsidR="005957A6" w:rsidRPr="00DD6A04" w14:paraId="49EA8AEE" w14:textId="77777777">
        <w:trPr>
          <w:trHeight w:val="302"/>
        </w:trPr>
        <w:tc>
          <w:tcPr>
            <w:tcW w:w="1247" w:type="dxa"/>
            <w:shd w:val="clear" w:color="auto" w:fill="C6EFCE"/>
            <w:noWrap/>
          </w:tcPr>
          <w:p w14:paraId="650BC79F"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0FF613E1"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138</w:t>
            </w:r>
          </w:p>
          <w:p w14:paraId="6E654E8A"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16B705B9"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663566A" w14:textId="3F82FFFD" w:rsidR="005957A6" w:rsidRPr="00DD6A04" w:rsidRDefault="005957A6" w:rsidP="005957A6">
            <w:pPr>
              <w:spacing w:before="0" w:after="0" w:line="276" w:lineRule="auto"/>
              <w:rPr>
                <w:rFonts w:eastAsia="Times New Roman"/>
                <w:noProof/>
                <w:color w:val="006100"/>
                <w:sz w:val="22"/>
              </w:rPr>
            </w:pPr>
            <w:r>
              <w:rPr>
                <w:noProof/>
                <w:color w:val="006100"/>
                <w:sz w:val="22"/>
              </w:rPr>
              <w:t>A: Strukturni ukrepi za krepitev (odpornosti) trga dela</w:t>
            </w:r>
          </w:p>
        </w:tc>
        <w:tc>
          <w:tcPr>
            <w:tcW w:w="1247" w:type="dxa"/>
            <w:shd w:val="clear" w:color="auto" w:fill="C6EFCE"/>
            <w:noWrap/>
          </w:tcPr>
          <w:p w14:paraId="2BF6C992" w14:textId="1FA3707E"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59FAE32" w14:textId="5C1F549C" w:rsidR="005957A6" w:rsidRPr="00DD6A04" w:rsidRDefault="005957A6" w:rsidP="005957A6">
            <w:pPr>
              <w:spacing w:before="0" w:after="0" w:line="276" w:lineRule="auto"/>
              <w:rPr>
                <w:rFonts w:eastAsia="Times New Roman"/>
                <w:noProof/>
                <w:color w:val="006100"/>
                <w:sz w:val="22"/>
              </w:rPr>
            </w:pPr>
            <w:r>
              <w:rPr>
                <w:noProof/>
                <w:color w:val="006100"/>
                <w:sz w:val="22"/>
              </w:rPr>
              <w:t xml:space="preserve">Predložitev zakonodajnega predloga za celovite spremembe Zakona o pokojninskem in invalidskem zavarovanju Državnemu zboru </w:t>
            </w:r>
          </w:p>
        </w:tc>
      </w:tr>
      <w:tr w:rsidR="005957A6" w:rsidRPr="00DD6A04" w14:paraId="391770C4" w14:textId="77777777">
        <w:trPr>
          <w:trHeight w:val="302"/>
        </w:trPr>
        <w:tc>
          <w:tcPr>
            <w:tcW w:w="1247" w:type="dxa"/>
            <w:shd w:val="clear" w:color="auto" w:fill="C6EFCE"/>
            <w:noWrap/>
          </w:tcPr>
          <w:p w14:paraId="38FDBF69"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79A4F7B5"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182</w:t>
            </w:r>
          </w:p>
          <w:p w14:paraId="45E0B356"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84CD324" w14:textId="48BFCF6B" w:rsidR="005957A6" w:rsidRPr="00DD6A04" w:rsidRDefault="005957A6" w:rsidP="005957A6">
            <w:pPr>
              <w:spacing w:before="0" w:after="0" w:line="276" w:lineRule="auto"/>
              <w:rPr>
                <w:rFonts w:eastAsia="Times New Roman"/>
                <w:noProof/>
                <w:color w:val="006100"/>
                <w:sz w:val="22"/>
              </w:rPr>
            </w:pPr>
            <w:r>
              <w:rPr>
                <w:noProof/>
                <w:color w:val="006100"/>
                <w:sz w:val="22"/>
              </w:rPr>
              <w:t>A: Reforma zdravstvenega sistema</w:t>
            </w:r>
          </w:p>
        </w:tc>
        <w:tc>
          <w:tcPr>
            <w:tcW w:w="1247" w:type="dxa"/>
            <w:shd w:val="clear" w:color="auto" w:fill="C6EFCE"/>
            <w:noWrap/>
          </w:tcPr>
          <w:p w14:paraId="164CF14F" w14:textId="01850EAC"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0D22663" w14:textId="689084F2" w:rsidR="005957A6" w:rsidRPr="00DD6A04" w:rsidRDefault="005957A6" w:rsidP="005957A6">
            <w:pPr>
              <w:spacing w:before="0" w:after="0" w:line="276" w:lineRule="auto"/>
              <w:rPr>
                <w:rFonts w:eastAsia="Times New Roman"/>
                <w:noProof/>
                <w:color w:val="006100"/>
                <w:sz w:val="22"/>
              </w:rPr>
            </w:pPr>
            <w:r>
              <w:rPr>
                <w:noProof/>
                <w:color w:val="006100"/>
                <w:sz w:val="22"/>
              </w:rPr>
              <w:t xml:space="preserve">Vzpostavitev neodvisnega organa za spremljanje in obvladovanje kakovosti v zdravstvenem sistemu </w:t>
            </w:r>
          </w:p>
        </w:tc>
      </w:tr>
      <w:tr w:rsidR="005957A6" w:rsidRPr="00DD6A04" w14:paraId="59436F91" w14:textId="77777777">
        <w:trPr>
          <w:trHeight w:val="302"/>
        </w:trPr>
        <w:tc>
          <w:tcPr>
            <w:tcW w:w="1247" w:type="dxa"/>
            <w:shd w:val="clear" w:color="auto" w:fill="C6EFCE"/>
            <w:noWrap/>
          </w:tcPr>
          <w:p w14:paraId="16569794"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1301C1A4"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190</w:t>
            </w:r>
          </w:p>
          <w:p w14:paraId="0DCDEA46"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FA12917" w14:textId="456E5EE2" w:rsidR="005957A6" w:rsidRPr="00DD6A04" w:rsidRDefault="005957A6" w:rsidP="005957A6">
            <w:pPr>
              <w:spacing w:before="0" w:after="0" w:line="276" w:lineRule="auto"/>
              <w:rPr>
                <w:rFonts w:eastAsia="Times New Roman"/>
                <w:noProof/>
                <w:color w:val="006100"/>
                <w:sz w:val="22"/>
              </w:rPr>
            </w:pPr>
            <w:r>
              <w:rPr>
                <w:noProof/>
                <w:color w:val="006100"/>
                <w:sz w:val="22"/>
              </w:rPr>
              <w:t>E: Učinkovita obravnava nalezljivih bolezni</w:t>
            </w:r>
          </w:p>
        </w:tc>
        <w:tc>
          <w:tcPr>
            <w:tcW w:w="1247" w:type="dxa"/>
            <w:shd w:val="clear" w:color="auto" w:fill="C6EFCE"/>
            <w:noWrap/>
          </w:tcPr>
          <w:p w14:paraId="54B230E5" w14:textId="363AE7AF"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30A9D5A" w14:textId="0CD6E76A" w:rsidR="005957A6" w:rsidRPr="00DD6A04" w:rsidRDefault="005957A6" w:rsidP="005957A6">
            <w:pPr>
              <w:spacing w:before="0" w:after="0" w:line="276" w:lineRule="auto"/>
              <w:rPr>
                <w:rFonts w:eastAsia="Times New Roman"/>
                <w:noProof/>
                <w:color w:val="006100"/>
                <w:sz w:val="22"/>
              </w:rPr>
            </w:pPr>
            <w:r>
              <w:rPr>
                <w:noProof/>
                <w:color w:val="006100"/>
                <w:sz w:val="22"/>
              </w:rPr>
              <w:t>Oddaja naročila za gradnjo Infekcijske klinike Ljubljana</w:t>
            </w:r>
          </w:p>
        </w:tc>
      </w:tr>
      <w:tr w:rsidR="005957A6" w:rsidRPr="00DD6A04" w14:paraId="387DF0D1" w14:textId="77777777">
        <w:trPr>
          <w:trHeight w:val="302"/>
        </w:trPr>
        <w:tc>
          <w:tcPr>
            <w:tcW w:w="1247" w:type="dxa"/>
            <w:shd w:val="clear" w:color="auto" w:fill="C6EFCE"/>
            <w:noWrap/>
          </w:tcPr>
          <w:p w14:paraId="2B7881E2"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491B93AB"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197</w:t>
            </w:r>
          </w:p>
          <w:p w14:paraId="0B1C00C5"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C56390B" w14:textId="41FCD56C" w:rsidR="005957A6" w:rsidRPr="00DD6A04" w:rsidRDefault="005957A6" w:rsidP="005957A6">
            <w:pPr>
              <w:spacing w:before="0" w:after="0" w:line="276" w:lineRule="auto"/>
              <w:rPr>
                <w:rFonts w:eastAsia="Times New Roman"/>
                <w:noProof/>
                <w:color w:val="006100"/>
                <w:sz w:val="22"/>
              </w:rPr>
            </w:pPr>
            <w:r>
              <w:rPr>
                <w:noProof/>
                <w:color w:val="006100"/>
                <w:sz w:val="22"/>
              </w:rPr>
              <w:t xml:space="preserve">A: Vzpostavitev enotne sistemske ureditve na področju dolgotrajne oskrbe </w:t>
            </w:r>
          </w:p>
        </w:tc>
        <w:tc>
          <w:tcPr>
            <w:tcW w:w="1247" w:type="dxa"/>
            <w:shd w:val="clear" w:color="auto" w:fill="C6EFCE"/>
            <w:noWrap/>
          </w:tcPr>
          <w:p w14:paraId="22D72CAC" w14:textId="1B9462F5"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3D97583" w14:textId="7BF2AF1A" w:rsidR="005957A6" w:rsidRPr="00DD6A04" w:rsidRDefault="005957A6" w:rsidP="005957A6">
            <w:pPr>
              <w:spacing w:before="0" w:after="0" w:line="276" w:lineRule="auto"/>
              <w:rPr>
                <w:rFonts w:eastAsia="Times New Roman"/>
                <w:noProof/>
                <w:color w:val="006100"/>
                <w:sz w:val="22"/>
              </w:rPr>
            </w:pPr>
            <w:r>
              <w:rPr>
                <w:noProof/>
                <w:color w:val="006100"/>
                <w:sz w:val="22"/>
              </w:rPr>
              <w:t xml:space="preserve">Začetek veljavnosti Zakona o dolgotrajni oskrbi, vključno z določbami o obveznem zavarovanju za dolgotrajno oskrbo </w:t>
            </w:r>
          </w:p>
        </w:tc>
      </w:tr>
      <w:tr w:rsidR="005957A6" w:rsidRPr="00DD6A04" w14:paraId="5A3BCC36" w14:textId="77777777">
        <w:trPr>
          <w:trHeight w:val="302"/>
        </w:trPr>
        <w:tc>
          <w:tcPr>
            <w:tcW w:w="1247" w:type="dxa"/>
            <w:shd w:val="clear" w:color="auto" w:fill="C6EFCE"/>
            <w:noWrap/>
          </w:tcPr>
          <w:p w14:paraId="26B7912E" w14:textId="77777777" w:rsidR="005957A6" w:rsidRPr="00DD6A04" w:rsidRDefault="005957A6" w:rsidP="005957A6">
            <w:pPr>
              <w:spacing w:before="0" w:after="0" w:line="276" w:lineRule="auto"/>
              <w:jc w:val="center"/>
              <w:rPr>
                <w:rFonts w:eastAsia="Times New Roman"/>
                <w:noProof/>
                <w:color w:val="006100"/>
                <w:sz w:val="22"/>
                <w:lang w:val="en-GB" w:eastAsia="en-GB"/>
              </w:rPr>
            </w:pPr>
          </w:p>
          <w:p w14:paraId="6B4962B5" w14:textId="77777777" w:rsidR="005957A6" w:rsidRPr="00DD6A04" w:rsidRDefault="005957A6" w:rsidP="005957A6">
            <w:pPr>
              <w:spacing w:before="0" w:after="0" w:line="276" w:lineRule="auto"/>
              <w:jc w:val="center"/>
              <w:rPr>
                <w:rFonts w:eastAsia="Times New Roman"/>
                <w:noProof/>
                <w:color w:val="006100"/>
                <w:sz w:val="22"/>
              </w:rPr>
            </w:pPr>
            <w:r>
              <w:rPr>
                <w:noProof/>
                <w:color w:val="006100"/>
                <w:sz w:val="22"/>
              </w:rPr>
              <w:t>198</w:t>
            </w:r>
          </w:p>
          <w:p w14:paraId="528C4DAD"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B8CD830" w14:textId="795CA127" w:rsidR="005957A6" w:rsidRPr="00DD6A04" w:rsidRDefault="005957A6" w:rsidP="005957A6">
            <w:pPr>
              <w:spacing w:before="0" w:after="0" w:line="276" w:lineRule="auto"/>
              <w:rPr>
                <w:rFonts w:eastAsia="Times New Roman"/>
                <w:noProof/>
                <w:color w:val="006100"/>
                <w:sz w:val="22"/>
              </w:rPr>
            </w:pPr>
            <w:r>
              <w:rPr>
                <w:noProof/>
                <w:color w:val="006100"/>
                <w:sz w:val="22"/>
              </w:rPr>
              <w:t xml:space="preserve">A: Vzpostavitev enotne sistemske ureditve na področju dolgotrajne oskrbe </w:t>
            </w:r>
          </w:p>
        </w:tc>
        <w:tc>
          <w:tcPr>
            <w:tcW w:w="1247" w:type="dxa"/>
            <w:shd w:val="clear" w:color="auto" w:fill="C6EFCE"/>
            <w:noWrap/>
          </w:tcPr>
          <w:p w14:paraId="154E8A53" w14:textId="719F487B"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11D4063" w14:textId="06AC8582" w:rsidR="005957A6" w:rsidRPr="00DD6A04" w:rsidRDefault="005957A6" w:rsidP="005957A6">
            <w:pPr>
              <w:spacing w:before="0" w:after="0" w:line="276" w:lineRule="auto"/>
              <w:rPr>
                <w:rFonts w:eastAsia="Times New Roman"/>
                <w:noProof/>
                <w:color w:val="006100"/>
                <w:sz w:val="22"/>
              </w:rPr>
            </w:pPr>
            <w:r>
              <w:rPr>
                <w:noProof/>
                <w:color w:val="006100"/>
                <w:sz w:val="22"/>
              </w:rPr>
              <w:t>Začetek veljavnosti podzakonskih aktov Zakona o dolgotrajni oskrbi</w:t>
            </w:r>
          </w:p>
        </w:tc>
      </w:tr>
      <w:tr w:rsidR="005957A6" w:rsidRPr="00DD6A04" w14:paraId="3EDAD9DA" w14:textId="77777777">
        <w:trPr>
          <w:trHeight w:val="302"/>
        </w:trPr>
        <w:tc>
          <w:tcPr>
            <w:tcW w:w="1247" w:type="dxa"/>
            <w:shd w:val="clear" w:color="auto" w:fill="C6EFCE"/>
            <w:noWrap/>
          </w:tcPr>
          <w:p w14:paraId="032B0175" w14:textId="7F479295" w:rsidR="005957A6" w:rsidRPr="00DD6A04" w:rsidRDefault="005957A6" w:rsidP="005957A6">
            <w:pPr>
              <w:spacing w:before="0" w:after="0" w:line="276" w:lineRule="auto"/>
              <w:jc w:val="center"/>
              <w:rPr>
                <w:rFonts w:eastAsia="Times New Roman"/>
                <w:noProof/>
                <w:color w:val="006100"/>
                <w:sz w:val="22"/>
              </w:rPr>
            </w:pPr>
            <w:r>
              <w:rPr>
                <w:noProof/>
                <w:color w:val="006100"/>
                <w:sz w:val="22"/>
              </w:rPr>
              <w:t>210</w:t>
            </w:r>
          </w:p>
        </w:tc>
        <w:tc>
          <w:tcPr>
            <w:tcW w:w="3119" w:type="dxa"/>
            <w:shd w:val="clear" w:color="auto" w:fill="C6EFCE"/>
            <w:noWrap/>
          </w:tcPr>
          <w:p w14:paraId="23E38D85" w14:textId="68AF9D03" w:rsidR="005957A6" w:rsidRPr="00DD6A04" w:rsidRDefault="005957A6" w:rsidP="005957A6">
            <w:pPr>
              <w:spacing w:before="0" w:after="0" w:line="276" w:lineRule="auto"/>
              <w:rPr>
                <w:rFonts w:eastAsia="Times New Roman"/>
                <w:noProof/>
                <w:color w:val="006100"/>
                <w:sz w:val="22"/>
              </w:rPr>
            </w:pPr>
            <w:r>
              <w:rPr>
                <w:noProof/>
                <w:color w:val="006100"/>
                <w:sz w:val="22"/>
              </w:rPr>
              <w:t>A: Reforma spodbujanja obnovljivih virov energije v Sloveniji (razširitev)</w:t>
            </w:r>
          </w:p>
        </w:tc>
        <w:tc>
          <w:tcPr>
            <w:tcW w:w="1247" w:type="dxa"/>
            <w:shd w:val="clear" w:color="auto" w:fill="C6EFCE"/>
            <w:noWrap/>
          </w:tcPr>
          <w:p w14:paraId="6BB8DAA4" w14:textId="34276105" w:rsidR="005957A6" w:rsidRPr="00DD6A04" w:rsidRDefault="005957A6" w:rsidP="005957A6">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DA8C6AE" w14:textId="2E2FE92B" w:rsidR="005957A6" w:rsidRPr="00DD6A04" w:rsidRDefault="005957A6" w:rsidP="005957A6">
            <w:pPr>
              <w:spacing w:before="0" w:after="0" w:line="276" w:lineRule="auto"/>
              <w:rPr>
                <w:rFonts w:eastAsia="Times New Roman"/>
                <w:noProof/>
                <w:color w:val="006100"/>
                <w:sz w:val="22"/>
              </w:rPr>
            </w:pPr>
            <w:r>
              <w:rPr>
                <w:noProof/>
                <w:color w:val="006100"/>
                <w:sz w:val="22"/>
              </w:rPr>
              <w:t>Začetek veljavnosti Zakona o uvajanju naprav za proizvodnjo električne energije iz obnovljivih virov energije</w:t>
            </w:r>
            <w:r w:rsidR="00037751">
              <w:rPr>
                <w:noProof/>
                <w:color w:val="006100"/>
                <w:sz w:val="22"/>
              </w:rPr>
              <w:t xml:space="preserve"> </w:t>
            </w:r>
          </w:p>
        </w:tc>
      </w:tr>
      <w:tr w:rsidR="005957A6" w:rsidRPr="00DD6A04" w14:paraId="5E8E876D" w14:textId="77777777">
        <w:trPr>
          <w:trHeight w:val="302"/>
        </w:trPr>
        <w:tc>
          <w:tcPr>
            <w:tcW w:w="1247" w:type="dxa"/>
            <w:shd w:val="clear" w:color="auto" w:fill="C6EFCE"/>
            <w:noWrap/>
            <w:vAlign w:val="bottom"/>
          </w:tcPr>
          <w:p w14:paraId="6CE45576" w14:textId="77777777" w:rsidR="005957A6" w:rsidRPr="00DD6A04" w:rsidRDefault="005957A6" w:rsidP="005957A6">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0EAF84D5" w14:textId="77777777" w:rsidR="005957A6" w:rsidRPr="00DD6A04" w:rsidRDefault="005957A6" w:rsidP="005957A6">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7E87A7AE" w14:textId="566EF28F" w:rsidR="005957A6" w:rsidRPr="00DD6A04" w:rsidRDefault="005957A6" w:rsidP="005957A6">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3538C947" w14:textId="5418559D" w:rsidR="005957A6" w:rsidRPr="00DD6A04" w:rsidRDefault="005957A6" w:rsidP="005957A6">
            <w:pPr>
              <w:spacing w:before="0" w:after="0" w:line="276" w:lineRule="auto"/>
              <w:rPr>
                <w:rFonts w:eastAsia="Times New Roman"/>
                <w:noProof/>
                <w:color w:val="006100"/>
                <w:sz w:val="22"/>
              </w:rPr>
            </w:pPr>
            <w:r>
              <w:rPr>
                <w:b/>
                <w:noProof/>
                <w:color w:val="006100"/>
                <w:sz w:val="22"/>
              </w:rPr>
              <w:t>228 994 538 EUR</w:t>
            </w:r>
          </w:p>
        </w:tc>
      </w:tr>
    </w:tbl>
    <w:p w14:paraId="4CC944F3" w14:textId="77777777" w:rsidR="003C6015" w:rsidRPr="00DD6A04" w:rsidRDefault="003C6015" w:rsidP="005957A6">
      <w:pPr>
        <w:spacing w:line="240" w:lineRule="auto"/>
        <w:jc w:val="both"/>
        <w:rPr>
          <w:b/>
          <w:noProof/>
          <w:lang w:val="en-GB"/>
        </w:rPr>
      </w:pPr>
    </w:p>
    <w:p w14:paraId="537CC324" w14:textId="77777777" w:rsidR="002E7B11" w:rsidRPr="00DD6A04" w:rsidRDefault="002E7B11" w:rsidP="00BD7FBD">
      <w:pPr>
        <w:numPr>
          <w:ilvl w:val="1"/>
          <w:numId w:val="19"/>
        </w:numPr>
        <w:spacing w:before="0" w:after="200" w:line="240" w:lineRule="auto"/>
        <w:jc w:val="both"/>
        <w:rPr>
          <w:noProof/>
          <w:lang w:val="en-GB"/>
        </w:rPr>
        <w:sectPr w:rsidR="002E7B11" w:rsidRPr="00DD6A04" w:rsidSect="00073927">
          <w:headerReference w:type="even" r:id="rId306"/>
          <w:headerReference w:type="default" r:id="rId307"/>
          <w:footerReference w:type="even" r:id="rId308"/>
          <w:footerReference w:type="default" r:id="rId309"/>
          <w:headerReference w:type="first" r:id="rId310"/>
          <w:footerReference w:type="first" r:id="rId311"/>
          <w:footnotePr>
            <w:numRestart w:val="eachPage"/>
          </w:footnotePr>
          <w:pgSz w:w="11907" w:h="16839"/>
          <w:pgMar w:top="1134" w:right="1134" w:bottom="1134" w:left="1134" w:header="567" w:footer="567" w:gutter="0"/>
          <w:cols w:space="720"/>
          <w:docGrid w:linePitch="360"/>
        </w:sectPr>
      </w:pPr>
    </w:p>
    <w:p w14:paraId="6066F771" w14:textId="77777777" w:rsidR="003C6015" w:rsidRPr="00DD6A04" w:rsidRDefault="003C6015" w:rsidP="00BD7FBD">
      <w:pPr>
        <w:numPr>
          <w:ilvl w:val="1"/>
          <w:numId w:val="19"/>
        </w:numPr>
        <w:spacing w:before="0" w:after="200" w:line="240" w:lineRule="auto"/>
        <w:jc w:val="both"/>
        <w:rPr>
          <w:noProof/>
        </w:rPr>
      </w:pPr>
      <w:r>
        <w:rPr>
          <w:noProof/>
        </w:rPr>
        <w:t xml:space="preserve">Šesti obrok (nepovratna podpora): </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CB0219" w:rsidRPr="00DD6A04" w14:paraId="6DFAF60F" w14:textId="77777777" w:rsidTr="150EC00E">
        <w:trPr>
          <w:trHeight w:val="567"/>
          <w:tblHeader/>
        </w:trPr>
        <w:tc>
          <w:tcPr>
            <w:tcW w:w="1247" w:type="dxa"/>
            <w:vMerge w:val="restart"/>
            <w:shd w:val="clear" w:color="auto" w:fill="BDD7EE"/>
            <w:vAlign w:val="center"/>
            <w:hideMark/>
          </w:tcPr>
          <w:p w14:paraId="753E08F8" w14:textId="77777777" w:rsidR="00CB0219" w:rsidRPr="00DD6A04" w:rsidRDefault="00CB0219">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67EB1A16" w14:textId="77777777" w:rsidR="00CB0219" w:rsidRPr="00DD6A04" w:rsidRDefault="00CB0219">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4154B1E8" w14:textId="77777777" w:rsidR="00CB0219" w:rsidRPr="00DD6A04" w:rsidRDefault="00CB0219">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6939EB0B" w14:textId="77777777" w:rsidR="00CB0219" w:rsidRPr="00DD6A04" w:rsidRDefault="00CB0219">
            <w:pPr>
              <w:spacing w:before="0" w:after="0" w:line="276" w:lineRule="auto"/>
              <w:jc w:val="center"/>
              <w:rPr>
                <w:rFonts w:eastAsia="Times New Roman"/>
                <w:b/>
                <w:noProof/>
                <w:sz w:val="22"/>
              </w:rPr>
            </w:pPr>
            <w:r>
              <w:rPr>
                <w:b/>
                <w:noProof/>
                <w:sz w:val="22"/>
              </w:rPr>
              <w:t>Ime</w:t>
            </w:r>
          </w:p>
        </w:tc>
      </w:tr>
      <w:tr w:rsidR="00CB0219" w:rsidRPr="00DD6A04" w14:paraId="618A6E1E" w14:textId="77777777" w:rsidTr="150EC00E">
        <w:trPr>
          <w:trHeight w:val="309"/>
          <w:tblHeader/>
        </w:trPr>
        <w:tc>
          <w:tcPr>
            <w:tcW w:w="1247" w:type="dxa"/>
            <w:vMerge/>
            <w:vAlign w:val="center"/>
            <w:hideMark/>
          </w:tcPr>
          <w:p w14:paraId="4FBEA153" w14:textId="77777777" w:rsidR="00CB0219" w:rsidRPr="00DD6A04" w:rsidRDefault="00CB0219">
            <w:pPr>
              <w:spacing w:before="0" w:after="0" w:line="276" w:lineRule="auto"/>
              <w:jc w:val="center"/>
              <w:rPr>
                <w:rFonts w:eastAsia="Times New Roman"/>
                <w:b/>
                <w:noProof/>
                <w:sz w:val="22"/>
                <w:szCs w:val="24"/>
                <w:lang w:val="en-GB" w:eastAsia="en-GB"/>
              </w:rPr>
            </w:pPr>
          </w:p>
        </w:tc>
        <w:tc>
          <w:tcPr>
            <w:tcW w:w="3119" w:type="dxa"/>
            <w:vMerge/>
            <w:vAlign w:val="center"/>
            <w:hideMark/>
          </w:tcPr>
          <w:p w14:paraId="5F3FBB00" w14:textId="77777777" w:rsidR="00CB0219" w:rsidRPr="00DD6A04" w:rsidRDefault="00CB0219">
            <w:pPr>
              <w:spacing w:before="0" w:after="0" w:line="276" w:lineRule="auto"/>
              <w:rPr>
                <w:rFonts w:eastAsia="Times New Roman"/>
                <w:b/>
                <w:noProof/>
                <w:sz w:val="22"/>
                <w:szCs w:val="24"/>
                <w:lang w:val="en-GB" w:eastAsia="en-GB"/>
              </w:rPr>
            </w:pPr>
          </w:p>
        </w:tc>
        <w:tc>
          <w:tcPr>
            <w:tcW w:w="1247" w:type="dxa"/>
            <w:vMerge/>
            <w:vAlign w:val="center"/>
            <w:hideMark/>
          </w:tcPr>
          <w:p w14:paraId="2AF5E4A4" w14:textId="77777777" w:rsidR="00CB0219" w:rsidRPr="00DD6A04" w:rsidRDefault="00CB0219">
            <w:pPr>
              <w:spacing w:before="0" w:after="0" w:line="276" w:lineRule="auto"/>
              <w:rPr>
                <w:rFonts w:eastAsia="Times New Roman"/>
                <w:b/>
                <w:noProof/>
                <w:sz w:val="22"/>
                <w:szCs w:val="24"/>
                <w:lang w:val="en-GB" w:eastAsia="en-GB"/>
              </w:rPr>
            </w:pPr>
          </w:p>
        </w:tc>
        <w:tc>
          <w:tcPr>
            <w:tcW w:w="4139" w:type="dxa"/>
            <w:vMerge/>
            <w:vAlign w:val="center"/>
            <w:hideMark/>
          </w:tcPr>
          <w:p w14:paraId="365121CC" w14:textId="77777777" w:rsidR="00CB0219" w:rsidRPr="00DD6A04" w:rsidRDefault="00CB0219">
            <w:pPr>
              <w:spacing w:before="0" w:after="0" w:line="276" w:lineRule="auto"/>
              <w:rPr>
                <w:rFonts w:eastAsia="Times New Roman"/>
                <w:b/>
                <w:noProof/>
                <w:sz w:val="22"/>
                <w:szCs w:val="24"/>
                <w:lang w:val="en-GB" w:eastAsia="en-GB"/>
              </w:rPr>
            </w:pPr>
          </w:p>
        </w:tc>
      </w:tr>
      <w:tr w:rsidR="00AD7198" w:rsidRPr="00DD6A04" w14:paraId="5B4B9A83" w14:textId="77777777" w:rsidTr="150EC00E">
        <w:trPr>
          <w:trHeight w:val="302"/>
        </w:trPr>
        <w:tc>
          <w:tcPr>
            <w:tcW w:w="1247" w:type="dxa"/>
            <w:shd w:val="clear" w:color="auto" w:fill="C6EFCE"/>
            <w:noWrap/>
            <w:vAlign w:val="center"/>
          </w:tcPr>
          <w:p w14:paraId="16AF5B07" w14:textId="15EA3B69" w:rsidR="00AD7198" w:rsidRPr="00DD6A04" w:rsidRDefault="00AD7198" w:rsidP="00AD7198">
            <w:pPr>
              <w:spacing w:before="0" w:after="0" w:line="276" w:lineRule="auto"/>
              <w:jc w:val="center"/>
              <w:rPr>
                <w:rFonts w:eastAsia="Times New Roman"/>
                <w:noProof/>
                <w:color w:val="006100"/>
                <w:sz w:val="22"/>
              </w:rPr>
            </w:pPr>
            <w:r>
              <w:rPr>
                <w:noProof/>
                <w:color w:val="006100"/>
                <w:sz w:val="22"/>
              </w:rPr>
              <w:t>59</w:t>
            </w:r>
          </w:p>
        </w:tc>
        <w:tc>
          <w:tcPr>
            <w:tcW w:w="3119" w:type="dxa"/>
            <w:shd w:val="clear" w:color="auto" w:fill="C6EFCE"/>
            <w:noWrap/>
          </w:tcPr>
          <w:p w14:paraId="6043E51F" w14:textId="55F5F1CD" w:rsidR="00AD7198" w:rsidRPr="00DD6A04" w:rsidRDefault="00AD7198" w:rsidP="00AD7198">
            <w:pPr>
              <w:spacing w:before="0" w:after="0" w:line="276" w:lineRule="auto"/>
              <w:rPr>
                <w:rFonts w:eastAsia="Times New Roman"/>
                <w:noProof/>
                <w:color w:val="006100"/>
                <w:sz w:val="22"/>
              </w:rPr>
            </w:pPr>
            <w:r>
              <w:rPr>
                <w:noProof/>
                <w:color w:val="006100"/>
                <w:sz w:val="22"/>
              </w:rPr>
              <w:t>C: Povečanje zmogljivosti železniške infrastrukture</w:t>
            </w:r>
          </w:p>
        </w:tc>
        <w:tc>
          <w:tcPr>
            <w:tcW w:w="1247" w:type="dxa"/>
            <w:shd w:val="clear" w:color="auto" w:fill="C6EFCE"/>
            <w:noWrap/>
          </w:tcPr>
          <w:p w14:paraId="27B9BE57" w14:textId="574A2A53" w:rsidR="00AD7198" w:rsidRPr="00DD6A04" w:rsidRDefault="00AD7198" w:rsidP="00AD7198">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3469EB9" w14:textId="77777777" w:rsidR="00AD7198" w:rsidRPr="00DD6A04" w:rsidRDefault="00AD7198" w:rsidP="00AD7198">
            <w:pPr>
              <w:spacing w:before="0" w:after="0" w:line="256" w:lineRule="auto"/>
              <w:rPr>
                <w:rFonts w:eastAsia="Times New Roman"/>
                <w:noProof/>
                <w:color w:val="006100"/>
                <w:sz w:val="22"/>
                <w:lang w:val="en-GB" w:eastAsia="en-GB"/>
              </w:rPr>
            </w:pPr>
          </w:p>
          <w:p w14:paraId="1BC7CE8C" w14:textId="5744009D" w:rsidR="00AD7198" w:rsidRPr="00DD6A04" w:rsidRDefault="00AD7198" w:rsidP="00AD7198">
            <w:pPr>
              <w:spacing w:before="0" w:after="0" w:line="276" w:lineRule="auto"/>
              <w:rPr>
                <w:rFonts w:eastAsia="Times New Roman"/>
                <w:noProof/>
                <w:color w:val="006100"/>
                <w:sz w:val="22"/>
              </w:rPr>
            </w:pPr>
            <w:r>
              <w:rPr>
                <w:noProof/>
                <w:color w:val="006100"/>
                <w:sz w:val="22"/>
              </w:rPr>
              <w:t xml:space="preserve">Nadgrajene železniške postaje </w:t>
            </w:r>
          </w:p>
        </w:tc>
      </w:tr>
      <w:tr w:rsidR="00AD7198" w:rsidRPr="00DD6A04" w14:paraId="446C66D2" w14:textId="77777777" w:rsidTr="150EC00E">
        <w:trPr>
          <w:trHeight w:val="302"/>
        </w:trPr>
        <w:tc>
          <w:tcPr>
            <w:tcW w:w="1247" w:type="dxa"/>
            <w:shd w:val="clear" w:color="auto" w:fill="C6EFCE"/>
            <w:noWrap/>
          </w:tcPr>
          <w:p w14:paraId="66D865F8"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16CCBA41"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72</w:t>
            </w:r>
          </w:p>
          <w:p w14:paraId="7E7382A1"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0676209" w14:textId="47121D50" w:rsidR="00AD7198" w:rsidRPr="00DD6A04" w:rsidRDefault="00AD7198" w:rsidP="00AD7198">
            <w:pPr>
              <w:spacing w:before="0" w:after="0" w:line="276" w:lineRule="auto"/>
              <w:rPr>
                <w:rFonts w:eastAsia="Times New Roman"/>
                <w:noProof/>
                <w:color w:val="006100"/>
                <w:sz w:val="22"/>
              </w:rPr>
            </w:pPr>
            <w:r>
              <w:rPr>
                <w:noProof/>
                <w:color w:val="006100"/>
                <w:sz w:val="22"/>
              </w:rPr>
              <w:t>B: Celoviti strateški projekt razogljičenja Slovenije preko prehoda v krožno gospodarstvo</w:t>
            </w:r>
          </w:p>
        </w:tc>
        <w:tc>
          <w:tcPr>
            <w:tcW w:w="1247" w:type="dxa"/>
            <w:shd w:val="clear" w:color="auto" w:fill="C6EFCE"/>
            <w:noWrap/>
          </w:tcPr>
          <w:p w14:paraId="0928BD61" w14:textId="1CFB6DC4"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AF5D800" w14:textId="4158360E" w:rsidR="00AD7198" w:rsidRPr="00DD6A04" w:rsidRDefault="3B34587A" w:rsidP="150EC00E">
            <w:pPr>
              <w:spacing w:before="0" w:after="0" w:line="276" w:lineRule="auto"/>
              <w:rPr>
                <w:rFonts w:eastAsia="Times New Roman"/>
                <w:noProof/>
                <w:color w:val="006100"/>
                <w:sz w:val="22"/>
              </w:rPr>
            </w:pPr>
            <w:r>
              <w:rPr>
                <w:noProof/>
                <w:color w:val="006100"/>
                <w:sz w:val="22"/>
              </w:rPr>
              <w:t>Izdani sklepi o sofinanciranju za podporo podjetjem pri prehodu na krožno gospodarstvo</w:t>
            </w:r>
          </w:p>
        </w:tc>
      </w:tr>
      <w:tr w:rsidR="00AD7198" w:rsidRPr="00DD6A04" w14:paraId="0B6D1738" w14:textId="77777777" w:rsidTr="150EC00E">
        <w:trPr>
          <w:trHeight w:val="302"/>
        </w:trPr>
        <w:tc>
          <w:tcPr>
            <w:tcW w:w="1247" w:type="dxa"/>
            <w:shd w:val="clear" w:color="auto" w:fill="C6EFCE"/>
            <w:noWrap/>
            <w:vAlign w:val="center"/>
          </w:tcPr>
          <w:p w14:paraId="1CB12466" w14:textId="3960D7A3" w:rsidR="00AD7198" w:rsidRPr="00DD6A04" w:rsidRDefault="00AD7198" w:rsidP="00AD7198">
            <w:pPr>
              <w:spacing w:before="0" w:after="0" w:line="276" w:lineRule="auto"/>
              <w:jc w:val="center"/>
              <w:rPr>
                <w:rFonts w:eastAsia="Times New Roman"/>
                <w:noProof/>
                <w:color w:val="006100"/>
                <w:sz w:val="22"/>
              </w:rPr>
            </w:pPr>
            <w:r>
              <w:rPr>
                <w:noProof/>
                <w:color w:val="006100"/>
                <w:sz w:val="22"/>
              </w:rPr>
              <w:t>82</w:t>
            </w:r>
          </w:p>
        </w:tc>
        <w:tc>
          <w:tcPr>
            <w:tcW w:w="3119" w:type="dxa"/>
            <w:shd w:val="clear" w:color="auto" w:fill="C6EFCE"/>
            <w:noWrap/>
          </w:tcPr>
          <w:p w14:paraId="52CE1FAA" w14:textId="533D51B8" w:rsidR="00AD7198" w:rsidRPr="00DD6A04" w:rsidRDefault="00AD7198" w:rsidP="00AD7198">
            <w:pPr>
              <w:spacing w:before="0" w:after="0" w:line="276" w:lineRule="auto"/>
              <w:rPr>
                <w:rFonts w:eastAsia="Times New Roman"/>
                <w:noProof/>
                <w:color w:val="006100"/>
                <w:sz w:val="22"/>
              </w:rPr>
            </w:pPr>
            <w:r>
              <w:rPr>
                <w:noProof/>
                <w:color w:val="006100"/>
                <w:sz w:val="22"/>
              </w:rPr>
              <w:t xml:space="preserve">B: Program digitalne transformacije industrije/podjetij </w:t>
            </w:r>
          </w:p>
        </w:tc>
        <w:tc>
          <w:tcPr>
            <w:tcW w:w="1247" w:type="dxa"/>
            <w:shd w:val="clear" w:color="auto" w:fill="C6EFCE"/>
            <w:noWrap/>
          </w:tcPr>
          <w:p w14:paraId="48A1A8F4" w14:textId="7274E0F3" w:rsidR="00AD7198" w:rsidRPr="00DD6A04" w:rsidRDefault="00AD7198" w:rsidP="00AD7198">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CDB7D91" w14:textId="08E6B3B5" w:rsidR="00AD7198" w:rsidRPr="00DD6A04" w:rsidRDefault="00AD7198" w:rsidP="00AD7198">
            <w:pPr>
              <w:spacing w:before="0" w:after="0" w:line="276" w:lineRule="auto"/>
              <w:rPr>
                <w:rFonts w:eastAsia="Times New Roman"/>
                <w:noProof/>
                <w:color w:val="006100"/>
                <w:sz w:val="22"/>
              </w:rPr>
            </w:pPr>
            <w:r>
              <w:rPr>
                <w:noProof/>
                <w:color w:val="006100"/>
                <w:sz w:val="22"/>
              </w:rPr>
              <w:t>Konzorciji, podprti z dokončano celovito digitalno preobrazbo</w:t>
            </w:r>
          </w:p>
        </w:tc>
      </w:tr>
      <w:tr w:rsidR="00AD7198" w:rsidRPr="00DD6A04" w14:paraId="39F9BFA3" w14:textId="77777777" w:rsidTr="150EC00E">
        <w:trPr>
          <w:trHeight w:val="302"/>
        </w:trPr>
        <w:tc>
          <w:tcPr>
            <w:tcW w:w="1247" w:type="dxa"/>
            <w:shd w:val="clear" w:color="auto" w:fill="C6EFCE"/>
            <w:noWrap/>
          </w:tcPr>
          <w:p w14:paraId="1588C9C0"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3BB0778F"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86</w:t>
            </w:r>
          </w:p>
          <w:p w14:paraId="7320766A"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F6BADC1" w14:textId="7BE77440" w:rsidR="00AD7198" w:rsidRPr="00DD6A04" w:rsidRDefault="00AD7198" w:rsidP="00AD7198">
            <w:pPr>
              <w:spacing w:before="0" w:after="0" w:line="276" w:lineRule="auto"/>
              <w:rPr>
                <w:rFonts w:eastAsia="Times New Roman"/>
                <w:noProof/>
                <w:color w:val="006100"/>
                <w:sz w:val="22"/>
              </w:rPr>
            </w:pPr>
            <w:r>
              <w:rPr>
                <w:noProof/>
                <w:color w:val="006100"/>
                <w:sz w:val="22"/>
              </w:rPr>
              <w:t>E: Čezmejni in večdržavni projekti – Nizkoporabni procesorji in polprevodniški čipi</w:t>
            </w:r>
          </w:p>
        </w:tc>
        <w:tc>
          <w:tcPr>
            <w:tcW w:w="1247" w:type="dxa"/>
            <w:shd w:val="clear" w:color="auto" w:fill="C6EFCE"/>
            <w:noWrap/>
          </w:tcPr>
          <w:p w14:paraId="20F598A9" w14:textId="7963AA24" w:rsidR="00AD7198" w:rsidRPr="00DD6A04" w:rsidRDefault="00AD7198" w:rsidP="00AD7198">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8EE532E" w14:textId="7F8320AF" w:rsidR="00AD7198" w:rsidRPr="00DD6A04" w:rsidRDefault="00AD7198" w:rsidP="00AD7198">
            <w:pPr>
              <w:spacing w:before="0" w:after="0" w:line="276" w:lineRule="auto"/>
              <w:rPr>
                <w:rFonts w:eastAsia="Times New Roman"/>
                <w:noProof/>
                <w:color w:val="006100"/>
                <w:sz w:val="22"/>
              </w:rPr>
            </w:pPr>
            <w:r>
              <w:rPr>
                <w:noProof/>
                <w:color w:val="006100"/>
                <w:sz w:val="22"/>
              </w:rPr>
              <w:t>Število začetih projektov</w:t>
            </w:r>
          </w:p>
        </w:tc>
      </w:tr>
      <w:tr w:rsidR="00AD7198" w:rsidRPr="00DD6A04" w14:paraId="46FEC5F5" w14:textId="77777777" w:rsidTr="150EC00E">
        <w:trPr>
          <w:trHeight w:val="302"/>
        </w:trPr>
        <w:tc>
          <w:tcPr>
            <w:tcW w:w="1247" w:type="dxa"/>
            <w:shd w:val="clear" w:color="auto" w:fill="C6EFCE"/>
            <w:noWrap/>
          </w:tcPr>
          <w:p w14:paraId="6489D248"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165505FA"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92</w:t>
            </w:r>
          </w:p>
          <w:p w14:paraId="3D39A555"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78894E7" w14:textId="6BDEB287" w:rsidR="00AD7198" w:rsidRPr="00DD6A04" w:rsidRDefault="00AD7198" w:rsidP="00AD7198">
            <w:pPr>
              <w:spacing w:before="0" w:after="0" w:line="276" w:lineRule="auto"/>
              <w:rPr>
                <w:rFonts w:eastAsia="Times New Roman"/>
                <w:noProof/>
                <w:color w:val="006100"/>
                <w:sz w:val="22"/>
              </w:rPr>
            </w:pPr>
            <w:r>
              <w:rPr>
                <w:noProof/>
                <w:color w:val="006100"/>
                <w:sz w:val="22"/>
              </w:rPr>
              <w:t>D: Vzpostavitev kompetenčnega centra – centra za kadre in dvig usposobljenosti zaposlenih v javni upravi</w:t>
            </w:r>
          </w:p>
        </w:tc>
        <w:tc>
          <w:tcPr>
            <w:tcW w:w="1247" w:type="dxa"/>
            <w:shd w:val="clear" w:color="auto" w:fill="C6EFCE"/>
            <w:noWrap/>
          </w:tcPr>
          <w:p w14:paraId="7DC558C0" w14:textId="767E0A19"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16EAC11A" w14:textId="44994552" w:rsidR="00AD7198" w:rsidRPr="00DD6A04" w:rsidRDefault="00AD7198" w:rsidP="00AD7198">
            <w:pPr>
              <w:spacing w:before="0" w:after="0" w:line="276" w:lineRule="auto"/>
              <w:rPr>
                <w:rFonts w:eastAsia="Times New Roman"/>
                <w:noProof/>
                <w:color w:val="006100"/>
                <w:sz w:val="22"/>
              </w:rPr>
            </w:pPr>
            <w:r>
              <w:rPr>
                <w:noProof/>
                <w:color w:val="006100"/>
                <w:sz w:val="22"/>
              </w:rPr>
              <w:t xml:space="preserve">Vzpostavljen in operativen kompetenčni center – center za kadre </w:t>
            </w:r>
          </w:p>
        </w:tc>
      </w:tr>
      <w:tr w:rsidR="00587FBB" w:rsidRPr="00DD6A04" w14:paraId="6E89C40E" w14:textId="77777777" w:rsidTr="150EC00E">
        <w:trPr>
          <w:trHeight w:val="302"/>
        </w:trPr>
        <w:tc>
          <w:tcPr>
            <w:tcW w:w="1247" w:type="dxa"/>
            <w:shd w:val="clear" w:color="auto" w:fill="C6EFCE"/>
            <w:noWrap/>
          </w:tcPr>
          <w:p w14:paraId="65B7F864" w14:textId="77777777" w:rsidR="00587FBB" w:rsidRPr="00DD6A04" w:rsidRDefault="00587FBB" w:rsidP="00587FBB">
            <w:pPr>
              <w:spacing w:before="0" w:after="0" w:line="276" w:lineRule="auto"/>
              <w:jc w:val="center"/>
              <w:rPr>
                <w:rFonts w:eastAsia="Times New Roman"/>
                <w:noProof/>
                <w:color w:val="006100"/>
                <w:sz w:val="22"/>
                <w:lang w:val="en-GB" w:eastAsia="en-GB"/>
              </w:rPr>
            </w:pPr>
          </w:p>
          <w:p w14:paraId="5DC0F38F" w14:textId="77777777" w:rsidR="00587FBB" w:rsidRPr="00DD6A04" w:rsidRDefault="00587FBB" w:rsidP="00587FBB">
            <w:pPr>
              <w:spacing w:before="0" w:after="0" w:line="276" w:lineRule="auto"/>
              <w:jc w:val="center"/>
              <w:rPr>
                <w:rFonts w:eastAsia="Times New Roman"/>
                <w:noProof/>
                <w:color w:val="006100"/>
                <w:sz w:val="22"/>
              </w:rPr>
            </w:pPr>
            <w:r>
              <w:rPr>
                <w:noProof/>
                <w:color w:val="006100"/>
                <w:sz w:val="22"/>
              </w:rPr>
              <w:t>106</w:t>
            </w:r>
          </w:p>
          <w:p w14:paraId="5DFD38C1" w14:textId="77777777" w:rsidR="00587FBB" w:rsidRPr="00DD6A04" w:rsidRDefault="00587FBB" w:rsidP="00587FBB">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67730AF" w14:textId="2EFDA61B" w:rsidR="00587FBB" w:rsidRPr="00DD6A04" w:rsidRDefault="00587FBB" w:rsidP="00587FBB">
            <w:pPr>
              <w:spacing w:before="0" w:after="0" w:line="276" w:lineRule="auto"/>
              <w:rPr>
                <w:rFonts w:eastAsia="Times New Roman"/>
                <w:noProof/>
                <w:color w:val="006100"/>
                <w:sz w:val="22"/>
                <w:u w:val="single"/>
              </w:rPr>
            </w:pPr>
            <w:r>
              <w:rPr>
                <w:noProof/>
                <w:color w:val="006100"/>
                <w:sz w:val="22"/>
              </w:rPr>
              <w:t>J: Digitalizacija izobraževanja in znanosti</w:t>
            </w:r>
          </w:p>
        </w:tc>
        <w:tc>
          <w:tcPr>
            <w:tcW w:w="1247" w:type="dxa"/>
            <w:shd w:val="clear" w:color="auto" w:fill="C6EFCE"/>
            <w:noWrap/>
          </w:tcPr>
          <w:p w14:paraId="35938AFB" w14:textId="6F0813C3" w:rsidR="00587FBB" w:rsidRPr="00DD6A04" w:rsidRDefault="00587FBB" w:rsidP="00587FBB">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8479E1D" w14:textId="23EB090B" w:rsidR="00587FBB" w:rsidRPr="00DD6A04" w:rsidRDefault="00587FBB" w:rsidP="00587FBB">
            <w:pPr>
              <w:spacing w:before="0" w:after="0" w:line="276" w:lineRule="auto"/>
              <w:rPr>
                <w:rFonts w:eastAsia="Times New Roman"/>
                <w:noProof/>
                <w:color w:val="006100"/>
                <w:sz w:val="22"/>
              </w:rPr>
            </w:pPr>
            <w:r>
              <w:rPr>
                <w:noProof/>
                <w:color w:val="006100"/>
                <w:sz w:val="22"/>
              </w:rPr>
              <w:t>Dodatni izobraževalni zavodi z optičnimi povezavami s hitrostjo nad 1 Gb/s</w:t>
            </w:r>
          </w:p>
        </w:tc>
      </w:tr>
      <w:tr w:rsidR="00AD7198" w:rsidRPr="00DD6A04" w14:paraId="3CA79E8B" w14:textId="77777777" w:rsidTr="150EC00E">
        <w:trPr>
          <w:trHeight w:val="302"/>
        </w:trPr>
        <w:tc>
          <w:tcPr>
            <w:tcW w:w="1247" w:type="dxa"/>
            <w:shd w:val="clear" w:color="auto" w:fill="C6EFCE"/>
            <w:noWrap/>
          </w:tcPr>
          <w:p w14:paraId="77D96AF5"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6AE93023"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135</w:t>
            </w:r>
          </w:p>
          <w:p w14:paraId="36FD14BB"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61123C6" w14:textId="0EE8A7BA" w:rsidR="00AD7198" w:rsidRPr="00DD6A04" w:rsidRDefault="00AD7198" w:rsidP="00AD7198">
            <w:pPr>
              <w:spacing w:before="0" w:after="0" w:line="276" w:lineRule="auto"/>
              <w:rPr>
                <w:rFonts w:eastAsia="Times New Roman"/>
                <w:noProof/>
                <w:color w:val="006100"/>
                <w:sz w:val="22"/>
              </w:rPr>
            </w:pPr>
            <w:r>
              <w:rPr>
                <w:noProof/>
                <w:color w:val="006100"/>
                <w:sz w:val="22"/>
              </w:rPr>
              <w:t>A: Strukturni ukrepi za krepitev (odpornosti) trga dela</w:t>
            </w:r>
          </w:p>
        </w:tc>
        <w:tc>
          <w:tcPr>
            <w:tcW w:w="1247" w:type="dxa"/>
            <w:shd w:val="clear" w:color="auto" w:fill="C6EFCE"/>
            <w:noWrap/>
          </w:tcPr>
          <w:p w14:paraId="7A963499" w14:textId="0E774B89"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F6CD155" w14:textId="11998CC1" w:rsidR="00AD7198" w:rsidRPr="00DD6A04" w:rsidRDefault="00AD7198" w:rsidP="00AD7198">
            <w:pPr>
              <w:spacing w:before="0" w:after="0" w:line="276" w:lineRule="auto"/>
              <w:rPr>
                <w:rFonts w:eastAsia="Times New Roman"/>
                <w:noProof/>
                <w:color w:val="006100"/>
                <w:sz w:val="22"/>
              </w:rPr>
            </w:pPr>
            <w:r>
              <w:rPr>
                <w:noProof/>
                <w:color w:val="006100"/>
                <w:sz w:val="22"/>
              </w:rPr>
              <w:t xml:space="preserve">Začetek veljavnosti Zakona o vzpostavitvi „krizne“ sheme skrajšanega delovnega časa </w:t>
            </w:r>
          </w:p>
        </w:tc>
      </w:tr>
      <w:tr w:rsidR="00AD7198" w:rsidRPr="00DD6A04" w14:paraId="0DDE6E3A" w14:textId="77777777" w:rsidTr="150EC00E">
        <w:trPr>
          <w:trHeight w:val="302"/>
        </w:trPr>
        <w:tc>
          <w:tcPr>
            <w:tcW w:w="1247" w:type="dxa"/>
            <w:shd w:val="clear" w:color="auto" w:fill="C6EFCE"/>
            <w:noWrap/>
          </w:tcPr>
          <w:p w14:paraId="4AB9949D"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4C873655"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136</w:t>
            </w:r>
          </w:p>
          <w:p w14:paraId="057A0D4C"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65CC512" w14:textId="7A3C38E9" w:rsidR="00AD7198" w:rsidRPr="00DD6A04" w:rsidRDefault="00AD7198" w:rsidP="00AD7198">
            <w:pPr>
              <w:spacing w:before="0" w:after="0" w:line="276" w:lineRule="auto"/>
              <w:rPr>
                <w:rFonts w:eastAsia="Times New Roman"/>
                <w:noProof/>
                <w:color w:val="006100"/>
                <w:sz w:val="22"/>
              </w:rPr>
            </w:pPr>
            <w:r>
              <w:rPr>
                <w:noProof/>
                <w:color w:val="006100"/>
                <w:sz w:val="22"/>
              </w:rPr>
              <w:t>A: Strukturni ukrepi za krepitev (odpornosti) trga dela</w:t>
            </w:r>
          </w:p>
        </w:tc>
        <w:tc>
          <w:tcPr>
            <w:tcW w:w="1247" w:type="dxa"/>
            <w:shd w:val="clear" w:color="auto" w:fill="C6EFCE"/>
            <w:noWrap/>
          </w:tcPr>
          <w:p w14:paraId="200120AD" w14:textId="73604145"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64F5E38" w14:textId="4EB4F35E" w:rsidR="00AD7198" w:rsidRPr="00DD6A04" w:rsidRDefault="00AD7198" w:rsidP="00AD7198">
            <w:pPr>
              <w:spacing w:before="0" w:after="0" w:line="276" w:lineRule="auto"/>
              <w:rPr>
                <w:rFonts w:eastAsia="Times New Roman"/>
                <w:noProof/>
                <w:color w:val="006100"/>
                <w:sz w:val="22"/>
              </w:rPr>
            </w:pPr>
            <w:r>
              <w:rPr>
                <w:noProof/>
                <w:color w:val="006100"/>
                <w:sz w:val="22"/>
              </w:rPr>
              <w:t xml:space="preserve">Začetek veljavnosti sprememb Zakona o urejanju trga dela </w:t>
            </w:r>
          </w:p>
        </w:tc>
      </w:tr>
      <w:tr w:rsidR="00AD7198" w:rsidRPr="00DD6A04" w14:paraId="30B31AD9" w14:textId="77777777" w:rsidTr="150EC00E">
        <w:trPr>
          <w:trHeight w:val="302"/>
        </w:trPr>
        <w:tc>
          <w:tcPr>
            <w:tcW w:w="1247" w:type="dxa"/>
            <w:shd w:val="clear" w:color="auto" w:fill="C6EFCE"/>
            <w:noWrap/>
          </w:tcPr>
          <w:p w14:paraId="04584440"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493F05EB"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157</w:t>
            </w:r>
          </w:p>
          <w:p w14:paraId="2114C307"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48AB61D" w14:textId="11D2EAD4" w:rsidR="00AD7198" w:rsidRPr="00DD6A04" w:rsidRDefault="00AD7198" w:rsidP="00AD7198">
            <w:pPr>
              <w:spacing w:before="0" w:after="0" w:line="276" w:lineRule="auto"/>
              <w:rPr>
                <w:rFonts w:eastAsia="Times New Roman"/>
                <w:noProof/>
                <w:color w:val="006100"/>
                <w:sz w:val="22"/>
              </w:rPr>
            </w:pPr>
            <w:r>
              <w:rPr>
                <w:noProof/>
                <w:color w:val="006100"/>
                <w:sz w:val="22"/>
              </w:rPr>
              <w:t>E: Celovita transformacija zelenega in digitalnega izobraževanja</w:t>
            </w:r>
          </w:p>
        </w:tc>
        <w:tc>
          <w:tcPr>
            <w:tcW w:w="1247" w:type="dxa"/>
            <w:shd w:val="clear" w:color="auto" w:fill="C6EFCE"/>
            <w:noWrap/>
          </w:tcPr>
          <w:p w14:paraId="487956D1" w14:textId="6387946A" w:rsidR="00AD7198" w:rsidRPr="00DD6A04" w:rsidRDefault="00AD7198" w:rsidP="00AD7198">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204796C" w14:textId="635598B2" w:rsidR="00AD7198" w:rsidRPr="00DD6A04" w:rsidRDefault="00AD7198" w:rsidP="00AD7198">
            <w:pPr>
              <w:spacing w:before="0" w:after="0" w:line="276" w:lineRule="auto"/>
              <w:rPr>
                <w:rFonts w:eastAsia="Times New Roman"/>
                <w:noProof/>
                <w:color w:val="006100"/>
                <w:sz w:val="22"/>
              </w:rPr>
            </w:pPr>
            <w:r>
              <w:rPr>
                <w:noProof/>
                <w:color w:val="006100"/>
                <w:sz w:val="22"/>
              </w:rPr>
              <w:t>Strokovni in vodstveni delavci z opravljenim usposabljanjem za pridobitev digitalnih kompetenc in kompetenc za trajnostni razvoj</w:t>
            </w:r>
          </w:p>
        </w:tc>
      </w:tr>
      <w:tr w:rsidR="00AD7198" w:rsidRPr="00DD6A04" w14:paraId="2503AFD6" w14:textId="77777777" w:rsidTr="150EC00E">
        <w:trPr>
          <w:trHeight w:val="302"/>
        </w:trPr>
        <w:tc>
          <w:tcPr>
            <w:tcW w:w="1247" w:type="dxa"/>
            <w:shd w:val="clear" w:color="auto" w:fill="C6EFCE"/>
            <w:noWrap/>
          </w:tcPr>
          <w:p w14:paraId="1E4203EC"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659D280F"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173</w:t>
            </w:r>
          </w:p>
          <w:p w14:paraId="6722C664"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C21E476" w14:textId="5916B18C" w:rsidR="00AD7198" w:rsidRPr="00DD6A04" w:rsidRDefault="00AD7198" w:rsidP="00AD7198">
            <w:pPr>
              <w:spacing w:before="0" w:after="0" w:line="276" w:lineRule="auto"/>
              <w:rPr>
                <w:rFonts w:eastAsia="Times New Roman"/>
                <w:noProof/>
                <w:color w:val="006100"/>
                <w:sz w:val="22"/>
              </w:rPr>
            </w:pPr>
            <w:r>
              <w:rPr>
                <w:noProof/>
                <w:color w:val="006100"/>
                <w:sz w:val="22"/>
              </w:rPr>
              <w:t>B: Moderen in odporen javni sektor</w:t>
            </w:r>
          </w:p>
        </w:tc>
        <w:tc>
          <w:tcPr>
            <w:tcW w:w="1247" w:type="dxa"/>
            <w:shd w:val="clear" w:color="auto" w:fill="C6EFCE"/>
            <w:noWrap/>
          </w:tcPr>
          <w:p w14:paraId="7B465F8D" w14:textId="56A6297D"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5CC9883" w14:textId="3F929440" w:rsidR="00AD7198" w:rsidRPr="00DD6A04" w:rsidRDefault="00AD7198" w:rsidP="00AD7198">
            <w:pPr>
              <w:spacing w:before="0" w:after="0" w:line="276" w:lineRule="auto"/>
              <w:rPr>
                <w:rFonts w:eastAsia="Times New Roman"/>
                <w:noProof/>
                <w:color w:val="006100"/>
                <w:sz w:val="22"/>
              </w:rPr>
            </w:pPr>
            <w:r>
              <w:rPr>
                <w:noProof/>
                <w:color w:val="006100"/>
                <w:sz w:val="22"/>
              </w:rPr>
              <w:t xml:space="preserve">Začetek veljavnosti zakona, ki bo urejal sistem plač v javnem sektorju </w:t>
            </w:r>
          </w:p>
        </w:tc>
      </w:tr>
      <w:tr w:rsidR="00AD7198" w:rsidRPr="00DD6A04" w14:paraId="29254E55" w14:textId="77777777" w:rsidTr="150EC00E">
        <w:trPr>
          <w:trHeight w:val="302"/>
        </w:trPr>
        <w:tc>
          <w:tcPr>
            <w:tcW w:w="1247" w:type="dxa"/>
            <w:shd w:val="clear" w:color="auto" w:fill="C6EFCE"/>
            <w:noWrap/>
          </w:tcPr>
          <w:p w14:paraId="754E2E0B" w14:textId="77777777" w:rsidR="00AD7198" w:rsidRPr="00DD6A04" w:rsidRDefault="00AD7198" w:rsidP="00AD7198">
            <w:pPr>
              <w:spacing w:before="0" w:after="0" w:line="276" w:lineRule="auto"/>
              <w:jc w:val="center"/>
              <w:rPr>
                <w:rFonts w:eastAsia="Times New Roman"/>
                <w:noProof/>
                <w:color w:val="006100"/>
                <w:sz w:val="22"/>
                <w:lang w:val="en-GB" w:eastAsia="en-GB"/>
              </w:rPr>
            </w:pPr>
          </w:p>
          <w:p w14:paraId="5349512F" w14:textId="77777777" w:rsidR="00AD7198" w:rsidRPr="00DD6A04" w:rsidRDefault="00AD7198" w:rsidP="00AD7198">
            <w:pPr>
              <w:spacing w:before="0" w:after="0" w:line="276" w:lineRule="auto"/>
              <w:jc w:val="center"/>
              <w:rPr>
                <w:rFonts w:eastAsia="Times New Roman"/>
                <w:noProof/>
                <w:color w:val="006100"/>
                <w:sz w:val="22"/>
              </w:rPr>
            </w:pPr>
            <w:r>
              <w:rPr>
                <w:noProof/>
                <w:color w:val="006100"/>
                <w:sz w:val="22"/>
              </w:rPr>
              <w:t>185</w:t>
            </w:r>
          </w:p>
          <w:p w14:paraId="197D5AD8"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912C97C" w14:textId="3EBC5536" w:rsidR="00AD7198" w:rsidRPr="00DD6A04" w:rsidRDefault="00AD7198" w:rsidP="00AD7198">
            <w:pPr>
              <w:spacing w:before="0" w:after="0" w:line="276" w:lineRule="auto"/>
              <w:rPr>
                <w:rFonts w:eastAsia="Times New Roman"/>
                <w:noProof/>
                <w:color w:val="006100"/>
                <w:sz w:val="22"/>
              </w:rPr>
            </w:pPr>
            <w:r>
              <w:rPr>
                <w:noProof/>
                <w:color w:val="006100"/>
                <w:sz w:val="22"/>
              </w:rPr>
              <w:t>C: Digitalna preobrazba zdravstva</w:t>
            </w:r>
          </w:p>
        </w:tc>
        <w:tc>
          <w:tcPr>
            <w:tcW w:w="1247" w:type="dxa"/>
            <w:shd w:val="clear" w:color="auto" w:fill="C6EFCE"/>
            <w:noWrap/>
          </w:tcPr>
          <w:p w14:paraId="60C8A304" w14:textId="5A1DC9FD"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C22ABCB" w14:textId="43DAD2CA" w:rsidR="00AD7198" w:rsidRPr="00DD6A04" w:rsidRDefault="00AD7198" w:rsidP="00AD7198">
            <w:pPr>
              <w:spacing w:before="0" w:after="0" w:line="276" w:lineRule="auto"/>
              <w:rPr>
                <w:rFonts w:eastAsia="Times New Roman"/>
                <w:noProof/>
                <w:color w:val="006100"/>
                <w:sz w:val="22"/>
              </w:rPr>
            </w:pPr>
            <w:r>
              <w:rPr>
                <w:noProof/>
                <w:color w:val="006100"/>
                <w:sz w:val="22"/>
              </w:rPr>
              <w:t>Oddaja naročila za nacionalni sistem telemedicine</w:t>
            </w:r>
          </w:p>
        </w:tc>
      </w:tr>
      <w:tr w:rsidR="00AD7198" w:rsidRPr="00DD6A04" w14:paraId="60289CCF" w14:textId="77777777" w:rsidTr="150EC00E">
        <w:trPr>
          <w:trHeight w:val="302"/>
        </w:trPr>
        <w:tc>
          <w:tcPr>
            <w:tcW w:w="1247" w:type="dxa"/>
            <w:shd w:val="clear" w:color="auto" w:fill="C6EFCE"/>
            <w:noWrap/>
          </w:tcPr>
          <w:p w14:paraId="173AE694" w14:textId="62ED58F9" w:rsidR="00AD7198" w:rsidRPr="00DD6A04" w:rsidRDefault="00AD7198" w:rsidP="00AD7198">
            <w:pPr>
              <w:spacing w:before="0" w:after="0" w:line="276" w:lineRule="auto"/>
              <w:jc w:val="center"/>
              <w:rPr>
                <w:rFonts w:eastAsia="Times New Roman"/>
                <w:noProof/>
                <w:color w:val="006100"/>
                <w:sz w:val="22"/>
              </w:rPr>
            </w:pPr>
            <w:r>
              <w:rPr>
                <w:noProof/>
                <w:color w:val="006100"/>
                <w:sz w:val="22"/>
              </w:rPr>
              <w:t>211</w:t>
            </w:r>
          </w:p>
        </w:tc>
        <w:tc>
          <w:tcPr>
            <w:tcW w:w="3119" w:type="dxa"/>
            <w:shd w:val="clear" w:color="auto" w:fill="C6EFCE"/>
            <w:noWrap/>
          </w:tcPr>
          <w:p w14:paraId="49AC6B1F" w14:textId="467B2285" w:rsidR="00AD7198" w:rsidRPr="00DD6A04" w:rsidRDefault="00AD7198" w:rsidP="00AD7198">
            <w:pPr>
              <w:spacing w:before="0" w:after="0" w:line="276" w:lineRule="auto"/>
              <w:rPr>
                <w:rFonts w:eastAsia="Times New Roman"/>
                <w:noProof/>
                <w:color w:val="006100"/>
                <w:sz w:val="22"/>
              </w:rPr>
            </w:pPr>
            <w:r>
              <w:rPr>
                <w:noProof/>
                <w:color w:val="006100"/>
                <w:sz w:val="22"/>
              </w:rPr>
              <w:t>A: Reforma spodbujanja obnovljivih virov energije v Sloveniji (razširitev)</w:t>
            </w:r>
          </w:p>
        </w:tc>
        <w:tc>
          <w:tcPr>
            <w:tcW w:w="1247" w:type="dxa"/>
            <w:shd w:val="clear" w:color="auto" w:fill="C6EFCE"/>
            <w:noWrap/>
          </w:tcPr>
          <w:p w14:paraId="7696564E" w14:textId="7CE82EE4"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079EA92" w14:textId="725BD437" w:rsidR="00AD7198" w:rsidRPr="00DD6A04" w:rsidRDefault="00AD7198" w:rsidP="00AD7198">
            <w:pPr>
              <w:spacing w:before="0" w:after="0" w:line="276" w:lineRule="auto"/>
              <w:rPr>
                <w:rFonts w:eastAsia="Times New Roman"/>
                <w:noProof/>
                <w:color w:val="006100"/>
                <w:sz w:val="22"/>
              </w:rPr>
            </w:pPr>
            <w:r>
              <w:rPr>
                <w:noProof/>
                <w:color w:val="006100"/>
                <w:sz w:val="22"/>
              </w:rPr>
              <w:t>Sprejetje Uredbe o podrobnejših pravilih urejanja prostora ob postavitvi fotonapetostnih naprav</w:t>
            </w:r>
          </w:p>
        </w:tc>
      </w:tr>
      <w:tr w:rsidR="00AD7198" w:rsidRPr="00DD6A04" w14:paraId="3D5A205F" w14:textId="77777777" w:rsidTr="150EC00E">
        <w:trPr>
          <w:trHeight w:val="302"/>
        </w:trPr>
        <w:tc>
          <w:tcPr>
            <w:tcW w:w="1247" w:type="dxa"/>
            <w:shd w:val="clear" w:color="auto" w:fill="C6EFCE"/>
            <w:noWrap/>
          </w:tcPr>
          <w:p w14:paraId="11148CC4" w14:textId="0E7321C7" w:rsidR="00AD7198" w:rsidRPr="00DD6A04" w:rsidRDefault="00AD7198" w:rsidP="00AD7198">
            <w:pPr>
              <w:spacing w:before="0" w:after="0" w:line="276" w:lineRule="auto"/>
              <w:jc w:val="center"/>
              <w:rPr>
                <w:rFonts w:eastAsia="Times New Roman"/>
                <w:noProof/>
                <w:color w:val="006100"/>
                <w:sz w:val="22"/>
              </w:rPr>
            </w:pPr>
            <w:r>
              <w:rPr>
                <w:noProof/>
                <w:color w:val="006100"/>
                <w:sz w:val="22"/>
              </w:rPr>
              <w:t>212</w:t>
            </w:r>
          </w:p>
        </w:tc>
        <w:tc>
          <w:tcPr>
            <w:tcW w:w="3119" w:type="dxa"/>
            <w:shd w:val="clear" w:color="auto" w:fill="C6EFCE"/>
            <w:noWrap/>
          </w:tcPr>
          <w:p w14:paraId="5C68F8CB" w14:textId="28F6C170" w:rsidR="00AD7198" w:rsidRPr="00DD6A04" w:rsidRDefault="00C43813" w:rsidP="00AD7198">
            <w:pPr>
              <w:spacing w:before="0" w:after="0" w:line="276" w:lineRule="auto"/>
              <w:rPr>
                <w:rFonts w:eastAsia="Times New Roman"/>
                <w:noProof/>
                <w:color w:val="006100"/>
                <w:sz w:val="22"/>
              </w:rPr>
            </w:pPr>
            <w:r>
              <w:rPr>
                <w:noProof/>
                <w:color w:val="006100"/>
                <w:sz w:val="22"/>
              </w:rPr>
              <w:t>B: Energetsko učinkovito prestrukturiranje sistemov daljinskega ogrevanja na obnovljive vire energije (razširitev)</w:t>
            </w:r>
          </w:p>
        </w:tc>
        <w:tc>
          <w:tcPr>
            <w:tcW w:w="1247" w:type="dxa"/>
            <w:shd w:val="clear" w:color="auto" w:fill="C6EFCE"/>
            <w:noWrap/>
          </w:tcPr>
          <w:p w14:paraId="421D696D" w14:textId="7F682DF3"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D6240BA" w14:textId="756C53EE" w:rsidR="00AD7198" w:rsidRPr="00DD6A04" w:rsidRDefault="002C787E" w:rsidP="00AD7198">
            <w:pPr>
              <w:spacing w:before="0" w:after="0" w:line="276" w:lineRule="auto"/>
              <w:rPr>
                <w:rFonts w:eastAsia="Times New Roman"/>
                <w:noProof/>
                <w:color w:val="006100"/>
                <w:sz w:val="22"/>
              </w:rPr>
            </w:pPr>
            <w:r>
              <w:rPr>
                <w:noProof/>
                <w:color w:val="006100"/>
                <w:sz w:val="22"/>
              </w:rPr>
              <w:t>Objava javnega razpisa za obnovljive vire energije v sistemih daljinskega ogrevanja</w:t>
            </w:r>
          </w:p>
        </w:tc>
      </w:tr>
      <w:tr w:rsidR="00AD7198" w:rsidRPr="00DD6A04" w14:paraId="0187B5EF" w14:textId="77777777" w:rsidTr="150EC00E">
        <w:trPr>
          <w:trHeight w:val="302"/>
        </w:trPr>
        <w:tc>
          <w:tcPr>
            <w:tcW w:w="1247" w:type="dxa"/>
            <w:shd w:val="clear" w:color="auto" w:fill="C6EFCE"/>
            <w:noWrap/>
          </w:tcPr>
          <w:p w14:paraId="4598BFA4" w14:textId="46325070" w:rsidR="00AD7198" w:rsidRPr="00DD6A04" w:rsidRDefault="00AD7198" w:rsidP="00AD7198">
            <w:pPr>
              <w:spacing w:before="0" w:after="0" w:line="276" w:lineRule="auto"/>
              <w:jc w:val="center"/>
              <w:rPr>
                <w:rFonts w:eastAsia="Times New Roman"/>
                <w:noProof/>
                <w:color w:val="006100"/>
                <w:sz w:val="22"/>
              </w:rPr>
            </w:pPr>
            <w:r>
              <w:rPr>
                <w:noProof/>
                <w:color w:val="006100"/>
                <w:sz w:val="22"/>
              </w:rPr>
              <w:t>214</w:t>
            </w:r>
          </w:p>
        </w:tc>
        <w:tc>
          <w:tcPr>
            <w:tcW w:w="3119" w:type="dxa"/>
            <w:shd w:val="clear" w:color="auto" w:fill="C6EFCE"/>
            <w:noWrap/>
          </w:tcPr>
          <w:p w14:paraId="0FFCDC56" w14:textId="33C37A02" w:rsidR="00AD7198" w:rsidRPr="00DD6A04" w:rsidRDefault="00FB5610" w:rsidP="00AD7198">
            <w:pPr>
              <w:spacing w:before="0" w:after="0" w:line="276" w:lineRule="auto"/>
              <w:rPr>
                <w:rFonts w:eastAsia="Times New Roman"/>
                <w:noProof/>
                <w:color w:val="006100"/>
                <w:sz w:val="22"/>
              </w:rPr>
            </w:pPr>
            <w:r>
              <w:rPr>
                <w:noProof/>
                <w:color w:val="006100"/>
                <w:sz w:val="22"/>
              </w:rPr>
              <w:t>C: Krepitev distribucijskega omrežja električne energije (srednjenapetostno omrežje)</w:t>
            </w:r>
          </w:p>
        </w:tc>
        <w:tc>
          <w:tcPr>
            <w:tcW w:w="1247" w:type="dxa"/>
            <w:shd w:val="clear" w:color="auto" w:fill="C6EFCE"/>
            <w:noWrap/>
          </w:tcPr>
          <w:p w14:paraId="729D75FA" w14:textId="751F4601"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1DC3F481" w14:textId="3A81129D" w:rsidR="00AD7198" w:rsidRPr="00DD6A04" w:rsidRDefault="00B865B6" w:rsidP="00AD7198">
            <w:pPr>
              <w:spacing w:before="0" w:after="0" w:line="276" w:lineRule="auto"/>
              <w:rPr>
                <w:rFonts w:eastAsia="Times New Roman"/>
                <w:noProof/>
                <w:color w:val="006100"/>
                <w:sz w:val="22"/>
              </w:rPr>
            </w:pPr>
            <w:r>
              <w:rPr>
                <w:noProof/>
                <w:color w:val="006100"/>
                <w:sz w:val="22"/>
              </w:rPr>
              <w:t>Objava javnega razpisa za izgradnjo novega ali rekonstrukcijo obstoječega srednjenapetostnega distribucijskega omrežja</w:t>
            </w:r>
          </w:p>
        </w:tc>
      </w:tr>
      <w:tr w:rsidR="00AD7198" w:rsidRPr="00DD6A04" w14:paraId="3FDF22D8" w14:textId="77777777" w:rsidTr="150EC00E">
        <w:trPr>
          <w:trHeight w:val="302"/>
        </w:trPr>
        <w:tc>
          <w:tcPr>
            <w:tcW w:w="1247" w:type="dxa"/>
            <w:shd w:val="clear" w:color="auto" w:fill="C6EFCE"/>
            <w:noWrap/>
          </w:tcPr>
          <w:p w14:paraId="4E5B46B9" w14:textId="2D862D0A" w:rsidR="00AD7198" w:rsidRPr="00DD6A04" w:rsidRDefault="00AD7198" w:rsidP="00AD7198">
            <w:pPr>
              <w:spacing w:before="0" w:after="0" w:line="276" w:lineRule="auto"/>
              <w:jc w:val="center"/>
              <w:rPr>
                <w:rFonts w:eastAsia="Times New Roman"/>
                <w:noProof/>
                <w:color w:val="006100"/>
                <w:sz w:val="22"/>
              </w:rPr>
            </w:pPr>
            <w:r>
              <w:rPr>
                <w:noProof/>
                <w:color w:val="006100"/>
                <w:sz w:val="22"/>
              </w:rPr>
              <w:t>216</w:t>
            </w:r>
          </w:p>
        </w:tc>
        <w:tc>
          <w:tcPr>
            <w:tcW w:w="3119" w:type="dxa"/>
            <w:shd w:val="clear" w:color="auto" w:fill="C6EFCE"/>
            <w:noWrap/>
          </w:tcPr>
          <w:p w14:paraId="1EB50A31" w14:textId="6E603D2F" w:rsidR="00AD7198" w:rsidRPr="00DD6A04" w:rsidRDefault="007016D7" w:rsidP="00AD7198">
            <w:pPr>
              <w:spacing w:before="0" w:after="0" w:line="276" w:lineRule="auto"/>
              <w:rPr>
                <w:rFonts w:eastAsia="Times New Roman"/>
                <w:noProof/>
                <w:color w:val="006100"/>
                <w:sz w:val="22"/>
              </w:rPr>
            </w:pPr>
            <w:r>
              <w:rPr>
                <w:noProof/>
                <w:color w:val="006100"/>
                <w:sz w:val="22"/>
              </w:rPr>
              <w:t>D: Energetska učinkovitost in razogljičenje gospodarstva</w:t>
            </w:r>
          </w:p>
        </w:tc>
        <w:tc>
          <w:tcPr>
            <w:tcW w:w="1247" w:type="dxa"/>
            <w:shd w:val="clear" w:color="auto" w:fill="C6EFCE"/>
            <w:noWrap/>
          </w:tcPr>
          <w:p w14:paraId="2254B6B8" w14:textId="3572C0AB"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6F27E2C" w14:textId="0E561F11" w:rsidR="00AD7198" w:rsidRPr="00DD6A04" w:rsidRDefault="00AD7198" w:rsidP="00AD7198">
            <w:pPr>
              <w:spacing w:before="0" w:after="0" w:line="276" w:lineRule="auto"/>
              <w:rPr>
                <w:rFonts w:eastAsia="Times New Roman"/>
                <w:noProof/>
                <w:color w:val="006100"/>
                <w:sz w:val="22"/>
              </w:rPr>
            </w:pPr>
            <w:r>
              <w:rPr>
                <w:noProof/>
                <w:color w:val="006100"/>
                <w:sz w:val="22"/>
              </w:rPr>
              <w:t>Uvedba programa podpore za energijsko učinkovitost in razogljičenje gospodarstva</w:t>
            </w:r>
          </w:p>
        </w:tc>
      </w:tr>
      <w:tr w:rsidR="00AD7198" w:rsidRPr="00DD6A04" w14:paraId="2EDBB34E" w14:textId="77777777" w:rsidTr="150EC00E">
        <w:trPr>
          <w:trHeight w:val="302"/>
        </w:trPr>
        <w:tc>
          <w:tcPr>
            <w:tcW w:w="1247" w:type="dxa"/>
            <w:shd w:val="clear" w:color="auto" w:fill="C6EFCE"/>
            <w:noWrap/>
          </w:tcPr>
          <w:p w14:paraId="6E488F88" w14:textId="7D18158D" w:rsidR="00AD7198" w:rsidRPr="00DD6A04" w:rsidRDefault="00AD7198" w:rsidP="00AD7198">
            <w:pPr>
              <w:spacing w:before="0" w:after="0" w:line="276" w:lineRule="auto"/>
              <w:jc w:val="center"/>
              <w:rPr>
                <w:rFonts w:eastAsia="Times New Roman"/>
                <w:noProof/>
                <w:color w:val="006100"/>
                <w:sz w:val="22"/>
              </w:rPr>
            </w:pPr>
            <w:r>
              <w:rPr>
                <w:noProof/>
                <w:color w:val="006100"/>
                <w:sz w:val="22"/>
              </w:rPr>
              <w:t>218</w:t>
            </w:r>
          </w:p>
        </w:tc>
        <w:tc>
          <w:tcPr>
            <w:tcW w:w="3119" w:type="dxa"/>
            <w:shd w:val="clear" w:color="auto" w:fill="C6EFCE"/>
            <w:noWrap/>
          </w:tcPr>
          <w:p w14:paraId="70B75727" w14:textId="1FFFCE91" w:rsidR="00AD7198" w:rsidRPr="00DD6A04" w:rsidRDefault="00EB29D3" w:rsidP="7DAFA098">
            <w:pPr>
              <w:spacing w:before="0" w:after="0" w:line="276" w:lineRule="auto"/>
              <w:rPr>
                <w:rFonts w:eastAsia="Times New Roman"/>
                <w:noProof/>
                <w:color w:val="006100"/>
                <w:sz w:val="22"/>
              </w:rPr>
            </w:pPr>
            <w:r>
              <w:rPr>
                <w:noProof/>
                <w:color w:val="006100"/>
                <w:sz w:val="22"/>
              </w:rPr>
              <w:t xml:space="preserve">E: Spodbujanje vzpostavitve infrastrukture za alternativna goriva v prometu (razširitev) </w:t>
            </w:r>
          </w:p>
        </w:tc>
        <w:tc>
          <w:tcPr>
            <w:tcW w:w="1247" w:type="dxa"/>
            <w:shd w:val="clear" w:color="auto" w:fill="C6EFCE"/>
            <w:noWrap/>
          </w:tcPr>
          <w:p w14:paraId="44977206" w14:textId="10F75DE3" w:rsidR="00AD7198" w:rsidRPr="00DD6A04" w:rsidRDefault="00AD7198" w:rsidP="00AD7198">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0FE1797" w14:textId="6929FC06" w:rsidR="00AD7198" w:rsidRPr="00DD6A04" w:rsidRDefault="00AD7198" w:rsidP="00AD7198">
            <w:pPr>
              <w:spacing w:before="0" w:after="0" w:line="276" w:lineRule="auto"/>
              <w:rPr>
                <w:rFonts w:eastAsia="Times New Roman"/>
                <w:noProof/>
                <w:color w:val="006100"/>
                <w:sz w:val="22"/>
              </w:rPr>
            </w:pPr>
            <w:r>
              <w:rPr>
                <w:noProof/>
                <w:color w:val="006100"/>
                <w:sz w:val="22"/>
              </w:rPr>
              <w:t>Objava javnega razpisa za projekte za postavitev polnilne ali oskrbovalne infrastrukture</w:t>
            </w:r>
          </w:p>
        </w:tc>
      </w:tr>
      <w:tr w:rsidR="00AD7198" w:rsidRPr="00DD6A04" w14:paraId="54906EEA" w14:textId="77777777" w:rsidTr="150EC00E">
        <w:trPr>
          <w:trHeight w:val="302"/>
        </w:trPr>
        <w:tc>
          <w:tcPr>
            <w:tcW w:w="1247" w:type="dxa"/>
            <w:shd w:val="clear" w:color="auto" w:fill="C6EFCE"/>
            <w:noWrap/>
            <w:vAlign w:val="bottom"/>
          </w:tcPr>
          <w:p w14:paraId="3D7A7AB3" w14:textId="77777777" w:rsidR="00AD7198" w:rsidRPr="00DD6A04" w:rsidRDefault="00AD7198" w:rsidP="00AD7198">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1EC1EF52" w14:textId="77777777" w:rsidR="00AD7198" w:rsidRPr="00DD6A04" w:rsidRDefault="00AD7198" w:rsidP="00AD7198">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1106E71F" w14:textId="3FAD29CB" w:rsidR="00AD7198" w:rsidRPr="00DD6A04" w:rsidRDefault="00AD7198" w:rsidP="00AD7198">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50DD4AEE" w14:textId="33A44C65" w:rsidR="00AD7198" w:rsidRPr="00DD6A04" w:rsidRDefault="00AD7198" w:rsidP="00AD7198">
            <w:pPr>
              <w:spacing w:before="0" w:after="0" w:line="276" w:lineRule="auto"/>
              <w:rPr>
                <w:rFonts w:eastAsia="Times New Roman"/>
                <w:noProof/>
                <w:color w:val="006100"/>
                <w:sz w:val="22"/>
              </w:rPr>
            </w:pPr>
            <w:r>
              <w:rPr>
                <w:b/>
                <w:noProof/>
                <w:color w:val="006100"/>
                <w:sz w:val="22"/>
              </w:rPr>
              <w:t>208 351 488 EUR</w:t>
            </w:r>
          </w:p>
        </w:tc>
      </w:tr>
    </w:tbl>
    <w:p w14:paraId="6700965C" w14:textId="77777777" w:rsidR="003C6015" w:rsidRPr="00DD6A04" w:rsidRDefault="003C6015" w:rsidP="00D261C4">
      <w:pPr>
        <w:spacing w:line="240" w:lineRule="auto"/>
        <w:jc w:val="both"/>
        <w:rPr>
          <w:b/>
          <w:noProof/>
          <w:lang w:val="en-GB"/>
        </w:rPr>
      </w:pPr>
    </w:p>
    <w:p w14:paraId="1C952768" w14:textId="77777777" w:rsidR="003C6015" w:rsidRPr="00DD6A04" w:rsidRDefault="003C6015" w:rsidP="00BD7FBD">
      <w:pPr>
        <w:numPr>
          <w:ilvl w:val="1"/>
          <w:numId w:val="19"/>
        </w:numPr>
        <w:spacing w:before="0" w:after="200" w:line="240" w:lineRule="auto"/>
        <w:jc w:val="both"/>
        <w:rPr>
          <w:b/>
          <w:noProof/>
        </w:rPr>
      </w:pPr>
      <w:r>
        <w:rPr>
          <w:noProof/>
        </w:rPr>
        <w:t>Sedmi obrok (nepovratna podpora):</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CB0219" w:rsidRPr="00DD6A04" w14:paraId="407EEEA0" w14:textId="77777777" w:rsidTr="150EC00E">
        <w:trPr>
          <w:trHeight w:val="567"/>
          <w:tblHeader/>
        </w:trPr>
        <w:tc>
          <w:tcPr>
            <w:tcW w:w="1247" w:type="dxa"/>
            <w:vMerge w:val="restart"/>
            <w:shd w:val="clear" w:color="auto" w:fill="BDD7EE"/>
            <w:vAlign w:val="center"/>
            <w:hideMark/>
          </w:tcPr>
          <w:p w14:paraId="558CED72" w14:textId="77777777" w:rsidR="00CB0219" w:rsidRPr="00DD6A04" w:rsidRDefault="00CB0219">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1A7E02F0" w14:textId="77777777" w:rsidR="00CB0219" w:rsidRPr="00DD6A04" w:rsidRDefault="00CB0219">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6F436077" w14:textId="77777777" w:rsidR="00CB0219" w:rsidRPr="00DD6A04" w:rsidRDefault="00CB0219">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06D8A6AD" w14:textId="77777777" w:rsidR="00CB0219" w:rsidRPr="00DD6A04" w:rsidRDefault="00CB0219">
            <w:pPr>
              <w:spacing w:before="0" w:after="0" w:line="276" w:lineRule="auto"/>
              <w:jc w:val="center"/>
              <w:rPr>
                <w:rFonts w:eastAsia="Times New Roman"/>
                <w:b/>
                <w:noProof/>
                <w:sz w:val="22"/>
              </w:rPr>
            </w:pPr>
            <w:r>
              <w:rPr>
                <w:b/>
                <w:noProof/>
                <w:sz w:val="22"/>
              </w:rPr>
              <w:t>Ime</w:t>
            </w:r>
          </w:p>
        </w:tc>
      </w:tr>
      <w:tr w:rsidR="00CB0219" w:rsidRPr="00DD6A04" w14:paraId="7AE69778" w14:textId="77777777" w:rsidTr="150EC00E">
        <w:trPr>
          <w:trHeight w:val="309"/>
          <w:tblHeader/>
        </w:trPr>
        <w:tc>
          <w:tcPr>
            <w:tcW w:w="1247" w:type="dxa"/>
            <w:vMerge/>
            <w:vAlign w:val="center"/>
            <w:hideMark/>
          </w:tcPr>
          <w:p w14:paraId="6095374E" w14:textId="77777777" w:rsidR="00CB0219" w:rsidRPr="00DD6A04" w:rsidRDefault="00CB0219">
            <w:pPr>
              <w:spacing w:before="0" w:after="0" w:line="276" w:lineRule="auto"/>
              <w:jc w:val="center"/>
              <w:rPr>
                <w:rFonts w:eastAsia="Times New Roman"/>
                <w:b/>
                <w:noProof/>
                <w:sz w:val="22"/>
                <w:szCs w:val="24"/>
                <w:lang w:val="en-GB" w:eastAsia="en-GB"/>
              </w:rPr>
            </w:pPr>
          </w:p>
        </w:tc>
        <w:tc>
          <w:tcPr>
            <w:tcW w:w="3119" w:type="dxa"/>
            <w:vMerge/>
            <w:vAlign w:val="center"/>
            <w:hideMark/>
          </w:tcPr>
          <w:p w14:paraId="57779A9A" w14:textId="77777777" w:rsidR="00CB0219" w:rsidRPr="00DD6A04" w:rsidRDefault="00CB0219">
            <w:pPr>
              <w:spacing w:before="0" w:after="0" w:line="276" w:lineRule="auto"/>
              <w:rPr>
                <w:rFonts w:eastAsia="Times New Roman"/>
                <w:b/>
                <w:noProof/>
                <w:sz w:val="22"/>
                <w:szCs w:val="24"/>
                <w:lang w:val="en-GB" w:eastAsia="en-GB"/>
              </w:rPr>
            </w:pPr>
          </w:p>
        </w:tc>
        <w:tc>
          <w:tcPr>
            <w:tcW w:w="1247" w:type="dxa"/>
            <w:vMerge/>
            <w:vAlign w:val="center"/>
            <w:hideMark/>
          </w:tcPr>
          <w:p w14:paraId="2272FC09" w14:textId="77777777" w:rsidR="00CB0219" w:rsidRPr="00DD6A04" w:rsidRDefault="00CB0219">
            <w:pPr>
              <w:spacing w:before="0" w:after="0" w:line="276" w:lineRule="auto"/>
              <w:rPr>
                <w:rFonts w:eastAsia="Times New Roman"/>
                <w:b/>
                <w:noProof/>
                <w:sz w:val="22"/>
                <w:szCs w:val="24"/>
                <w:lang w:val="en-GB" w:eastAsia="en-GB"/>
              </w:rPr>
            </w:pPr>
          </w:p>
        </w:tc>
        <w:tc>
          <w:tcPr>
            <w:tcW w:w="4139" w:type="dxa"/>
            <w:vMerge/>
            <w:vAlign w:val="center"/>
            <w:hideMark/>
          </w:tcPr>
          <w:p w14:paraId="303BA2F0" w14:textId="77777777" w:rsidR="00CB0219" w:rsidRPr="00DD6A04" w:rsidRDefault="00CB0219">
            <w:pPr>
              <w:spacing w:before="0" w:after="0" w:line="276" w:lineRule="auto"/>
              <w:rPr>
                <w:rFonts w:eastAsia="Times New Roman"/>
                <w:b/>
                <w:noProof/>
                <w:sz w:val="22"/>
                <w:szCs w:val="24"/>
                <w:lang w:val="en-GB" w:eastAsia="en-GB"/>
              </w:rPr>
            </w:pPr>
          </w:p>
        </w:tc>
      </w:tr>
      <w:tr w:rsidR="00D261C4" w:rsidRPr="00DD6A04" w14:paraId="3196D1DF" w14:textId="77777777" w:rsidTr="150EC00E">
        <w:trPr>
          <w:trHeight w:val="302"/>
        </w:trPr>
        <w:tc>
          <w:tcPr>
            <w:tcW w:w="1247" w:type="dxa"/>
            <w:shd w:val="clear" w:color="auto" w:fill="C6EFCE"/>
            <w:noWrap/>
          </w:tcPr>
          <w:p w14:paraId="41DD7983"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688B79DE"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3</w:t>
            </w:r>
          </w:p>
          <w:p w14:paraId="7B4DBEF7"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0A40AFB" w14:textId="49CF2D56" w:rsidR="00D261C4" w:rsidRPr="00DD6A04" w:rsidRDefault="00D261C4" w:rsidP="00D261C4">
            <w:pPr>
              <w:spacing w:before="0" w:after="0" w:line="276" w:lineRule="auto"/>
              <w:rPr>
                <w:rFonts w:eastAsia="Times New Roman"/>
                <w:noProof/>
                <w:color w:val="006100"/>
                <w:sz w:val="22"/>
              </w:rPr>
            </w:pPr>
            <w:r>
              <w:rPr>
                <w:noProof/>
                <w:color w:val="006100"/>
                <w:sz w:val="22"/>
              </w:rPr>
              <w:t>A: Reforma oskrbe z električno energijo za potrebe spodbujanja obnovljivih virov energije</w:t>
            </w:r>
          </w:p>
        </w:tc>
        <w:tc>
          <w:tcPr>
            <w:tcW w:w="1247" w:type="dxa"/>
            <w:shd w:val="clear" w:color="auto" w:fill="C6EFCE"/>
            <w:noWrap/>
          </w:tcPr>
          <w:p w14:paraId="604625C2" w14:textId="2C0B2777"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E2376F0" w14:textId="42F5D74C" w:rsidR="00D261C4" w:rsidRPr="00DD6A04" w:rsidRDefault="00D261C4" w:rsidP="00D261C4">
            <w:pPr>
              <w:spacing w:before="0" w:after="0" w:line="276" w:lineRule="auto"/>
              <w:rPr>
                <w:rFonts w:eastAsia="Times New Roman"/>
                <w:noProof/>
                <w:color w:val="006100"/>
                <w:sz w:val="22"/>
              </w:rPr>
            </w:pPr>
            <w:r>
              <w:rPr>
                <w:noProof/>
                <w:color w:val="006100"/>
                <w:sz w:val="22"/>
              </w:rPr>
              <w:t>Skrajšanje in poenostavitev priključevanja naprav za samooskrbo z zmogljivostjo do 20 kW</w:t>
            </w:r>
          </w:p>
        </w:tc>
      </w:tr>
      <w:tr w:rsidR="00D261C4" w:rsidRPr="00DD6A04" w14:paraId="53DE7102" w14:textId="77777777" w:rsidTr="150EC00E">
        <w:trPr>
          <w:trHeight w:val="302"/>
        </w:trPr>
        <w:tc>
          <w:tcPr>
            <w:tcW w:w="1247" w:type="dxa"/>
            <w:shd w:val="clear" w:color="auto" w:fill="C6EFCE"/>
            <w:noWrap/>
          </w:tcPr>
          <w:p w14:paraId="737CE339"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1925F1E1"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24</w:t>
            </w:r>
          </w:p>
          <w:p w14:paraId="35BC62F9"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72DAC9F" w14:textId="5FBCF511" w:rsidR="00D261C4" w:rsidRPr="00DD6A04" w:rsidRDefault="00D261C4" w:rsidP="00D261C4">
            <w:pPr>
              <w:spacing w:before="0" w:after="0" w:line="276" w:lineRule="auto"/>
              <w:rPr>
                <w:rFonts w:eastAsia="Times New Roman"/>
                <w:noProof/>
                <w:color w:val="006100"/>
                <w:sz w:val="22"/>
              </w:rPr>
            </w:pPr>
            <w:r>
              <w:rPr>
                <w:noProof/>
                <w:color w:val="006100"/>
                <w:sz w:val="22"/>
              </w:rPr>
              <w:t>B: Trajnostna prenova stavb</w:t>
            </w:r>
          </w:p>
        </w:tc>
        <w:tc>
          <w:tcPr>
            <w:tcW w:w="1247" w:type="dxa"/>
            <w:shd w:val="clear" w:color="auto" w:fill="C6EFCE"/>
            <w:noWrap/>
          </w:tcPr>
          <w:p w14:paraId="4E441226" w14:textId="6F126D15"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24791319" w14:textId="30EFABA7" w:rsidR="00D261C4" w:rsidRPr="00DD6A04" w:rsidRDefault="00D261C4" w:rsidP="00D261C4">
            <w:pPr>
              <w:spacing w:before="0" w:after="0" w:line="276" w:lineRule="auto"/>
              <w:rPr>
                <w:rFonts w:eastAsia="Times New Roman"/>
                <w:noProof/>
                <w:color w:val="006100"/>
                <w:sz w:val="22"/>
              </w:rPr>
            </w:pPr>
            <w:r>
              <w:rPr>
                <w:noProof/>
                <w:color w:val="006100"/>
                <w:sz w:val="22"/>
              </w:rPr>
              <w:t xml:space="preserve">Dokončane energetske in trajnostne prenove stavb velikega upravnega in družbenega pomena </w:t>
            </w:r>
          </w:p>
        </w:tc>
      </w:tr>
      <w:tr w:rsidR="00D261C4" w:rsidRPr="00DD6A04" w14:paraId="7F33B01B" w14:textId="77777777" w:rsidTr="150EC00E">
        <w:trPr>
          <w:trHeight w:val="302"/>
        </w:trPr>
        <w:tc>
          <w:tcPr>
            <w:tcW w:w="1247" w:type="dxa"/>
            <w:shd w:val="clear" w:color="auto" w:fill="C6EFCE"/>
            <w:noWrap/>
          </w:tcPr>
          <w:p w14:paraId="7598E43B"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05789EFA" w14:textId="50CC875B" w:rsidR="00D261C4" w:rsidRPr="00DD6A04" w:rsidRDefault="00D261C4" w:rsidP="00D261C4">
            <w:pPr>
              <w:spacing w:before="0" w:after="0" w:line="276" w:lineRule="auto"/>
              <w:jc w:val="center"/>
              <w:rPr>
                <w:rFonts w:eastAsia="Times New Roman"/>
                <w:noProof/>
                <w:color w:val="006100"/>
                <w:sz w:val="22"/>
              </w:rPr>
            </w:pPr>
            <w:r>
              <w:rPr>
                <w:noProof/>
                <w:color w:val="006100"/>
                <w:sz w:val="22"/>
              </w:rPr>
              <w:t>32</w:t>
            </w:r>
          </w:p>
          <w:p w14:paraId="17A24C25"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84FE8EE" w14:textId="29717F13" w:rsidR="00D261C4" w:rsidRPr="00DD6A04" w:rsidRDefault="00D261C4" w:rsidP="00D261C4">
            <w:pPr>
              <w:spacing w:before="0" w:after="0" w:line="276"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247" w:type="dxa"/>
            <w:shd w:val="clear" w:color="auto" w:fill="C6EFCE"/>
            <w:noWrap/>
          </w:tcPr>
          <w:p w14:paraId="3CA7C2DC" w14:textId="0224CF74"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AEB47F1" w14:textId="5937368F" w:rsidR="00D261C4" w:rsidRPr="00DD6A04" w:rsidRDefault="00D261C4" w:rsidP="00D261C4">
            <w:pPr>
              <w:spacing w:before="0" w:after="0" w:line="276" w:lineRule="auto"/>
              <w:rPr>
                <w:rFonts w:eastAsia="Times New Roman"/>
                <w:noProof/>
                <w:color w:val="006100"/>
                <w:sz w:val="22"/>
              </w:rPr>
            </w:pPr>
            <w:r>
              <w:rPr>
                <w:noProof/>
                <w:color w:val="006100"/>
                <w:sz w:val="22"/>
              </w:rPr>
              <w:t>Oddaja naročil za investicije v protipoplavno varnost</w:t>
            </w:r>
          </w:p>
        </w:tc>
      </w:tr>
      <w:tr w:rsidR="00D261C4" w:rsidRPr="00DD6A04" w14:paraId="309B94E0" w14:textId="77777777" w:rsidTr="150EC00E">
        <w:trPr>
          <w:trHeight w:val="302"/>
        </w:trPr>
        <w:tc>
          <w:tcPr>
            <w:tcW w:w="1247" w:type="dxa"/>
            <w:shd w:val="clear" w:color="auto" w:fill="C6EFCE"/>
            <w:noWrap/>
          </w:tcPr>
          <w:p w14:paraId="6F08C010"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3DBD2A23"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39</w:t>
            </w:r>
          </w:p>
          <w:p w14:paraId="148D1D44"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4A8878F" w14:textId="1D06522A" w:rsidR="00D261C4" w:rsidRPr="00DD6A04" w:rsidRDefault="00D261C4" w:rsidP="00D261C4">
            <w:pPr>
              <w:spacing w:before="0" w:after="0" w:line="276" w:lineRule="auto"/>
              <w:rPr>
                <w:rFonts w:eastAsia="Times New Roman"/>
                <w:noProof/>
                <w:color w:val="006100"/>
                <w:sz w:val="22"/>
              </w:rPr>
            </w:pPr>
            <w:r>
              <w:rPr>
                <w:noProof/>
                <w:color w:val="006100"/>
                <w:sz w:val="22"/>
              </w:rPr>
              <w:t>H: Projekti odvajanja in čiščenja komunalne odpadne vode</w:t>
            </w:r>
          </w:p>
        </w:tc>
        <w:tc>
          <w:tcPr>
            <w:tcW w:w="1247" w:type="dxa"/>
            <w:shd w:val="clear" w:color="auto" w:fill="C6EFCE"/>
            <w:noWrap/>
          </w:tcPr>
          <w:p w14:paraId="506521DC" w14:textId="168AD9BF"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2D0D581" w14:textId="67D0289C" w:rsidR="00D261C4" w:rsidRPr="00DD6A04" w:rsidRDefault="00D261C4" w:rsidP="00D261C4">
            <w:pPr>
              <w:spacing w:before="0" w:after="0" w:line="276" w:lineRule="auto"/>
              <w:rPr>
                <w:rFonts w:eastAsia="Times New Roman"/>
                <w:noProof/>
                <w:color w:val="006100"/>
                <w:sz w:val="22"/>
              </w:rPr>
            </w:pPr>
            <w:r>
              <w:rPr>
                <w:noProof/>
                <w:color w:val="006100"/>
                <w:sz w:val="22"/>
              </w:rPr>
              <w:t xml:space="preserve">Število dokončanih projektov odvajanja in čiščenja komunalne odpadne vode </w:t>
            </w:r>
          </w:p>
        </w:tc>
      </w:tr>
      <w:tr w:rsidR="00D261C4" w:rsidRPr="00DD6A04" w14:paraId="7ED03730" w14:textId="77777777" w:rsidTr="150EC00E">
        <w:trPr>
          <w:trHeight w:val="302"/>
        </w:trPr>
        <w:tc>
          <w:tcPr>
            <w:tcW w:w="1247" w:type="dxa"/>
            <w:shd w:val="clear" w:color="auto" w:fill="C6EFCE"/>
            <w:noWrap/>
          </w:tcPr>
          <w:p w14:paraId="37B2D9AA"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6355254C"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43</w:t>
            </w:r>
          </w:p>
          <w:p w14:paraId="5BAB1523"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D56CFA8" w14:textId="5484CCF1" w:rsidR="00D261C4" w:rsidRPr="00DD6A04" w:rsidRDefault="00D261C4" w:rsidP="00D261C4">
            <w:pPr>
              <w:spacing w:before="0" w:after="0" w:line="276" w:lineRule="auto"/>
              <w:rPr>
                <w:rFonts w:eastAsia="Times New Roman"/>
                <w:noProof/>
                <w:color w:val="006100"/>
                <w:sz w:val="22"/>
              </w:rPr>
            </w:pPr>
            <w:r>
              <w:rPr>
                <w:noProof/>
                <w:color w:val="006100"/>
                <w:sz w:val="22"/>
              </w:rPr>
              <w:t>I: Projekti oskrbe in varčevanja s pitno vodo</w:t>
            </w:r>
          </w:p>
        </w:tc>
        <w:tc>
          <w:tcPr>
            <w:tcW w:w="1247" w:type="dxa"/>
            <w:shd w:val="clear" w:color="auto" w:fill="C6EFCE"/>
            <w:noWrap/>
          </w:tcPr>
          <w:p w14:paraId="1669481C" w14:textId="05B72ED1"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000191C" w14:textId="5F8BC5AA" w:rsidR="00D261C4" w:rsidRPr="00DD6A04" w:rsidRDefault="00D261C4" w:rsidP="00D261C4">
            <w:pPr>
              <w:spacing w:before="0" w:after="0" w:line="276" w:lineRule="auto"/>
              <w:rPr>
                <w:rFonts w:eastAsia="Times New Roman"/>
                <w:noProof/>
                <w:color w:val="006100"/>
                <w:sz w:val="22"/>
              </w:rPr>
            </w:pPr>
            <w:r>
              <w:rPr>
                <w:noProof/>
                <w:color w:val="006100"/>
                <w:sz w:val="22"/>
              </w:rPr>
              <w:t xml:space="preserve">Število dokončanih projektov oskrbe s pitno vodo </w:t>
            </w:r>
          </w:p>
        </w:tc>
      </w:tr>
      <w:tr w:rsidR="00D261C4" w:rsidRPr="00DD6A04" w14:paraId="0C28B57F" w14:textId="77777777" w:rsidTr="150EC00E">
        <w:trPr>
          <w:trHeight w:val="302"/>
        </w:trPr>
        <w:tc>
          <w:tcPr>
            <w:tcW w:w="1247" w:type="dxa"/>
            <w:shd w:val="clear" w:color="auto" w:fill="C6EFCE"/>
            <w:noWrap/>
          </w:tcPr>
          <w:p w14:paraId="102AFE60"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5C6D66C4"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74</w:t>
            </w:r>
          </w:p>
          <w:p w14:paraId="14E21B7C"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1451F04" w14:textId="6C0C4863" w:rsidR="00D261C4" w:rsidRPr="00DD6A04" w:rsidRDefault="00D261C4" w:rsidP="00D261C4">
            <w:pPr>
              <w:spacing w:before="0" w:after="0" w:line="276" w:lineRule="auto"/>
              <w:rPr>
                <w:rFonts w:eastAsia="Times New Roman"/>
                <w:noProof/>
                <w:color w:val="006100"/>
                <w:sz w:val="22"/>
              </w:rPr>
            </w:pPr>
            <w:r>
              <w:rPr>
                <w:noProof/>
                <w:color w:val="006100"/>
                <w:sz w:val="22"/>
              </w:rPr>
              <w:t>C: Večja predelava lesa za hitrejši prehod v podnebno nevtralno družbo</w:t>
            </w:r>
          </w:p>
        </w:tc>
        <w:tc>
          <w:tcPr>
            <w:tcW w:w="1247" w:type="dxa"/>
            <w:shd w:val="clear" w:color="auto" w:fill="C6EFCE"/>
            <w:noWrap/>
          </w:tcPr>
          <w:p w14:paraId="13C3B46C" w14:textId="2E420057"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5ED5026" w14:textId="0F724346" w:rsidR="00D261C4" w:rsidRPr="00DD6A04" w:rsidRDefault="0FF37279" w:rsidP="150EC00E">
            <w:pPr>
              <w:spacing w:before="0" w:after="0" w:line="276" w:lineRule="auto"/>
              <w:rPr>
                <w:rFonts w:eastAsia="Times New Roman"/>
                <w:noProof/>
                <w:color w:val="006100"/>
                <w:sz w:val="22"/>
              </w:rPr>
            </w:pPr>
            <w:r>
              <w:rPr>
                <w:noProof/>
                <w:color w:val="006100"/>
                <w:sz w:val="22"/>
              </w:rPr>
              <w:t>Izdani sklepi o sofinanciranju za podporo okolju prijazni predelavi lesa</w:t>
            </w:r>
          </w:p>
        </w:tc>
      </w:tr>
      <w:tr w:rsidR="00D261C4" w:rsidRPr="00DD6A04" w14:paraId="3237637B" w14:textId="77777777" w:rsidTr="150EC00E">
        <w:trPr>
          <w:trHeight w:val="302"/>
        </w:trPr>
        <w:tc>
          <w:tcPr>
            <w:tcW w:w="1247" w:type="dxa"/>
            <w:shd w:val="clear" w:color="auto" w:fill="C6EFCE"/>
            <w:noWrap/>
          </w:tcPr>
          <w:p w14:paraId="5759DA77"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2D1EE052"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79</w:t>
            </w:r>
          </w:p>
          <w:p w14:paraId="10C78E00"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29F46B4" w14:textId="14908282" w:rsidR="00D261C4" w:rsidRPr="00DD6A04" w:rsidRDefault="00D261C4" w:rsidP="00D261C4">
            <w:pPr>
              <w:spacing w:before="0" w:after="0" w:line="276" w:lineRule="auto"/>
              <w:rPr>
                <w:rFonts w:eastAsia="Times New Roman"/>
                <w:noProof/>
                <w:color w:val="006100"/>
                <w:sz w:val="22"/>
              </w:rPr>
            </w:pPr>
            <w:r>
              <w:rPr>
                <w:noProof/>
                <w:color w:val="006100"/>
                <w:sz w:val="22"/>
              </w:rPr>
              <w:t>A: Digitalna transformacija gospodarstva (podjetij in industrije)</w:t>
            </w:r>
          </w:p>
        </w:tc>
        <w:tc>
          <w:tcPr>
            <w:tcW w:w="1247" w:type="dxa"/>
            <w:shd w:val="clear" w:color="auto" w:fill="C6EFCE"/>
            <w:noWrap/>
          </w:tcPr>
          <w:p w14:paraId="436843C7" w14:textId="06EB6B1B"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11FD01B6" w14:textId="10788EED" w:rsidR="00D261C4" w:rsidRPr="00DD6A04" w:rsidRDefault="00D261C4" w:rsidP="00D261C4">
            <w:pPr>
              <w:spacing w:before="0" w:after="0" w:line="276" w:lineRule="auto"/>
              <w:rPr>
                <w:rFonts w:eastAsia="Times New Roman"/>
                <w:noProof/>
                <w:color w:val="006100"/>
                <w:sz w:val="22"/>
              </w:rPr>
            </w:pPr>
            <w:r>
              <w:rPr>
                <w:noProof/>
                <w:color w:val="006100"/>
                <w:sz w:val="22"/>
              </w:rPr>
              <w:t>Podjetja z dodeljeno e-identiteto</w:t>
            </w:r>
          </w:p>
        </w:tc>
      </w:tr>
      <w:tr w:rsidR="00D261C4" w:rsidRPr="00DD6A04" w14:paraId="1633B3A2" w14:textId="77777777" w:rsidTr="150EC00E">
        <w:trPr>
          <w:trHeight w:val="302"/>
        </w:trPr>
        <w:tc>
          <w:tcPr>
            <w:tcW w:w="1247" w:type="dxa"/>
            <w:shd w:val="clear" w:color="auto" w:fill="C6EFCE"/>
            <w:noWrap/>
          </w:tcPr>
          <w:p w14:paraId="7C0FE2B3"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0878ED9C"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103</w:t>
            </w:r>
          </w:p>
          <w:p w14:paraId="11F040A6"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8ECE769" w14:textId="22402176" w:rsidR="00D261C4" w:rsidRPr="00DD6A04" w:rsidRDefault="00D261C4" w:rsidP="00D261C4">
            <w:pPr>
              <w:spacing w:before="0" w:after="0" w:line="276" w:lineRule="auto"/>
              <w:rPr>
                <w:rFonts w:eastAsia="Times New Roman"/>
                <w:noProof/>
                <w:color w:val="006100"/>
                <w:sz w:val="22"/>
              </w:rPr>
            </w:pPr>
            <w:r>
              <w:rPr>
                <w:noProof/>
                <w:color w:val="006100"/>
                <w:sz w:val="22"/>
              </w:rPr>
              <w:t>L: Digitalni prehod na področju kmetijstva, prehrane in gozdarstva</w:t>
            </w:r>
          </w:p>
        </w:tc>
        <w:tc>
          <w:tcPr>
            <w:tcW w:w="1247" w:type="dxa"/>
            <w:shd w:val="clear" w:color="auto" w:fill="C6EFCE"/>
            <w:noWrap/>
          </w:tcPr>
          <w:p w14:paraId="43768F72" w14:textId="55FE86C4"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669DC42" w14:textId="2084EDB7" w:rsidR="00D261C4" w:rsidRPr="00DD6A04" w:rsidRDefault="00D261C4" w:rsidP="00D261C4">
            <w:pPr>
              <w:spacing w:before="0" w:after="0" w:line="276" w:lineRule="auto"/>
              <w:rPr>
                <w:rFonts w:eastAsia="Times New Roman"/>
                <w:noProof/>
                <w:color w:val="006100"/>
                <w:sz w:val="22"/>
              </w:rPr>
            </w:pPr>
            <w:r>
              <w:rPr>
                <w:noProof/>
                <w:color w:val="006100"/>
                <w:sz w:val="22"/>
              </w:rPr>
              <w:t>Nove operativne e-storitve na področju kmetijstva, prehrane in gozdarstva</w:t>
            </w:r>
          </w:p>
        </w:tc>
      </w:tr>
      <w:tr w:rsidR="00D261C4" w:rsidRPr="00DD6A04" w14:paraId="6547E43C" w14:textId="77777777" w:rsidTr="150EC00E">
        <w:trPr>
          <w:trHeight w:val="302"/>
        </w:trPr>
        <w:tc>
          <w:tcPr>
            <w:tcW w:w="1247" w:type="dxa"/>
            <w:shd w:val="clear" w:color="auto" w:fill="C6EFCE"/>
            <w:noWrap/>
          </w:tcPr>
          <w:p w14:paraId="26A03729"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6B70E3C7"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112</w:t>
            </w:r>
          </w:p>
          <w:p w14:paraId="587F17A8"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EBB5EA7" w14:textId="64DF38DC" w:rsidR="00D261C4" w:rsidRPr="00DD6A04" w:rsidRDefault="00D261C4" w:rsidP="00D261C4">
            <w:pPr>
              <w:spacing w:before="0" w:after="0" w:line="27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1247" w:type="dxa"/>
            <w:shd w:val="clear" w:color="auto" w:fill="C6EFCE"/>
            <w:noWrap/>
          </w:tcPr>
          <w:p w14:paraId="152ADF3F" w14:textId="62953B98"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8C33EAB" w14:textId="121C10BC" w:rsidR="00D261C4" w:rsidRPr="00DD6A04" w:rsidRDefault="00D261C4" w:rsidP="00D261C4">
            <w:pPr>
              <w:spacing w:before="0" w:after="0" w:line="276" w:lineRule="auto"/>
              <w:rPr>
                <w:rFonts w:eastAsia="Times New Roman"/>
                <w:noProof/>
                <w:color w:val="006100"/>
                <w:sz w:val="22"/>
              </w:rPr>
            </w:pPr>
            <w:r>
              <w:rPr>
                <w:noProof/>
                <w:color w:val="006100"/>
                <w:sz w:val="22"/>
              </w:rPr>
              <w:t>Sklep o izbiri programov za razvoj nizkoogljične družbe, gospodarstva, odpornosti in prilagajanja podnebnim spremembam</w:t>
            </w:r>
          </w:p>
        </w:tc>
      </w:tr>
      <w:tr w:rsidR="00D261C4" w:rsidRPr="00DD6A04" w14:paraId="4C63E05D" w14:textId="77777777" w:rsidTr="150EC00E">
        <w:trPr>
          <w:trHeight w:val="302"/>
        </w:trPr>
        <w:tc>
          <w:tcPr>
            <w:tcW w:w="1247" w:type="dxa"/>
            <w:shd w:val="clear" w:color="auto" w:fill="C6EFCE"/>
            <w:noWrap/>
          </w:tcPr>
          <w:p w14:paraId="59BABFF5"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6C62F4AA"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113</w:t>
            </w:r>
          </w:p>
          <w:p w14:paraId="120BC1E5"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81A177A" w14:textId="2B5115B8" w:rsidR="00D261C4" w:rsidRPr="00DD6A04" w:rsidRDefault="00D261C4" w:rsidP="00D261C4">
            <w:pPr>
              <w:spacing w:before="0" w:after="0" w:line="27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1247" w:type="dxa"/>
            <w:shd w:val="clear" w:color="auto" w:fill="C6EFCE"/>
            <w:noWrap/>
          </w:tcPr>
          <w:p w14:paraId="4C038061" w14:textId="60BB0657"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D60FA01" w14:textId="01EF10ED" w:rsidR="00D261C4" w:rsidRPr="00DD6A04" w:rsidRDefault="00D261C4" w:rsidP="00D261C4">
            <w:pPr>
              <w:spacing w:before="0" w:after="0" w:line="276" w:lineRule="auto"/>
              <w:rPr>
                <w:rFonts w:eastAsia="Times New Roman"/>
                <w:noProof/>
                <w:color w:val="006100"/>
                <w:sz w:val="22"/>
              </w:rPr>
            </w:pPr>
            <w:r>
              <w:rPr>
                <w:noProof/>
                <w:color w:val="006100"/>
                <w:sz w:val="22"/>
              </w:rPr>
              <w:t>Sklep o izbiri programov na področju digitalizacije in digitalne preobrazbe</w:t>
            </w:r>
          </w:p>
        </w:tc>
      </w:tr>
      <w:tr w:rsidR="00D261C4" w:rsidRPr="00DD6A04" w14:paraId="6AFB2476" w14:textId="77777777" w:rsidTr="150EC00E">
        <w:trPr>
          <w:trHeight w:val="302"/>
        </w:trPr>
        <w:tc>
          <w:tcPr>
            <w:tcW w:w="1247" w:type="dxa"/>
            <w:shd w:val="clear" w:color="auto" w:fill="C6EFCE"/>
            <w:noWrap/>
          </w:tcPr>
          <w:p w14:paraId="4B68F4FE"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148B8427"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114</w:t>
            </w:r>
          </w:p>
          <w:p w14:paraId="2EA32E1F"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52D290A" w14:textId="47598869" w:rsidR="00D261C4" w:rsidRPr="00DD6A04" w:rsidRDefault="00D261C4" w:rsidP="00D261C4">
            <w:pPr>
              <w:spacing w:before="0" w:after="0" w:line="27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1247" w:type="dxa"/>
            <w:shd w:val="clear" w:color="auto" w:fill="C6EFCE"/>
            <w:noWrap/>
          </w:tcPr>
          <w:p w14:paraId="708C2CF0" w14:textId="50D2FF7B"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CA4D7E4" w14:textId="499FFBA2" w:rsidR="00D261C4" w:rsidRPr="00DD6A04" w:rsidRDefault="00D261C4" w:rsidP="00D261C4">
            <w:pPr>
              <w:spacing w:before="0" w:after="0" w:line="276" w:lineRule="auto"/>
              <w:rPr>
                <w:rFonts w:eastAsia="Times New Roman"/>
                <w:noProof/>
                <w:color w:val="006100"/>
                <w:sz w:val="22"/>
              </w:rPr>
            </w:pPr>
            <w:r>
              <w:rPr>
                <w:noProof/>
                <w:color w:val="006100"/>
                <w:sz w:val="22"/>
              </w:rPr>
              <w:t>Sklep o izbiri raziskovalnih in inovacijskih projektov na področju krožnega gospodarstva</w:t>
            </w:r>
          </w:p>
        </w:tc>
      </w:tr>
      <w:tr w:rsidR="00D261C4" w:rsidRPr="00DD6A04" w14:paraId="647D34BB" w14:textId="77777777" w:rsidTr="150EC00E">
        <w:trPr>
          <w:trHeight w:val="302"/>
        </w:trPr>
        <w:tc>
          <w:tcPr>
            <w:tcW w:w="1247" w:type="dxa"/>
            <w:shd w:val="clear" w:color="auto" w:fill="C6EFCE"/>
            <w:noWrap/>
          </w:tcPr>
          <w:p w14:paraId="1985498D"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29635594"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120</w:t>
            </w:r>
          </w:p>
          <w:p w14:paraId="3FB2AC84"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491224A" w14:textId="62D6E0CF" w:rsidR="00D261C4" w:rsidRPr="00DD6A04" w:rsidRDefault="00D261C4" w:rsidP="00D261C4">
            <w:pPr>
              <w:spacing w:before="0" w:after="0" w:line="276" w:lineRule="auto"/>
              <w:rPr>
                <w:rFonts w:eastAsia="Times New Roman"/>
                <w:noProof/>
                <w:color w:val="006100"/>
                <w:sz w:val="22"/>
              </w:rPr>
            </w:pPr>
            <w:r>
              <w:rPr>
                <w:noProof/>
                <w:color w:val="006100"/>
                <w:sz w:val="22"/>
              </w:rPr>
              <w:t>D: Sofinanciranje investicij v RRI demonstracijske in pilotne projekte</w:t>
            </w:r>
          </w:p>
        </w:tc>
        <w:tc>
          <w:tcPr>
            <w:tcW w:w="1247" w:type="dxa"/>
            <w:shd w:val="clear" w:color="auto" w:fill="C6EFCE"/>
            <w:noWrap/>
          </w:tcPr>
          <w:p w14:paraId="0EDD3EA9" w14:textId="687B616E"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8B9A1B3" w14:textId="605598F1" w:rsidR="00D261C4" w:rsidRPr="00DD6A04" w:rsidRDefault="00D261C4" w:rsidP="00D261C4">
            <w:pPr>
              <w:spacing w:before="0" w:after="0" w:line="276" w:lineRule="auto"/>
              <w:rPr>
                <w:rFonts w:eastAsia="Times New Roman"/>
                <w:noProof/>
                <w:color w:val="006100"/>
                <w:sz w:val="22"/>
              </w:rPr>
            </w:pPr>
            <w:r>
              <w:rPr>
                <w:noProof/>
                <w:color w:val="006100"/>
                <w:sz w:val="22"/>
              </w:rPr>
              <w:t xml:space="preserve">Opravljen izbor pilotnih projektov RRI na področju krožnega gospodarstva </w:t>
            </w:r>
          </w:p>
        </w:tc>
      </w:tr>
      <w:tr w:rsidR="00D261C4" w:rsidRPr="00DD6A04" w14:paraId="24CAA4F7" w14:textId="77777777" w:rsidTr="150EC00E">
        <w:trPr>
          <w:trHeight w:val="302"/>
        </w:trPr>
        <w:tc>
          <w:tcPr>
            <w:tcW w:w="1247" w:type="dxa"/>
            <w:shd w:val="clear" w:color="auto" w:fill="C6EFCE"/>
            <w:noWrap/>
          </w:tcPr>
          <w:p w14:paraId="4ED9498A"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00E713DF"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139</w:t>
            </w:r>
          </w:p>
          <w:p w14:paraId="325CC892"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C874C54" w14:textId="3BF1F23B" w:rsidR="00D261C4" w:rsidRPr="00DD6A04" w:rsidRDefault="00D261C4" w:rsidP="00D261C4">
            <w:pPr>
              <w:spacing w:before="0" w:after="0" w:line="276" w:lineRule="auto"/>
              <w:rPr>
                <w:rFonts w:eastAsia="Times New Roman"/>
                <w:noProof/>
                <w:color w:val="006100"/>
                <w:sz w:val="22"/>
              </w:rPr>
            </w:pPr>
            <w:r>
              <w:rPr>
                <w:noProof/>
                <w:color w:val="006100"/>
                <w:sz w:val="22"/>
              </w:rPr>
              <w:t>A: Strukturni ukrepi za krepitev (odpornosti) trga dela</w:t>
            </w:r>
          </w:p>
        </w:tc>
        <w:tc>
          <w:tcPr>
            <w:tcW w:w="1247" w:type="dxa"/>
            <w:shd w:val="clear" w:color="auto" w:fill="C6EFCE"/>
            <w:noWrap/>
          </w:tcPr>
          <w:p w14:paraId="5D87EA56" w14:textId="4BE69F52"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235CB72" w14:textId="697AE294" w:rsidR="00D261C4" w:rsidRPr="00DD6A04" w:rsidRDefault="00D261C4" w:rsidP="00D261C4">
            <w:pPr>
              <w:spacing w:before="0" w:after="0" w:line="276" w:lineRule="auto"/>
              <w:rPr>
                <w:rFonts w:eastAsia="Times New Roman"/>
                <w:noProof/>
                <w:color w:val="006100"/>
                <w:sz w:val="22"/>
              </w:rPr>
            </w:pPr>
            <w:r>
              <w:rPr>
                <w:noProof/>
                <w:color w:val="006100"/>
                <w:sz w:val="22"/>
              </w:rPr>
              <w:t xml:space="preserve">Začetek veljavnosti sprememb Zakona o pokojninskem in invalidskem zavarovanju, katerega namen je zagotavljanje javnofinančne vzdržnosti sistema in primernih pokojnin </w:t>
            </w:r>
          </w:p>
        </w:tc>
      </w:tr>
      <w:tr w:rsidR="00D261C4" w:rsidRPr="00DD6A04" w14:paraId="249C9ADC" w14:textId="77777777" w:rsidTr="150EC00E">
        <w:trPr>
          <w:trHeight w:val="302"/>
        </w:trPr>
        <w:tc>
          <w:tcPr>
            <w:tcW w:w="1247" w:type="dxa"/>
            <w:shd w:val="clear" w:color="auto" w:fill="C6EFCE"/>
            <w:noWrap/>
          </w:tcPr>
          <w:p w14:paraId="2A534725"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57DD2830"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140</w:t>
            </w:r>
          </w:p>
          <w:p w14:paraId="0D275553"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9011078" w14:textId="5A5B99CB" w:rsidR="00D261C4" w:rsidRPr="00DD6A04" w:rsidRDefault="00D261C4" w:rsidP="00D261C4">
            <w:pPr>
              <w:spacing w:before="0" w:after="0" w:line="276" w:lineRule="auto"/>
              <w:rPr>
                <w:rFonts w:eastAsia="Times New Roman"/>
                <w:noProof/>
                <w:color w:val="006100"/>
                <w:sz w:val="22"/>
              </w:rPr>
            </w:pPr>
            <w:r>
              <w:rPr>
                <w:noProof/>
                <w:color w:val="006100"/>
                <w:sz w:val="22"/>
              </w:rPr>
              <w:t>A: Strukturni ukrepi za krepitev (odpornosti) trga dela</w:t>
            </w:r>
          </w:p>
        </w:tc>
        <w:tc>
          <w:tcPr>
            <w:tcW w:w="1247" w:type="dxa"/>
            <w:shd w:val="clear" w:color="auto" w:fill="C6EFCE"/>
            <w:noWrap/>
          </w:tcPr>
          <w:p w14:paraId="78E191B9" w14:textId="0727F138"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0A06703" w14:textId="225D971C" w:rsidR="00D261C4" w:rsidRPr="00DD6A04" w:rsidRDefault="00D261C4" w:rsidP="00D261C4">
            <w:pPr>
              <w:spacing w:before="0" w:after="0" w:line="276" w:lineRule="auto"/>
              <w:rPr>
                <w:rFonts w:eastAsia="Times New Roman"/>
                <w:noProof/>
                <w:color w:val="006100"/>
                <w:sz w:val="22"/>
              </w:rPr>
            </w:pPr>
            <w:r>
              <w:rPr>
                <w:noProof/>
                <w:color w:val="006100"/>
                <w:sz w:val="22"/>
              </w:rPr>
              <w:t xml:space="preserve">Posodobitev izvedbenih dokumentov za Smernice za izvajanje ukrepov aktivne politike zaposlovanja za obdobje 2021–2025 </w:t>
            </w:r>
          </w:p>
        </w:tc>
      </w:tr>
      <w:tr w:rsidR="00D261C4" w:rsidRPr="00DD6A04" w14:paraId="4A8DB3CE" w14:textId="77777777" w:rsidTr="150EC00E">
        <w:trPr>
          <w:trHeight w:val="302"/>
        </w:trPr>
        <w:tc>
          <w:tcPr>
            <w:tcW w:w="1247" w:type="dxa"/>
            <w:shd w:val="clear" w:color="auto" w:fill="C6EFCE"/>
            <w:noWrap/>
          </w:tcPr>
          <w:p w14:paraId="7B7AD5A0"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32624DC4"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145</w:t>
            </w:r>
          </w:p>
          <w:p w14:paraId="26EDA950"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6853AAB" w14:textId="004E2EC0" w:rsidR="00D261C4" w:rsidRPr="00DD6A04" w:rsidRDefault="00D261C4" w:rsidP="00D261C4">
            <w:pPr>
              <w:spacing w:before="0" w:after="0" w:line="276" w:lineRule="auto"/>
              <w:rPr>
                <w:rFonts w:eastAsia="Times New Roman"/>
                <w:noProof/>
                <w:color w:val="006100"/>
                <w:sz w:val="22"/>
              </w:rPr>
            </w:pPr>
            <w:r>
              <w:rPr>
                <w:noProof/>
                <w:color w:val="006100"/>
                <w:sz w:val="22"/>
              </w:rPr>
              <w:t>D: Hitrejši vstop mladih na trg dela</w:t>
            </w:r>
          </w:p>
        </w:tc>
        <w:tc>
          <w:tcPr>
            <w:tcW w:w="1247" w:type="dxa"/>
            <w:shd w:val="clear" w:color="auto" w:fill="C6EFCE"/>
            <w:noWrap/>
          </w:tcPr>
          <w:p w14:paraId="402870B9" w14:textId="5264275C"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A794D0C" w14:textId="6746C352" w:rsidR="00D261C4" w:rsidRPr="00DD6A04" w:rsidRDefault="00D261C4" w:rsidP="00D261C4">
            <w:pPr>
              <w:spacing w:before="0" w:after="0" w:line="276" w:lineRule="auto"/>
              <w:rPr>
                <w:rFonts w:eastAsia="Times New Roman"/>
                <w:noProof/>
                <w:color w:val="006100"/>
                <w:sz w:val="22"/>
              </w:rPr>
            </w:pPr>
            <w:r>
              <w:rPr>
                <w:noProof/>
                <w:color w:val="006100"/>
                <w:sz w:val="22"/>
              </w:rPr>
              <w:t>Število dodatnih mladih s subvencionirano zaposlitvijo za nedoločen čas</w:t>
            </w:r>
          </w:p>
        </w:tc>
      </w:tr>
      <w:tr w:rsidR="00D261C4" w:rsidRPr="00DD6A04" w14:paraId="76479C71" w14:textId="77777777" w:rsidTr="150EC00E">
        <w:trPr>
          <w:trHeight w:val="302"/>
        </w:trPr>
        <w:tc>
          <w:tcPr>
            <w:tcW w:w="1247" w:type="dxa"/>
            <w:shd w:val="clear" w:color="auto" w:fill="C6EFCE"/>
            <w:noWrap/>
          </w:tcPr>
          <w:p w14:paraId="58ACA776"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72A14EE7"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175</w:t>
            </w:r>
          </w:p>
          <w:p w14:paraId="15CA6EB4"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205BB72" w14:textId="315CE97B" w:rsidR="00D261C4" w:rsidRPr="00DD6A04" w:rsidRDefault="00D261C4" w:rsidP="00D261C4">
            <w:pPr>
              <w:spacing w:before="0" w:after="0" w:line="276" w:lineRule="auto"/>
              <w:rPr>
                <w:rFonts w:eastAsia="Times New Roman"/>
                <w:noProof/>
                <w:color w:val="006100"/>
                <w:sz w:val="22"/>
              </w:rPr>
            </w:pPr>
            <w:r>
              <w:rPr>
                <w:noProof/>
                <w:color w:val="006100"/>
                <w:sz w:val="22"/>
              </w:rPr>
              <w:t>C: Ustvarjanje sistemskih pogojev za rast investicij</w:t>
            </w:r>
          </w:p>
        </w:tc>
        <w:tc>
          <w:tcPr>
            <w:tcW w:w="1247" w:type="dxa"/>
            <w:shd w:val="clear" w:color="auto" w:fill="C6EFCE"/>
            <w:noWrap/>
          </w:tcPr>
          <w:p w14:paraId="00F4C5E8" w14:textId="5475ED5F"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958FF51" w14:textId="4B203F9C" w:rsidR="00D261C4" w:rsidRPr="00DD6A04" w:rsidRDefault="00D261C4" w:rsidP="00D261C4">
            <w:pPr>
              <w:spacing w:before="0" w:after="0" w:line="276" w:lineRule="auto"/>
              <w:rPr>
                <w:rFonts w:eastAsia="Times New Roman"/>
                <w:noProof/>
                <w:color w:val="006100"/>
                <w:sz w:val="22"/>
              </w:rPr>
            </w:pPr>
            <w:r>
              <w:rPr>
                <w:noProof/>
                <w:color w:val="006100"/>
                <w:sz w:val="22"/>
              </w:rPr>
              <w:t>Delež postopkov s pogajanji brez predhodne objave v vseh pregledno objavljenih postopkih</w:t>
            </w:r>
          </w:p>
        </w:tc>
      </w:tr>
      <w:tr w:rsidR="00D261C4" w:rsidRPr="00DD6A04" w14:paraId="3356A730" w14:textId="77777777" w:rsidTr="150EC00E">
        <w:trPr>
          <w:trHeight w:val="302"/>
        </w:trPr>
        <w:tc>
          <w:tcPr>
            <w:tcW w:w="1247" w:type="dxa"/>
            <w:shd w:val="clear" w:color="auto" w:fill="C6EFCE"/>
            <w:noWrap/>
          </w:tcPr>
          <w:p w14:paraId="2F35254E"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24E4EED0"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177</w:t>
            </w:r>
          </w:p>
          <w:p w14:paraId="34499470"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5D04A0F" w14:textId="7DAA745B" w:rsidR="00D261C4" w:rsidRPr="00DD6A04" w:rsidRDefault="00D261C4" w:rsidP="00D261C4">
            <w:pPr>
              <w:spacing w:before="0" w:after="0" w:line="276" w:lineRule="auto"/>
              <w:rPr>
                <w:rFonts w:eastAsia="Times New Roman"/>
                <w:noProof/>
                <w:color w:val="006100"/>
                <w:sz w:val="22"/>
              </w:rPr>
            </w:pPr>
            <w:r>
              <w:rPr>
                <w:noProof/>
                <w:color w:val="006100"/>
                <w:sz w:val="22"/>
              </w:rPr>
              <w:t>C: Ustvarjanje sistemskih pogojev za rast investicij</w:t>
            </w:r>
          </w:p>
        </w:tc>
        <w:tc>
          <w:tcPr>
            <w:tcW w:w="1247" w:type="dxa"/>
            <w:shd w:val="clear" w:color="auto" w:fill="C6EFCE"/>
            <w:noWrap/>
          </w:tcPr>
          <w:p w14:paraId="22B5CBDC" w14:textId="0F3EBC40"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35A896B" w14:textId="74C89A05" w:rsidR="00D261C4" w:rsidRPr="00DD6A04" w:rsidRDefault="00D261C4" w:rsidP="00D261C4">
            <w:pPr>
              <w:spacing w:before="0" w:after="0" w:line="276" w:lineRule="auto"/>
              <w:rPr>
                <w:rFonts w:eastAsia="Times New Roman"/>
                <w:noProof/>
                <w:color w:val="006100"/>
                <w:sz w:val="22"/>
              </w:rPr>
            </w:pPr>
            <w:r>
              <w:rPr>
                <w:noProof/>
                <w:color w:val="006100"/>
                <w:sz w:val="22"/>
              </w:rPr>
              <w:t>Dokončana neodvisna analiza učinka reform javnega naročanja ter oblikovanje ukrepov in ciljev za izboljšanje sistema.</w:t>
            </w:r>
          </w:p>
        </w:tc>
      </w:tr>
      <w:tr w:rsidR="00D261C4" w:rsidRPr="00DD6A04" w14:paraId="40A70C27" w14:textId="77777777" w:rsidTr="150EC00E">
        <w:trPr>
          <w:trHeight w:val="302"/>
        </w:trPr>
        <w:tc>
          <w:tcPr>
            <w:tcW w:w="1247" w:type="dxa"/>
            <w:shd w:val="clear" w:color="auto" w:fill="C6EFCE"/>
            <w:noWrap/>
          </w:tcPr>
          <w:p w14:paraId="4EC9A98D"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297A6A41"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183</w:t>
            </w:r>
          </w:p>
          <w:p w14:paraId="1E58A3B2"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98CB38A" w14:textId="584B05E5" w:rsidR="00D261C4" w:rsidRPr="00DD6A04" w:rsidRDefault="00D261C4" w:rsidP="00D261C4">
            <w:pPr>
              <w:spacing w:before="0" w:after="0" w:line="276" w:lineRule="auto"/>
              <w:rPr>
                <w:rFonts w:eastAsia="Times New Roman"/>
                <w:noProof/>
                <w:color w:val="006100"/>
                <w:sz w:val="22"/>
              </w:rPr>
            </w:pPr>
            <w:r>
              <w:rPr>
                <w:noProof/>
                <w:color w:val="006100"/>
                <w:sz w:val="22"/>
              </w:rPr>
              <w:t>A: Reforma zdravstvenega sistema</w:t>
            </w:r>
          </w:p>
        </w:tc>
        <w:tc>
          <w:tcPr>
            <w:tcW w:w="1247" w:type="dxa"/>
            <w:shd w:val="clear" w:color="auto" w:fill="C6EFCE"/>
            <w:noWrap/>
          </w:tcPr>
          <w:p w14:paraId="35D080BD" w14:textId="512E0A91" w:rsidR="00D261C4" w:rsidRPr="00DD6A04" w:rsidRDefault="00D261C4" w:rsidP="00D261C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1AE790B4" w14:textId="6E58377D" w:rsidR="00D261C4" w:rsidRPr="00DD6A04" w:rsidRDefault="00D261C4" w:rsidP="00D261C4">
            <w:pPr>
              <w:spacing w:before="0" w:after="0" w:line="276" w:lineRule="auto"/>
              <w:rPr>
                <w:rFonts w:eastAsia="Times New Roman"/>
                <w:noProof/>
                <w:color w:val="006100"/>
                <w:sz w:val="22"/>
              </w:rPr>
            </w:pPr>
            <w:r>
              <w:rPr>
                <w:noProof/>
                <w:color w:val="006100"/>
                <w:sz w:val="22"/>
              </w:rPr>
              <w:t>Začetek veljavnosti sprememb Zakona o zdravstvenem varstvu in zdravstvenem zavarovanju</w:t>
            </w:r>
          </w:p>
        </w:tc>
      </w:tr>
      <w:tr w:rsidR="00D261C4" w:rsidRPr="00DD6A04" w14:paraId="48086772" w14:textId="77777777" w:rsidTr="150EC00E">
        <w:trPr>
          <w:trHeight w:val="302"/>
        </w:trPr>
        <w:tc>
          <w:tcPr>
            <w:tcW w:w="1247" w:type="dxa"/>
            <w:shd w:val="clear" w:color="auto" w:fill="C6EFCE"/>
            <w:noWrap/>
          </w:tcPr>
          <w:p w14:paraId="495595F2" w14:textId="77777777" w:rsidR="00D261C4" w:rsidRPr="00DD6A04" w:rsidRDefault="00D261C4" w:rsidP="00D261C4">
            <w:pPr>
              <w:spacing w:before="0" w:after="0" w:line="276" w:lineRule="auto"/>
              <w:jc w:val="center"/>
              <w:rPr>
                <w:rFonts w:eastAsia="Times New Roman"/>
                <w:noProof/>
                <w:color w:val="006100"/>
                <w:sz w:val="22"/>
                <w:lang w:val="en-GB" w:eastAsia="en-GB"/>
              </w:rPr>
            </w:pPr>
          </w:p>
          <w:p w14:paraId="73662F2A" w14:textId="77777777" w:rsidR="00D261C4" w:rsidRPr="00DD6A04" w:rsidRDefault="00D261C4" w:rsidP="00D261C4">
            <w:pPr>
              <w:spacing w:before="0" w:after="0" w:line="276" w:lineRule="auto"/>
              <w:jc w:val="center"/>
              <w:rPr>
                <w:rFonts w:eastAsia="Times New Roman"/>
                <w:noProof/>
                <w:color w:val="006100"/>
                <w:sz w:val="22"/>
              </w:rPr>
            </w:pPr>
            <w:r>
              <w:rPr>
                <w:noProof/>
                <w:color w:val="006100"/>
                <w:sz w:val="22"/>
              </w:rPr>
              <w:t>186</w:t>
            </w:r>
          </w:p>
          <w:p w14:paraId="638A07F0"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15F5EE0" w14:textId="322C5EB0" w:rsidR="00D261C4" w:rsidRPr="00DD6A04" w:rsidRDefault="00D261C4" w:rsidP="00D261C4">
            <w:pPr>
              <w:spacing w:before="0" w:after="0" w:line="276" w:lineRule="auto"/>
              <w:rPr>
                <w:rFonts w:eastAsia="Times New Roman"/>
                <w:noProof/>
                <w:color w:val="006100"/>
                <w:sz w:val="22"/>
              </w:rPr>
            </w:pPr>
            <w:r>
              <w:rPr>
                <w:noProof/>
                <w:color w:val="006100"/>
                <w:sz w:val="22"/>
              </w:rPr>
              <w:t>C: Digitalna preobrazba zdravstva</w:t>
            </w:r>
          </w:p>
        </w:tc>
        <w:tc>
          <w:tcPr>
            <w:tcW w:w="1247" w:type="dxa"/>
            <w:shd w:val="clear" w:color="auto" w:fill="C6EFCE"/>
            <w:noWrap/>
          </w:tcPr>
          <w:p w14:paraId="02C7854E" w14:textId="6B39464C" w:rsidR="00D261C4" w:rsidRPr="00DD6A04" w:rsidRDefault="00D261C4" w:rsidP="00D261C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B51B137" w14:textId="0F4AD2F0" w:rsidR="00D261C4" w:rsidRPr="00DD6A04" w:rsidRDefault="00D261C4" w:rsidP="00D261C4">
            <w:pPr>
              <w:spacing w:before="0" w:after="0" w:line="276" w:lineRule="auto"/>
              <w:rPr>
                <w:rFonts w:eastAsia="Times New Roman"/>
                <w:noProof/>
                <w:color w:val="006100"/>
                <w:sz w:val="22"/>
              </w:rPr>
            </w:pPr>
            <w:r>
              <w:rPr>
                <w:noProof/>
                <w:color w:val="006100"/>
                <w:sz w:val="22"/>
              </w:rPr>
              <w:t>Zdravstvene ustanove, ki uporabljajo centralno hrambo slikovnega gradiva</w:t>
            </w:r>
          </w:p>
        </w:tc>
      </w:tr>
      <w:tr w:rsidR="00D261C4" w:rsidRPr="00DD6A04" w14:paraId="5C85619C" w14:textId="77777777" w:rsidTr="150EC00E">
        <w:trPr>
          <w:trHeight w:val="302"/>
        </w:trPr>
        <w:tc>
          <w:tcPr>
            <w:tcW w:w="1247" w:type="dxa"/>
            <w:shd w:val="clear" w:color="auto" w:fill="C6EFCE"/>
            <w:noWrap/>
            <w:vAlign w:val="bottom"/>
          </w:tcPr>
          <w:p w14:paraId="0252CEA3" w14:textId="77777777" w:rsidR="00D261C4" w:rsidRPr="00DD6A04" w:rsidRDefault="00D261C4" w:rsidP="00D261C4">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3DCDF844" w14:textId="77777777" w:rsidR="00D261C4" w:rsidRPr="00DD6A04" w:rsidRDefault="00D261C4" w:rsidP="00D261C4">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21BA1343" w14:textId="2DC0E133" w:rsidR="00D261C4" w:rsidRPr="00DD6A04" w:rsidRDefault="00D261C4" w:rsidP="00D261C4">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7A81B18D" w14:textId="41138F9D" w:rsidR="00D261C4" w:rsidRPr="00DD6A04" w:rsidRDefault="00D261C4" w:rsidP="00D261C4">
            <w:pPr>
              <w:spacing w:before="0" w:after="0" w:line="276" w:lineRule="auto"/>
              <w:rPr>
                <w:rFonts w:eastAsia="Times New Roman"/>
                <w:noProof/>
                <w:color w:val="006100"/>
                <w:sz w:val="22"/>
              </w:rPr>
            </w:pPr>
            <w:r>
              <w:rPr>
                <w:b/>
                <w:noProof/>
                <w:color w:val="006100"/>
                <w:sz w:val="22"/>
              </w:rPr>
              <w:t>144 270 427 EUR</w:t>
            </w:r>
          </w:p>
        </w:tc>
      </w:tr>
    </w:tbl>
    <w:p w14:paraId="78CCBAAB" w14:textId="77777777" w:rsidR="003C6015" w:rsidRPr="00DD6A04" w:rsidRDefault="003C6015" w:rsidP="003C6015">
      <w:pPr>
        <w:spacing w:line="240" w:lineRule="auto"/>
        <w:jc w:val="both"/>
        <w:rPr>
          <w:noProof/>
          <w:lang w:val="en-GB"/>
        </w:rPr>
      </w:pPr>
    </w:p>
    <w:p w14:paraId="61223445" w14:textId="77777777" w:rsidR="003C6015" w:rsidRPr="00DD6A04" w:rsidRDefault="003C6015" w:rsidP="00BD7FBD">
      <w:pPr>
        <w:numPr>
          <w:ilvl w:val="1"/>
          <w:numId w:val="19"/>
        </w:numPr>
        <w:spacing w:before="0" w:after="200" w:line="240" w:lineRule="auto"/>
        <w:jc w:val="both"/>
        <w:rPr>
          <w:b/>
          <w:noProof/>
        </w:rPr>
      </w:pPr>
      <w:r>
        <w:rPr>
          <w:noProof/>
        </w:rPr>
        <w:t xml:space="preserve">Osmi obrok (nepovratna podpora): </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3C6015" w:rsidRPr="00DD6A04" w14:paraId="0B34C49B" w14:textId="77777777">
        <w:trPr>
          <w:trHeight w:val="567"/>
          <w:tblHeader/>
        </w:trPr>
        <w:tc>
          <w:tcPr>
            <w:tcW w:w="1247" w:type="dxa"/>
            <w:vMerge w:val="restart"/>
            <w:shd w:val="clear" w:color="auto" w:fill="BDD7EE"/>
            <w:vAlign w:val="center"/>
            <w:hideMark/>
          </w:tcPr>
          <w:p w14:paraId="7EC6996C" w14:textId="77777777" w:rsidR="003C6015" w:rsidRPr="00DD6A04" w:rsidRDefault="003C6015" w:rsidP="003C6015">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23F8C7BC" w14:textId="77777777" w:rsidR="003C6015" w:rsidRPr="00DD6A04" w:rsidRDefault="003C6015" w:rsidP="003C6015">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1A1348BF" w14:textId="77777777" w:rsidR="003C6015" w:rsidRPr="00DD6A04" w:rsidRDefault="003C6015" w:rsidP="003C6015">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70DA8BDE" w14:textId="77777777" w:rsidR="003C6015" w:rsidRPr="00DD6A04" w:rsidRDefault="003C6015" w:rsidP="003C6015">
            <w:pPr>
              <w:spacing w:before="0" w:after="0" w:line="276" w:lineRule="auto"/>
              <w:jc w:val="center"/>
              <w:rPr>
                <w:rFonts w:eastAsia="Times New Roman"/>
                <w:b/>
                <w:noProof/>
                <w:sz w:val="22"/>
              </w:rPr>
            </w:pPr>
            <w:r>
              <w:rPr>
                <w:b/>
                <w:noProof/>
                <w:sz w:val="22"/>
              </w:rPr>
              <w:t>Ime</w:t>
            </w:r>
          </w:p>
        </w:tc>
      </w:tr>
      <w:tr w:rsidR="003C6015" w:rsidRPr="00DD6A04" w14:paraId="53474AA1" w14:textId="77777777">
        <w:trPr>
          <w:trHeight w:val="309"/>
          <w:tblHeader/>
        </w:trPr>
        <w:tc>
          <w:tcPr>
            <w:tcW w:w="1247" w:type="dxa"/>
            <w:vMerge/>
            <w:vAlign w:val="center"/>
            <w:hideMark/>
          </w:tcPr>
          <w:p w14:paraId="026712A7" w14:textId="77777777" w:rsidR="003C6015" w:rsidRPr="00DD6A04" w:rsidRDefault="003C6015">
            <w:pPr>
              <w:spacing w:before="0" w:after="0" w:line="276" w:lineRule="auto"/>
              <w:jc w:val="center"/>
              <w:rPr>
                <w:rFonts w:eastAsia="Times New Roman"/>
                <w:b/>
                <w:noProof/>
                <w:sz w:val="22"/>
                <w:szCs w:val="24"/>
                <w:lang w:val="en-GB" w:eastAsia="en-GB"/>
              </w:rPr>
            </w:pPr>
          </w:p>
        </w:tc>
        <w:tc>
          <w:tcPr>
            <w:tcW w:w="3119" w:type="dxa"/>
            <w:vMerge/>
            <w:vAlign w:val="center"/>
            <w:hideMark/>
          </w:tcPr>
          <w:p w14:paraId="474347D1" w14:textId="77777777" w:rsidR="003C6015" w:rsidRPr="00DD6A04" w:rsidRDefault="003C6015" w:rsidP="003C6015">
            <w:pPr>
              <w:spacing w:before="0" w:after="0" w:line="276" w:lineRule="auto"/>
              <w:rPr>
                <w:rFonts w:eastAsia="Times New Roman"/>
                <w:b/>
                <w:noProof/>
                <w:sz w:val="22"/>
                <w:szCs w:val="24"/>
                <w:lang w:val="en-GB" w:eastAsia="en-GB"/>
              </w:rPr>
            </w:pPr>
          </w:p>
        </w:tc>
        <w:tc>
          <w:tcPr>
            <w:tcW w:w="1247" w:type="dxa"/>
            <w:vMerge/>
            <w:vAlign w:val="center"/>
            <w:hideMark/>
          </w:tcPr>
          <w:p w14:paraId="7B26EAC6" w14:textId="77777777" w:rsidR="003C6015" w:rsidRPr="00DD6A04" w:rsidRDefault="003C6015" w:rsidP="003C6015">
            <w:pPr>
              <w:spacing w:before="0" w:after="0" w:line="276" w:lineRule="auto"/>
              <w:rPr>
                <w:rFonts w:eastAsia="Times New Roman"/>
                <w:b/>
                <w:noProof/>
                <w:sz w:val="22"/>
                <w:szCs w:val="24"/>
                <w:lang w:val="en-GB" w:eastAsia="en-GB"/>
              </w:rPr>
            </w:pPr>
          </w:p>
        </w:tc>
        <w:tc>
          <w:tcPr>
            <w:tcW w:w="4139" w:type="dxa"/>
            <w:vMerge/>
            <w:vAlign w:val="center"/>
            <w:hideMark/>
          </w:tcPr>
          <w:p w14:paraId="1F09BA93" w14:textId="77777777" w:rsidR="003C6015" w:rsidRPr="00DD6A04" w:rsidRDefault="003C6015" w:rsidP="003C6015">
            <w:pPr>
              <w:spacing w:before="0" w:after="0" w:line="276" w:lineRule="auto"/>
              <w:rPr>
                <w:rFonts w:eastAsia="Times New Roman"/>
                <w:b/>
                <w:noProof/>
                <w:sz w:val="22"/>
                <w:szCs w:val="24"/>
                <w:lang w:val="en-GB" w:eastAsia="en-GB"/>
              </w:rPr>
            </w:pPr>
          </w:p>
        </w:tc>
      </w:tr>
      <w:tr w:rsidR="00DF7E5E" w:rsidRPr="00DD6A04" w14:paraId="627EA4DC" w14:textId="77777777">
        <w:trPr>
          <w:trHeight w:val="302"/>
        </w:trPr>
        <w:tc>
          <w:tcPr>
            <w:tcW w:w="1247" w:type="dxa"/>
            <w:shd w:val="clear" w:color="auto" w:fill="C6EFCE"/>
            <w:noWrap/>
          </w:tcPr>
          <w:p w14:paraId="01B991D8" w14:textId="77777777" w:rsidR="00482D12" w:rsidRPr="00DD6A04" w:rsidRDefault="00482D12" w:rsidP="00482D12">
            <w:pPr>
              <w:spacing w:before="0" w:after="0" w:line="276" w:lineRule="auto"/>
              <w:jc w:val="center"/>
              <w:rPr>
                <w:rFonts w:eastAsia="Times New Roman"/>
                <w:noProof/>
                <w:color w:val="006100"/>
                <w:sz w:val="22"/>
                <w:lang w:val="en-GB" w:eastAsia="en-GB"/>
              </w:rPr>
            </w:pPr>
          </w:p>
          <w:p w14:paraId="471CAC5D" w14:textId="77777777" w:rsidR="00482D12" w:rsidRPr="00DD6A04" w:rsidRDefault="00482D12" w:rsidP="00482D12">
            <w:pPr>
              <w:spacing w:before="0" w:after="0" w:line="276" w:lineRule="auto"/>
              <w:jc w:val="center"/>
              <w:rPr>
                <w:rFonts w:eastAsia="Times New Roman"/>
                <w:noProof/>
                <w:color w:val="006100"/>
                <w:sz w:val="22"/>
              </w:rPr>
            </w:pPr>
            <w:r>
              <w:rPr>
                <w:noProof/>
                <w:color w:val="006100"/>
                <w:sz w:val="22"/>
              </w:rPr>
              <w:t>56</w:t>
            </w:r>
          </w:p>
          <w:p w14:paraId="100325CA" w14:textId="77777777" w:rsidR="00482D12" w:rsidRPr="00DD6A04" w:rsidRDefault="00482D12" w:rsidP="00482D1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3CD7E89" w14:textId="320D3BAA" w:rsidR="00482D12" w:rsidRPr="00DD6A04" w:rsidRDefault="00482D12" w:rsidP="00482D12">
            <w:pPr>
              <w:spacing w:before="0" w:after="0" w:line="276" w:lineRule="auto"/>
              <w:rPr>
                <w:rFonts w:eastAsia="Times New Roman"/>
                <w:noProof/>
                <w:color w:val="006100"/>
                <w:sz w:val="22"/>
              </w:rPr>
            </w:pPr>
            <w:r>
              <w:rPr>
                <w:noProof/>
                <w:color w:val="006100"/>
                <w:sz w:val="22"/>
              </w:rPr>
              <w:t>A: Reforma organiziranosti javnega potniškega prometa</w:t>
            </w:r>
          </w:p>
        </w:tc>
        <w:tc>
          <w:tcPr>
            <w:tcW w:w="1247" w:type="dxa"/>
            <w:shd w:val="clear" w:color="auto" w:fill="C6EFCE"/>
            <w:noWrap/>
          </w:tcPr>
          <w:p w14:paraId="5D7C4AE6" w14:textId="40B6A500" w:rsidR="00482D12" w:rsidRPr="00DD6A04" w:rsidRDefault="00482D12" w:rsidP="00482D12">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452406F" w14:textId="39E4CC57" w:rsidR="00482D12" w:rsidRPr="00DD6A04" w:rsidRDefault="00482D12" w:rsidP="00482D12">
            <w:pPr>
              <w:spacing w:before="0" w:after="0" w:line="276" w:lineRule="auto"/>
              <w:rPr>
                <w:rFonts w:eastAsia="Times New Roman"/>
                <w:noProof/>
                <w:color w:val="006100"/>
                <w:sz w:val="22"/>
              </w:rPr>
            </w:pPr>
            <w:r>
              <w:rPr>
                <w:noProof/>
                <w:color w:val="006100"/>
                <w:sz w:val="22"/>
              </w:rPr>
              <w:t>Povečanje uporabe javnega potniškega prometa</w:t>
            </w:r>
          </w:p>
        </w:tc>
      </w:tr>
      <w:tr w:rsidR="003C6015" w:rsidRPr="00DD6A04" w14:paraId="393297DB" w14:textId="77777777">
        <w:trPr>
          <w:trHeight w:val="302"/>
        </w:trPr>
        <w:tc>
          <w:tcPr>
            <w:tcW w:w="1247" w:type="dxa"/>
            <w:shd w:val="clear" w:color="auto" w:fill="C6EFCE"/>
            <w:noWrap/>
          </w:tcPr>
          <w:p w14:paraId="7573F04A"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7BD64CC7"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60</w:t>
            </w:r>
          </w:p>
          <w:p w14:paraId="2F877127" w14:textId="77777777" w:rsidR="003C6015" w:rsidRPr="00DD6A04" w:rsidRDefault="003C6015" w:rsidP="006165B7">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A0CA7DA" w14:textId="674C5EE8" w:rsidR="003C6015" w:rsidRPr="00DD6A04" w:rsidRDefault="003C6015" w:rsidP="003C6015">
            <w:pPr>
              <w:spacing w:before="0" w:after="0" w:line="276" w:lineRule="auto"/>
              <w:rPr>
                <w:rFonts w:eastAsia="Times New Roman"/>
                <w:noProof/>
                <w:color w:val="006100"/>
                <w:sz w:val="22"/>
              </w:rPr>
            </w:pPr>
            <w:r>
              <w:rPr>
                <w:noProof/>
                <w:color w:val="006100"/>
                <w:sz w:val="22"/>
              </w:rPr>
              <w:t>C: Povečanje zmogljivosti železniške infrastrukture</w:t>
            </w:r>
          </w:p>
        </w:tc>
        <w:tc>
          <w:tcPr>
            <w:tcW w:w="1247" w:type="dxa"/>
            <w:shd w:val="clear" w:color="auto" w:fill="C6EFCE"/>
            <w:noWrap/>
          </w:tcPr>
          <w:p w14:paraId="5290495C" w14:textId="77E1EAC8"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45B2F4F" w14:textId="30F8E834"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Dolžina nadgrajenih železniških prog </w:t>
            </w:r>
          </w:p>
        </w:tc>
      </w:tr>
      <w:tr w:rsidR="003C6015" w:rsidRPr="00DD6A04" w14:paraId="29DDF54F" w14:textId="77777777">
        <w:trPr>
          <w:trHeight w:val="302"/>
        </w:trPr>
        <w:tc>
          <w:tcPr>
            <w:tcW w:w="1247" w:type="dxa"/>
            <w:shd w:val="clear" w:color="auto" w:fill="C6EFCE"/>
            <w:noWrap/>
          </w:tcPr>
          <w:p w14:paraId="57F0DBF2"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4E32B093"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 xml:space="preserve">75 </w:t>
            </w:r>
          </w:p>
          <w:p w14:paraId="64F88233"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CA7CFF8" w14:textId="09ACD331" w:rsidR="003C6015" w:rsidRPr="00DD6A04" w:rsidRDefault="003C6015" w:rsidP="003C6015">
            <w:pPr>
              <w:spacing w:before="0" w:after="0" w:line="276" w:lineRule="auto"/>
              <w:rPr>
                <w:rFonts w:eastAsia="Times New Roman"/>
                <w:noProof/>
                <w:color w:val="006100"/>
                <w:sz w:val="22"/>
              </w:rPr>
            </w:pPr>
            <w:r>
              <w:rPr>
                <w:noProof/>
                <w:color w:val="006100"/>
                <w:sz w:val="22"/>
              </w:rPr>
              <w:t>C: Večja predelava lesa za hitrejši prehod v podnebno nevtralno družbo</w:t>
            </w:r>
          </w:p>
        </w:tc>
        <w:tc>
          <w:tcPr>
            <w:tcW w:w="1247" w:type="dxa"/>
            <w:shd w:val="clear" w:color="auto" w:fill="C6EFCE"/>
            <w:noWrap/>
          </w:tcPr>
          <w:p w14:paraId="3CE23715" w14:textId="462EC5D5"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D68003D" w14:textId="0B685DB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Dokončani projekti za podporo okolju prijazni predelavi lesa </w:t>
            </w:r>
          </w:p>
        </w:tc>
      </w:tr>
      <w:tr w:rsidR="002810BB" w:rsidRPr="00DD6A04" w14:paraId="2ECDD501" w14:textId="77777777">
        <w:trPr>
          <w:trHeight w:val="302"/>
        </w:trPr>
        <w:tc>
          <w:tcPr>
            <w:tcW w:w="1247" w:type="dxa"/>
            <w:shd w:val="clear" w:color="auto" w:fill="C6EFCE"/>
            <w:noWrap/>
          </w:tcPr>
          <w:p w14:paraId="191384F8" w14:textId="77777777" w:rsidR="002810BB" w:rsidRPr="00DD6A04" w:rsidRDefault="002810BB" w:rsidP="002810BB">
            <w:pPr>
              <w:spacing w:before="0" w:after="0" w:line="276" w:lineRule="auto"/>
              <w:jc w:val="center"/>
              <w:rPr>
                <w:rFonts w:eastAsia="Times New Roman"/>
                <w:noProof/>
                <w:color w:val="006100"/>
                <w:sz w:val="22"/>
                <w:lang w:val="en-GB" w:eastAsia="en-GB"/>
              </w:rPr>
            </w:pPr>
          </w:p>
          <w:p w14:paraId="1CE0DE62" w14:textId="77777777" w:rsidR="002810BB" w:rsidRPr="00DD6A04" w:rsidRDefault="002810BB" w:rsidP="002810BB">
            <w:pPr>
              <w:spacing w:before="0" w:after="0" w:line="276" w:lineRule="auto"/>
              <w:jc w:val="center"/>
              <w:rPr>
                <w:rFonts w:eastAsia="Times New Roman"/>
                <w:noProof/>
                <w:color w:val="006100"/>
                <w:sz w:val="22"/>
                <w:lang w:val="en-GB" w:eastAsia="en-GB"/>
              </w:rPr>
            </w:pPr>
          </w:p>
          <w:p w14:paraId="79C02998" w14:textId="77777777" w:rsidR="002810BB" w:rsidRPr="00DD6A04" w:rsidRDefault="002810BB" w:rsidP="002810BB">
            <w:pPr>
              <w:spacing w:before="0" w:after="0" w:line="276" w:lineRule="auto"/>
              <w:jc w:val="center"/>
              <w:rPr>
                <w:rFonts w:eastAsia="Times New Roman"/>
                <w:noProof/>
                <w:color w:val="006100"/>
                <w:sz w:val="22"/>
              </w:rPr>
            </w:pPr>
            <w:r>
              <w:rPr>
                <w:noProof/>
                <w:color w:val="006100"/>
                <w:sz w:val="22"/>
              </w:rPr>
              <w:t>143</w:t>
            </w:r>
          </w:p>
          <w:p w14:paraId="5C089DCF" w14:textId="77777777" w:rsidR="002810BB" w:rsidRPr="00DD6A04" w:rsidRDefault="002810BB" w:rsidP="002810BB">
            <w:pPr>
              <w:spacing w:before="0" w:after="0" w:line="276" w:lineRule="auto"/>
              <w:jc w:val="center"/>
              <w:rPr>
                <w:rFonts w:eastAsia="Times New Roman"/>
                <w:noProof/>
                <w:color w:val="006100"/>
                <w:sz w:val="22"/>
                <w:lang w:val="en-GB" w:eastAsia="en-GB"/>
              </w:rPr>
            </w:pPr>
          </w:p>
          <w:p w14:paraId="26B359D9" w14:textId="77777777" w:rsidR="002810BB" w:rsidRPr="00DD6A04" w:rsidRDefault="002810BB" w:rsidP="002810BB">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98AA489" w14:textId="519AF620" w:rsidR="002810BB" w:rsidRPr="00DD6A04" w:rsidRDefault="002810BB" w:rsidP="002810BB">
            <w:pPr>
              <w:spacing w:before="0" w:after="0" w:line="276" w:lineRule="auto"/>
              <w:rPr>
                <w:rFonts w:eastAsia="Times New Roman"/>
                <w:noProof/>
                <w:color w:val="006100"/>
                <w:sz w:val="22"/>
              </w:rPr>
            </w:pPr>
            <w:r>
              <w:rPr>
                <w:noProof/>
                <w:color w:val="006100"/>
                <w:sz w:val="22"/>
              </w:rPr>
              <w:t>C: Uvajanje prožnejših načinov dela, prilagojenih potrebam invalidov, v invalidskih podjetjih in zaposlitvenih centrih</w:t>
            </w:r>
          </w:p>
        </w:tc>
        <w:tc>
          <w:tcPr>
            <w:tcW w:w="1247" w:type="dxa"/>
            <w:shd w:val="clear" w:color="auto" w:fill="C6EFCE"/>
            <w:noWrap/>
          </w:tcPr>
          <w:p w14:paraId="66D6F947" w14:textId="40E100FE" w:rsidR="002810BB" w:rsidRPr="00DD6A04" w:rsidRDefault="002810BB" w:rsidP="002810BB">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0260D01" w14:textId="12EFE22C" w:rsidR="002810BB" w:rsidRPr="00DD6A04" w:rsidRDefault="002810BB" w:rsidP="002810BB">
            <w:pPr>
              <w:spacing w:before="0" w:after="0" w:line="276" w:lineRule="auto"/>
              <w:rPr>
                <w:rFonts w:eastAsia="Times New Roman"/>
                <w:noProof/>
                <w:color w:val="006100"/>
                <w:sz w:val="22"/>
              </w:rPr>
            </w:pPr>
            <w:r>
              <w:rPr>
                <w:noProof/>
                <w:color w:val="006100"/>
                <w:sz w:val="22"/>
              </w:rPr>
              <w:t xml:space="preserve">Dokončani projekti za invalidska podjetja in zaposlitvene centre </w:t>
            </w:r>
          </w:p>
        </w:tc>
      </w:tr>
      <w:tr w:rsidR="003C6015" w:rsidRPr="00DD6A04" w14:paraId="7C11C9EE" w14:textId="77777777">
        <w:trPr>
          <w:trHeight w:val="302"/>
        </w:trPr>
        <w:tc>
          <w:tcPr>
            <w:tcW w:w="1247" w:type="dxa"/>
            <w:shd w:val="clear" w:color="auto" w:fill="C6EFCE"/>
            <w:noWrap/>
          </w:tcPr>
          <w:p w14:paraId="3DDFE715"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51B0F3E8"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189</w:t>
            </w:r>
          </w:p>
          <w:p w14:paraId="4318A6AC"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3BEFF8F" w14:textId="0C89FEF9" w:rsidR="003C6015" w:rsidRPr="00DD6A04" w:rsidRDefault="003C6015" w:rsidP="003C6015">
            <w:pPr>
              <w:spacing w:before="0" w:after="0" w:line="276" w:lineRule="auto"/>
              <w:rPr>
                <w:rFonts w:eastAsia="Times New Roman"/>
                <w:noProof/>
                <w:color w:val="006100"/>
                <w:sz w:val="22"/>
              </w:rPr>
            </w:pPr>
            <w:r>
              <w:rPr>
                <w:noProof/>
                <w:color w:val="006100"/>
                <w:sz w:val="22"/>
              </w:rPr>
              <w:t>D: Optimizacija dostopnosti zdravstvenega sistema</w:t>
            </w:r>
          </w:p>
        </w:tc>
        <w:tc>
          <w:tcPr>
            <w:tcW w:w="1247" w:type="dxa"/>
            <w:shd w:val="clear" w:color="auto" w:fill="C6EFCE"/>
            <w:noWrap/>
          </w:tcPr>
          <w:p w14:paraId="715EDA14" w14:textId="25075B51"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EE115E5" w14:textId="2647097F" w:rsidR="003C6015" w:rsidRPr="00DD6A04" w:rsidRDefault="003C6015" w:rsidP="003C6015">
            <w:pPr>
              <w:spacing w:before="0" w:after="0" w:line="276" w:lineRule="auto"/>
              <w:rPr>
                <w:rFonts w:eastAsia="Times New Roman"/>
                <w:noProof/>
                <w:color w:val="006100"/>
                <w:sz w:val="22"/>
              </w:rPr>
            </w:pPr>
            <w:r>
              <w:rPr>
                <w:noProof/>
                <w:color w:val="006100"/>
                <w:sz w:val="22"/>
              </w:rPr>
              <w:t>Krajši povprečni čas prihoda enote nujne medicinske pomoči</w:t>
            </w:r>
          </w:p>
        </w:tc>
      </w:tr>
      <w:tr w:rsidR="003C6015" w:rsidRPr="00DD6A04" w14:paraId="1C850770" w14:textId="77777777">
        <w:trPr>
          <w:trHeight w:val="302"/>
        </w:trPr>
        <w:tc>
          <w:tcPr>
            <w:tcW w:w="1247" w:type="dxa"/>
            <w:shd w:val="clear" w:color="auto" w:fill="C6EFCE"/>
            <w:noWrap/>
          </w:tcPr>
          <w:p w14:paraId="0E44032A"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623A144F"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191</w:t>
            </w:r>
          </w:p>
          <w:p w14:paraId="517CA433" w14:textId="77777777" w:rsidR="003C6015" w:rsidRPr="00DD6A04" w:rsidRDefault="003C6015" w:rsidP="006165B7">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5B4125E" w14:textId="692A016C" w:rsidR="003C6015" w:rsidRPr="00DD6A04" w:rsidRDefault="003C6015" w:rsidP="003C6015">
            <w:pPr>
              <w:spacing w:before="0" w:after="0" w:line="276" w:lineRule="auto"/>
              <w:rPr>
                <w:rFonts w:eastAsia="Times New Roman"/>
                <w:noProof/>
                <w:color w:val="006100"/>
                <w:sz w:val="22"/>
              </w:rPr>
            </w:pPr>
            <w:r>
              <w:rPr>
                <w:noProof/>
                <w:color w:val="006100"/>
                <w:sz w:val="22"/>
              </w:rPr>
              <w:t>E: Učinkovita obravnava nalezljivih bolezni</w:t>
            </w:r>
          </w:p>
        </w:tc>
        <w:tc>
          <w:tcPr>
            <w:tcW w:w="1247" w:type="dxa"/>
            <w:shd w:val="clear" w:color="auto" w:fill="C6EFCE"/>
            <w:noWrap/>
          </w:tcPr>
          <w:p w14:paraId="583171D2" w14:textId="0B858D90"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BE85EAD" w14:textId="1D94946C" w:rsidR="003C6015" w:rsidRPr="00DD6A04" w:rsidRDefault="003C6015" w:rsidP="003C6015">
            <w:pPr>
              <w:spacing w:before="0" w:after="0" w:line="276" w:lineRule="auto"/>
              <w:rPr>
                <w:rFonts w:eastAsia="Times New Roman"/>
                <w:noProof/>
                <w:color w:val="006100"/>
                <w:sz w:val="22"/>
              </w:rPr>
            </w:pPr>
            <w:r>
              <w:rPr>
                <w:noProof/>
                <w:color w:val="006100"/>
                <w:sz w:val="22"/>
              </w:rPr>
              <w:t>Oddaja naročila za nakup opreme za Infekcijsko kliniko Ljubljana</w:t>
            </w:r>
          </w:p>
        </w:tc>
      </w:tr>
      <w:tr w:rsidR="003C6015" w:rsidRPr="00DD6A04" w14:paraId="6877A18A" w14:textId="77777777">
        <w:trPr>
          <w:trHeight w:val="302"/>
        </w:trPr>
        <w:tc>
          <w:tcPr>
            <w:tcW w:w="1247" w:type="dxa"/>
            <w:shd w:val="clear" w:color="auto" w:fill="C6EFCE"/>
            <w:noWrap/>
            <w:vAlign w:val="bottom"/>
          </w:tcPr>
          <w:p w14:paraId="367B1F71"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2C71FE08"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2C2B336D" w14:textId="680EB52B" w:rsidR="003C6015" w:rsidRPr="00DD6A04" w:rsidRDefault="003C6015" w:rsidP="003C6015">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1060B11F" w14:textId="26795A78" w:rsidR="003C6015" w:rsidRPr="00DD6A04" w:rsidRDefault="003C6015" w:rsidP="003C6015">
            <w:pPr>
              <w:spacing w:before="0" w:after="0" w:line="276" w:lineRule="auto"/>
              <w:rPr>
                <w:rFonts w:eastAsia="Times New Roman"/>
                <w:noProof/>
                <w:color w:val="006100"/>
                <w:sz w:val="22"/>
              </w:rPr>
            </w:pPr>
            <w:r>
              <w:rPr>
                <w:b/>
                <w:noProof/>
                <w:color w:val="006100"/>
                <w:sz w:val="22"/>
              </w:rPr>
              <w:t>81 080 702 EUR</w:t>
            </w:r>
          </w:p>
        </w:tc>
      </w:tr>
    </w:tbl>
    <w:p w14:paraId="3F2B1AA2" w14:textId="77777777" w:rsidR="003C6015" w:rsidRPr="00DD6A04" w:rsidRDefault="003C6015" w:rsidP="00BF3B04">
      <w:pPr>
        <w:spacing w:line="240" w:lineRule="auto"/>
        <w:jc w:val="both"/>
        <w:rPr>
          <w:b/>
          <w:noProof/>
          <w:lang w:val="en-GB"/>
        </w:rPr>
      </w:pPr>
    </w:p>
    <w:p w14:paraId="73A98234" w14:textId="77777777" w:rsidR="003C6015" w:rsidRPr="00DD6A04" w:rsidRDefault="003C6015" w:rsidP="00BD7FBD">
      <w:pPr>
        <w:numPr>
          <w:ilvl w:val="1"/>
          <w:numId w:val="19"/>
        </w:numPr>
        <w:spacing w:before="0" w:after="200" w:line="240" w:lineRule="auto"/>
        <w:jc w:val="both"/>
        <w:rPr>
          <w:b/>
          <w:noProof/>
        </w:rPr>
      </w:pPr>
      <w:r>
        <w:rPr>
          <w:noProof/>
        </w:rPr>
        <w:t xml:space="preserve">Deveti obrok (nepovratna podpora): </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CB0219" w:rsidRPr="00DD6A04" w14:paraId="394153A4" w14:textId="77777777">
        <w:trPr>
          <w:trHeight w:val="567"/>
          <w:tblHeader/>
        </w:trPr>
        <w:tc>
          <w:tcPr>
            <w:tcW w:w="1247" w:type="dxa"/>
            <w:vMerge w:val="restart"/>
            <w:shd w:val="clear" w:color="auto" w:fill="BDD7EE"/>
            <w:vAlign w:val="center"/>
            <w:hideMark/>
          </w:tcPr>
          <w:p w14:paraId="446BF7BA" w14:textId="77777777" w:rsidR="00CB0219" w:rsidRPr="00DD6A04" w:rsidRDefault="00CB0219">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7D0B723C" w14:textId="77777777" w:rsidR="00CB0219" w:rsidRPr="00DD6A04" w:rsidRDefault="00CB0219">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3B2A5591" w14:textId="77777777" w:rsidR="00CB0219" w:rsidRPr="00DD6A04" w:rsidRDefault="00CB0219">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6221798F" w14:textId="77777777" w:rsidR="00CB0219" w:rsidRPr="00DD6A04" w:rsidRDefault="00CB0219">
            <w:pPr>
              <w:spacing w:before="0" w:after="0" w:line="276" w:lineRule="auto"/>
              <w:jc w:val="center"/>
              <w:rPr>
                <w:rFonts w:eastAsia="Times New Roman"/>
                <w:b/>
                <w:noProof/>
                <w:sz w:val="22"/>
              </w:rPr>
            </w:pPr>
            <w:r>
              <w:rPr>
                <w:b/>
                <w:noProof/>
                <w:sz w:val="22"/>
              </w:rPr>
              <w:t>Ime</w:t>
            </w:r>
          </w:p>
        </w:tc>
      </w:tr>
      <w:tr w:rsidR="00CB0219" w:rsidRPr="00DD6A04" w14:paraId="24874A7B" w14:textId="77777777">
        <w:trPr>
          <w:trHeight w:val="309"/>
          <w:tblHeader/>
        </w:trPr>
        <w:tc>
          <w:tcPr>
            <w:tcW w:w="1247" w:type="dxa"/>
            <w:vMerge/>
            <w:vAlign w:val="center"/>
            <w:hideMark/>
          </w:tcPr>
          <w:p w14:paraId="1A329B9D" w14:textId="77777777" w:rsidR="00CB0219" w:rsidRPr="00DD6A04" w:rsidRDefault="00CB0219">
            <w:pPr>
              <w:spacing w:before="0" w:after="0" w:line="276" w:lineRule="auto"/>
              <w:jc w:val="center"/>
              <w:rPr>
                <w:rFonts w:eastAsia="Times New Roman"/>
                <w:b/>
                <w:noProof/>
                <w:sz w:val="22"/>
                <w:szCs w:val="24"/>
                <w:lang w:val="en-GB" w:eastAsia="en-GB"/>
              </w:rPr>
            </w:pPr>
          </w:p>
        </w:tc>
        <w:tc>
          <w:tcPr>
            <w:tcW w:w="3119" w:type="dxa"/>
            <w:vMerge/>
            <w:vAlign w:val="center"/>
            <w:hideMark/>
          </w:tcPr>
          <w:p w14:paraId="22889221" w14:textId="77777777" w:rsidR="00CB0219" w:rsidRPr="00DD6A04" w:rsidRDefault="00CB0219">
            <w:pPr>
              <w:spacing w:before="0" w:after="0" w:line="276" w:lineRule="auto"/>
              <w:rPr>
                <w:rFonts w:eastAsia="Times New Roman"/>
                <w:b/>
                <w:noProof/>
                <w:sz w:val="22"/>
                <w:szCs w:val="24"/>
                <w:lang w:val="en-GB" w:eastAsia="en-GB"/>
              </w:rPr>
            </w:pPr>
          </w:p>
        </w:tc>
        <w:tc>
          <w:tcPr>
            <w:tcW w:w="1247" w:type="dxa"/>
            <w:vMerge/>
            <w:vAlign w:val="center"/>
            <w:hideMark/>
          </w:tcPr>
          <w:p w14:paraId="6C5AC963" w14:textId="77777777" w:rsidR="00CB0219" w:rsidRPr="00DD6A04" w:rsidRDefault="00CB0219">
            <w:pPr>
              <w:spacing w:before="0" w:after="0" w:line="276" w:lineRule="auto"/>
              <w:rPr>
                <w:rFonts w:eastAsia="Times New Roman"/>
                <w:b/>
                <w:noProof/>
                <w:sz w:val="22"/>
                <w:szCs w:val="24"/>
                <w:lang w:val="en-GB" w:eastAsia="en-GB"/>
              </w:rPr>
            </w:pPr>
          </w:p>
        </w:tc>
        <w:tc>
          <w:tcPr>
            <w:tcW w:w="4139" w:type="dxa"/>
            <w:vMerge/>
            <w:vAlign w:val="center"/>
            <w:hideMark/>
          </w:tcPr>
          <w:p w14:paraId="71ECCD27" w14:textId="77777777" w:rsidR="00CB0219" w:rsidRPr="00DD6A04" w:rsidRDefault="00CB0219">
            <w:pPr>
              <w:spacing w:before="0" w:after="0" w:line="276" w:lineRule="auto"/>
              <w:rPr>
                <w:rFonts w:eastAsia="Times New Roman"/>
                <w:b/>
                <w:noProof/>
                <w:sz w:val="22"/>
                <w:szCs w:val="24"/>
                <w:lang w:val="en-GB" w:eastAsia="en-GB"/>
              </w:rPr>
            </w:pPr>
          </w:p>
        </w:tc>
      </w:tr>
      <w:tr w:rsidR="00BF3B04" w:rsidRPr="00DD6A04" w14:paraId="5A63ADB6" w14:textId="77777777">
        <w:trPr>
          <w:trHeight w:val="302"/>
        </w:trPr>
        <w:tc>
          <w:tcPr>
            <w:tcW w:w="1247" w:type="dxa"/>
            <w:shd w:val="clear" w:color="auto" w:fill="C6EFCE"/>
            <w:noWrap/>
          </w:tcPr>
          <w:p w14:paraId="5F062412"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09A2A1CE"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5</w:t>
            </w:r>
          </w:p>
          <w:p w14:paraId="75410727"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ABC6564" w14:textId="3F261874" w:rsidR="00BF3B04" w:rsidRPr="00DD6A04" w:rsidRDefault="00BF3B04" w:rsidP="00BF3B04">
            <w:pPr>
              <w:spacing w:before="0" w:after="0" w:line="276" w:lineRule="auto"/>
              <w:rPr>
                <w:rFonts w:eastAsia="Times New Roman"/>
                <w:noProof/>
                <w:color w:val="006100"/>
                <w:sz w:val="22"/>
              </w:rPr>
            </w:pPr>
            <w:r>
              <w:rPr>
                <w:noProof/>
                <w:color w:val="006100"/>
                <w:sz w:val="22"/>
              </w:rPr>
              <w:t>D: Energetsko učinkovito prestrukturiranje sistemov daljinskega ogrevanja na obnovljive vire energije</w:t>
            </w:r>
          </w:p>
        </w:tc>
        <w:tc>
          <w:tcPr>
            <w:tcW w:w="1247" w:type="dxa"/>
            <w:shd w:val="clear" w:color="auto" w:fill="C6EFCE"/>
            <w:noWrap/>
          </w:tcPr>
          <w:p w14:paraId="088AA1D8" w14:textId="3384F1F5"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96FA041" w14:textId="0E43195A"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Dodatna zmogljivost obnovljivih virov energije v sistemih daljinskega ogrevanja </w:t>
            </w:r>
          </w:p>
        </w:tc>
      </w:tr>
      <w:tr w:rsidR="00BF3B04" w:rsidRPr="00DD6A04" w14:paraId="275001A2" w14:textId="77777777">
        <w:trPr>
          <w:trHeight w:val="302"/>
        </w:trPr>
        <w:tc>
          <w:tcPr>
            <w:tcW w:w="1247" w:type="dxa"/>
            <w:shd w:val="clear" w:color="auto" w:fill="C6EFCE"/>
            <w:noWrap/>
          </w:tcPr>
          <w:p w14:paraId="3F3040E7"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3936A207"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20</w:t>
            </w:r>
          </w:p>
          <w:p w14:paraId="3D0BFFA0"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05A752B" w14:textId="7FF2C4A6" w:rsidR="00BF3B04" w:rsidRPr="00DD6A04" w:rsidRDefault="00BF3B04" w:rsidP="00BF3B04">
            <w:pPr>
              <w:spacing w:before="0" w:after="0" w:line="276" w:lineRule="auto"/>
              <w:rPr>
                <w:rFonts w:eastAsia="Times New Roman"/>
                <w:noProof/>
                <w:color w:val="006100"/>
                <w:sz w:val="22"/>
              </w:rPr>
            </w:pPr>
            <w:r>
              <w:rPr>
                <w:noProof/>
                <w:color w:val="006100"/>
                <w:sz w:val="22"/>
              </w:rPr>
              <w:t>A: Reforma načrtovanja in financiranja energetske prenove stavb javnega sektorja</w:t>
            </w:r>
          </w:p>
        </w:tc>
        <w:tc>
          <w:tcPr>
            <w:tcW w:w="1247" w:type="dxa"/>
            <w:shd w:val="clear" w:color="auto" w:fill="C6EFCE"/>
            <w:noWrap/>
          </w:tcPr>
          <w:p w14:paraId="794DB681" w14:textId="1F6F19E7" w:rsidR="00BF3B04" w:rsidRPr="00DD6A04" w:rsidRDefault="00BF3B04" w:rsidP="00BF3B0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55F626F" w14:textId="75B051BD" w:rsidR="00BF3B04" w:rsidRPr="00DD6A04" w:rsidRDefault="00BF3B04" w:rsidP="00BF3B04">
            <w:pPr>
              <w:spacing w:before="0" w:after="0" w:line="276" w:lineRule="auto"/>
              <w:rPr>
                <w:rFonts w:eastAsia="Times New Roman"/>
                <w:noProof/>
                <w:color w:val="006100"/>
                <w:sz w:val="22"/>
              </w:rPr>
            </w:pPr>
            <w:r>
              <w:rPr>
                <w:noProof/>
                <w:color w:val="006100"/>
                <w:sz w:val="22"/>
              </w:rPr>
              <w:t>Akcijski načrt za prenovo javnih stavb</w:t>
            </w:r>
          </w:p>
        </w:tc>
      </w:tr>
      <w:tr w:rsidR="00BF3B04" w:rsidRPr="00DD6A04" w14:paraId="4FDFB586" w14:textId="77777777">
        <w:trPr>
          <w:trHeight w:val="302"/>
        </w:trPr>
        <w:tc>
          <w:tcPr>
            <w:tcW w:w="1247" w:type="dxa"/>
            <w:shd w:val="clear" w:color="auto" w:fill="C6EFCE"/>
            <w:noWrap/>
          </w:tcPr>
          <w:p w14:paraId="60FE48F1"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16412AA2"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26</w:t>
            </w:r>
          </w:p>
          <w:p w14:paraId="435B7E5D"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80B9FCF" w14:textId="5D0D3D9A" w:rsidR="00BF3B04" w:rsidRPr="00DD6A04" w:rsidRDefault="00BF3B04" w:rsidP="00BF3B04">
            <w:pPr>
              <w:spacing w:before="0" w:after="0" w:line="276" w:lineRule="auto"/>
              <w:rPr>
                <w:rFonts w:eastAsia="Times New Roman"/>
                <w:noProof/>
                <w:color w:val="006100"/>
                <w:sz w:val="22"/>
              </w:rPr>
            </w:pPr>
            <w:r>
              <w:rPr>
                <w:noProof/>
                <w:color w:val="006100"/>
                <w:sz w:val="22"/>
              </w:rPr>
              <w:t>B: Trajnostna prenova stavb</w:t>
            </w:r>
          </w:p>
        </w:tc>
        <w:tc>
          <w:tcPr>
            <w:tcW w:w="1247" w:type="dxa"/>
            <w:shd w:val="clear" w:color="auto" w:fill="C6EFCE"/>
            <w:noWrap/>
          </w:tcPr>
          <w:p w14:paraId="60FEA2DC" w14:textId="600111FD"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23BAC9E2" w14:textId="241BF6F8"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Dokončana energetska in trajnostna prenova stavb s posameznimi nadgradnjami tehničnih stavbnih sistemov </w:t>
            </w:r>
          </w:p>
        </w:tc>
      </w:tr>
      <w:tr w:rsidR="00BF3B04" w:rsidRPr="00DD6A04" w14:paraId="3B80FC62" w14:textId="77777777">
        <w:trPr>
          <w:trHeight w:val="302"/>
        </w:trPr>
        <w:tc>
          <w:tcPr>
            <w:tcW w:w="1247" w:type="dxa"/>
            <w:shd w:val="clear" w:color="auto" w:fill="C6EFCE"/>
            <w:noWrap/>
          </w:tcPr>
          <w:p w14:paraId="5FDE5CB0"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7096A88C"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27</w:t>
            </w:r>
          </w:p>
          <w:p w14:paraId="5443A806"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291DFEC" w14:textId="5ECCF02E" w:rsidR="00BF3B04" w:rsidRPr="00DD6A04" w:rsidRDefault="00BF3B04" w:rsidP="00BF3B04">
            <w:pPr>
              <w:spacing w:before="0" w:after="0" w:line="276" w:lineRule="auto"/>
              <w:rPr>
                <w:rFonts w:eastAsia="Times New Roman"/>
                <w:noProof/>
                <w:color w:val="006100"/>
                <w:sz w:val="22"/>
              </w:rPr>
            </w:pPr>
            <w:r>
              <w:rPr>
                <w:noProof/>
                <w:color w:val="006100"/>
                <w:sz w:val="22"/>
              </w:rPr>
              <w:t>B: Trajnostna prenova stavb</w:t>
            </w:r>
          </w:p>
        </w:tc>
        <w:tc>
          <w:tcPr>
            <w:tcW w:w="1247" w:type="dxa"/>
            <w:shd w:val="clear" w:color="auto" w:fill="C6EFCE"/>
            <w:noWrap/>
          </w:tcPr>
          <w:p w14:paraId="7148303B" w14:textId="7726EF25"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96F3CEB" w14:textId="2BB167DD" w:rsidR="00BF3B04" w:rsidRPr="00DD6A04" w:rsidRDefault="00BF3B04" w:rsidP="00BF3B04">
            <w:pPr>
              <w:spacing w:before="0" w:after="0" w:line="276" w:lineRule="auto"/>
              <w:rPr>
                <w:rFonts w:eastAsia="Times New Roman"/>
                <w:noProof/>
                <w:color w:val="006100"/>
                <w:sz w:val="22"/>
              </w:rPr>
            </w:pPr>
            <w:r>
              <w:rPr>
                <w:noProof/>
                <w:color w:val="006100"/>
                <w:sz w:val="22"/>
              </w:rPr>
              <w:t>Dokončana energetska in trajnostna prenova stanovanjskih stavb v javni lasti</w:t>
            </w:r>
          </w:p>
        </w:tc>
      </w:tr>
      <w:tr w:rsidR="00BF3B04" w:rsidRPr="00DD6A04" w14:paraId="53A0D851" w14:textId="77777777">
        <w:trPr>
          <w:trHeight w:val="302"/>
        </w:trPr>
        <w:tc>
          <w:tcPr>
            <w:tcW w:w="1247" w:type="dxa"/>
            <w:shd w:val="clear" w:color="auto" w:fill="C6EFCE"/>
            <w:noWrap/>
            <w:vAlign w:val="center"/>
          </w:tcPr>
          <w:p w14:paraId="5E5EFC90" w14:textId="4FEA41DB" w:rsidR="00BF3B04" w:rsidRPr="00DD6A04" w:rsidRDefault="00BF3B04" w:rsidP="00BF3B04">
            <w:pPr>
              <w:spacing w:before="0" w:after="0" w:line="276" w:lineRule="auto"/>
              <w:jc w:val="center"/>
              <w:rPr>
                <w:rFonts w:eastAsia="Times New Roman"/>
                <w:noProof/>
                <w:color w:val="006100"/>
                <w:sz w:val="22"/>
              </w:rPr>
            </w:pPr>
            <w:r>
              <w:rPr>
                <w:noProof/>
                <w:color w:val="006100"/>
                <w:sz w:val="22"/>
              </w:rPr>
              <w:t>30</w:t>
            </w:r>
          </w:p>
        </w:tc>
        <w:tc>
          <w:tcPr>
            <w:tcW w:w="3119" w:type="dxa"/>
            <w:shd w:val="clear" w:color="auto" w:fill="C6EFCE"/>
            <w:noWrap/>
          </w:tcPr>
          <w:p w14:paraId="7D0C0CA8" w14:textId="68ED4DB7" w:rsidR="00BF3B04" w:rsidRPr="00DD6A04" w:rsidRDefault="00BF3B04" w:rsidP="00BF3B04">
            <w:pPr>
              <w:spacing w:before="0" w:after="0" w:line="276" w:lineRule="auto"/>
              <w:rPr>
                <w:rFonts w:eastAsia="Times New Roman"/>
                <w:noProof/>
                <w:color w:val="006100"/>
                <w:sz w:val="22"/>
              </w:rPr>
            </w:pPr>
            <w:r>
              <w:rPr>
                <w:noProof/>
                <w:color w:val="006100"/>
                <w:sz w:val="22"/>
              </w:rPr>
              <w:t>E: Družbena in gospodarska odpornost na podnebno pogojene nesreče v Republiki Sloveniji</w:t>
            </w:r>
          </w:p>
        </w:tc>
        <w:tc>
          <w:tcPr>
            <w:tcW w:w="1247" w:type="dxa"/>
            <w:shd w:val="clear" w:color="auto" w:fill="C6EFCE"/>
            <w:noWrap/>
          </w:tcPr>
          <w:p w14:paraId="524E7BE5" w14:textId="72CB598B"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27F3EB91" w14:textId="7E371132" w:rsidR="00BF3B04" w:rsidRPr="00DD6A04" w:rsidRDefault="00BF3B04" w:rsidP="00BF3B04">
            <w:pPr>
              <w:spacing w:before="0" w:after="0" w:line="276" w:lineRule="auto"/>
              <w:rPr>
                <w:rFonts w:eastAsia="Times New Roman"/>
                <w:noProof/>
                <w:color w:val="006100"/>
                <w:sz w:val="22"/>
              </w:rPr>
            </w:pPr>
            <w:r>
              <w:rPr>
                <w:noProof/>
                <w:color w:val="006100"/>
                <w:sz w:val="22"/>
              </w:rPr>
              <w:t>Novi objekti za usposabljanje in odzivanje na operativne nesreče, povezane s podnebjem</w:t>
            </w:r>
          </w:p>
        </w:tc>
      </w:tr>
      <w:tr w:rsidR="00BF3B04" w:rsidRPr="00DD6A04" w14:paraId="5AE9772B" w14:textId="77777777">
        <w:trPr>
          <w:trHeight w:val="302"/>
        </w:trPr>
        <w:tc>
          <w:tcPr>
            <w:tcW w:w="1247" w:type="dxa"/>
            <w:shd w:val="clear" w:color="auto" w:fill="C6EFCE"/>
            <w:noWrap/>
          </w:tcPr>
          <w:p w14:paraId="219B93FE"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68892F3E"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31</w:t>
            </w:r>
          </w:p>
          <w:p w14:paraId="71E651A9"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5C976F92"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8A00D34" w14:textId="2BD7AF11"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E: Družbena in gospodarska odpornost na podnebno pogojene nesreče v Republiki Sloveniji </w:t>
            </w:r>
          </w:p>
        </w:tc>
        <w:tc>
          <w:tcPr>
            <w:tcW w:w="1247" w:type="dxa"/>
            <w:shd w:val="clear" w:color="auto" w:fill="C6EFCE"/>
            <w:noWrap/>
          </w:tcPr>
          <w:p w14:paraId="6F276392" w14:textId="0C63DD98"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523D684" w14:textId="6E38CF75" w:rsidR="00BF3B04" w:rsidRPr="00DD6A04" w:rsidRDefault="00BF3B04" w:rsidP="00BF3B04">
            <w:pPr>
              <w:spacing w:before="0" w:after="0" w:line="276" w:lineRule="auto"/>
              <w:rPr>
                <w:rFonts w:eastAsia="Times New Roman"/>
                <w:noProof/>
                <w:color w:val="006100"/>
                <w:sz w:val="22"/>
              </w:rPr>
            </w:pPr>
            <w:r>
              <w:rPr>
                <w:noProof/>
                <w:color w:val="006100"/>
                <w:sz w:val="22"/>
              </w:rPr>
              <w:t>Udeleženci, ki so opravili usposabljanje za poplave in velike požare v naravi</w:t>
            </w:r>
          </w:p>
        </w:tc>
      </w:tr>
      <w:tr w:rsidR="00BF3B04" w:rsidRPr="00DD6A04" w14:paraId="4D5E42D2" w14:textId="77777777">
        <w:trPr>
          <w:trHeight w:val="302"/>
        </w:trPr>
        <w:tc>
          <w:tcPr>
            <w:tcW w:w="1247" w:type="dxa"/>
            <w:shd w:val="clear" w:color="auto" w:fill="C6EFCE"/>
            <w:noWrap/>
          </w:tcPr>
          <w:p w14:paraId="147BA109"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65DD8E8A"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33</w:t>
            </w:r>
          </w:p>
          <w:p w14:paraId="498D9811"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80FB025" w14:textId="7FB22DC7"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247" w:type="dxa"/>
            <w:shd w:val="clear" w:color="auto" w:fill="C6EFCE"/>
            <w:noWrap/>
          </w:tcPr>
          <w:p w14:paraId="6CE571D3" w14:textId="71932FD7"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94CAB8E" w14:textId="369F3162" w:rsidR="00BF3B04" w:rsidRPr="00DD6A04" w:rsidRDefault="00BF3B04" w:rsidP="00BF3B04">
            <w:pPr>
              <w:spacing w:before="0" w:after="0" w:line="276" w:lineRule="auto"/>
              <w:rPr>
                <w:rFonts w:eastAsia="Times New Roman"/>
                <w:noProof/>
                <w:color w:val="006100"/>
                <w:sz w:val="22"/>
              </w:rPr>
            </w:pPr>
            <w:r>
              <w:rPr>
                <w:noProof/>
                <w:color w:val="006100"/>
                <w:sz w:val="22"/>
              </w:rPr>
              <w:t>Sanirana območja, ki jih ogrožajo plazovi zaradi potresnega tveganja</w:t>
            </w:r>
          </w:p>
        </w:tc>
      </w:tr>
      <w:tr w:rsidR="00BF3B04" w:rsidRPr="00DD6A04" w14:paraId="38CC02EC" w14:textId="77777777">
        <w:trPr>
          <w:trHeight w:val="302"/>
        </w:trPr>
        <w:tc>
          <w:tcPr>
            <w:tcW w:w="1247" w:type="dxa"/>
            <w:shd w:val="clear" w:color="auto" w:fill="C6EFCE"/>
            <w:noWrap/>
          </w:tcPr>
          <w:p w14:paraId="14365432"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0348C29B"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35</w:t>
            </w:r>
          </w:p>
          <w:p w14:paraId="34366322"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585D7F6" w14:textId="195E6FE1"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247" w:type="dxa"/>
            <w:shd w:val="clear" w:color="auto" w:fill="C6EFCE"/>
            <w:noWrap/>
          </w:tcPr>
          <w:p w14:paraId="1ABAAC38" w14:textId="56F6CDBA"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66DAE7F" w14:textId="553F31E2" w:rsidR="00BF3B04" w:rsidRPr="00DD6A04" w:rsidRDefault="00BF3B04" w:rsidP="00BF3B04">
            <w:pPr>
              <w:spacing w:before="0" w:after="0" w:line="276" w:lineRule="auto"/>
              <w:rPr>
                <w:rFonts w:eastAsia="Times New Roman"/>
                <w:noProof/>
                <w:color w:val="006100"/>
                <w:sz w:val="22"/>
              </w:rPr>
            </w:pPr>
            <w:r>
              <w:rPr>
                <w:noProof/>
                <w:color w:val="006100"/>
                <w:sz w:val="22"/>
              </w:rPr>
              <w:t>Število dokončanih projektov za zmanjšanje poplav in plazov, ki čim bolj podpirajo ukrepe za rešitve, ki temeljijo na naravi, in zelene ukrepe</w:t>
            </w:r>
          </w:p>
        </w:tc>
      </w:tr>
      <w:tr w:rsidR="00BF3B04" w:rsidRPr="00DD6A04" w14:paraId="21964EBE" w14:textId="77777777">
        <w:trPr>
          <w:trHeight w:val="302"/>
        </w:trPr>
        <w:tc>
          <w:tcPr>
            <w:tcW w:w="1247" w:type="dxa"/>
            <w:shd w:val="clear" w:color="auto" w:fill="C6EFCE"/>
            <w:noWrap/>
          </w:tcPr>
          <w:p w14:paraId="746998B8"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1214C115"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37</w:t>
            </w:r>
          </w:p>
          <w:p w14:paraId="0598E7D6"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602B6E3" w14:textId="41400E62" w:rsidR="00BF3B04" w:rsidRPr="00DD6A04" w:rsidRDefault="00BF3B04" w:rsidP="00BF3B04">
            <w:pPr>
              <w:spacing w:before="0" w:after="0" w:line="276" w:lineRule="auto"/>
              <w:rPr>
                <w:rFonts w:eastAsia="Times New Roman"/>
                <w:noProof/>
                <w:color w:val="006100"/>
                <w:sz w:val="22"/>
              </w:rPr>
            </w:pPr>
            <w:r>
              <w:rPr>
                <w:noProof/>
                <w:color w:val="006100"/>
                <w:sz w:val="22"/>
              </w:rPr>
              <w:t>G: Center za semenarstvo, drevesničarstvo in varstvo gozdov</w:t>
            </w:r>
          </w:p>
        </w:tc>
        <w:tc>
          <w:tcPr>
            <w:tcW w:w="1247" w:type="dxa"/>
            <w:shd w:val="clear" w:color="auto" w:fill="C6EFCE"/>
            <w:noWrap/>
          </w:tcPr>
          <w:p w14:paraId="412EFA81" w14:textId="51749194" w:rsidR="00BF3B04" w:rsidRPr="00DD6A04" w:rsidRDefault="00BF3B04" w:rsidP="00BF3B0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24D111D" w14:textId="0001BBA7" w:rsidR="00BF3B04" w:rsidRPr="00DD6A04" w:rsidRDefault="00BF3B04" w:rsidP="00BF3B04">
            <w:pPr>
              <w:spacing w:before="0" w:after="0" w:line="276" w:lineRule="auto"/>
              <w:rPr>
                <w:rFonts w:eastAsia="Times New Roman"/>
                <w:noProof/>
                <w:color w:val="006100"/>
                <w:sz w:val="22"/>
              </w:rPr>
            </w:pPr>
            <w:r>
              <w:rPr>
                <w:noProof/>
                <w:color w:val="006100"/>
                <w:sz w:val="22"/>
              </w:rPr>
              <w:t>Operativen Center za semenarstvo, drevesničarstvo in varstvo gozdov</w:t>
            </w:r>
          </w:p>
        </w:tc>
      </w:tr>
      <w:tr w:rsidR="00BF3B04" w:rsidRPr="00DD6A04" w14:paraId="4E2EBBA6" w14:textId="77777777">
        <w:trPr>
          <w:trHeight w:val="302"/>
        </w:trPr>
        <w:tc>
          <w:tcPr>
            <w:tcW w:w="1247" w:type="dxa"/>
            <w:shd w:val="clear" w:color="auto" w:fill="C6EFCE"/>
            <w:noWrap/>
          </w:tcPr>
          <w:p w14:paraId="5D88A3D3"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5E01AB4C"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40</w:t>
            </w:r>
          </w:p>
          <w:p w14:paraId="1E579442"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0DF7B86" w14:textId="01155B8E" w:rsidR="00BF3B04" w:rsidRPr="00DD6A04" w:rsidRDefault="00BF3B04" w:rsidP="00BF3B04">
            <w:pPr>
              <w:spacing w:before="0" w:after="0" w:line="276" w:lineRule="auto"/>
              <w:rPr>
                <w:rFonts w:eastAsia="Times New Roman"/>
                <w:noProof/>
                <w:color w:val="006100"/>
                <w:sz w:val="22"/>
              </w:rPr>
            </w:pPr>
            <w:r>
              <w:rPr>
                <w:noProof/>
                <w:color w:val="006100"/>
                <w:sz w:val="22"/>
              </w:rPr>
              <w:t>H: Projekti odvajanja in čiščenja komunalne odpadne vode</w:t>
            </w:r>
          </w:p>
        </w:tc>
        <w:tc>
          <w:tcPr>
            <w:tcW w:w="1247" w:type="dxa"/>
            <w:shd w:val="clear" w:color="auto" w:fill="C6EFCE"/>
            <w:noWrap/>
          </w:tcPr>
          <w:p w14:paraId="38928B76" w14:textId="2B65FB01"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8FD0827" w14:textId="025B137C"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Število dokončanih projektov odvajanja in čiščenja komunalne odpadne vode </w:t>
            </w:r>
          </w:p>
        </w:tc>
      </w:tr>
      <w:tr w:rsidR="00BF3B04" w:rsidRPr="00DD6A04" w14:paraId="7EE10D7F" w14:textId="77777777">
        <w:trPr>
          <w:trHeight w:val="302"/>
        </w:trPr>
        <w:tc>
          <w:tcPr>
            <w:tcW w:w="1247" w:type="dxa"/>
            <w:shd w:val="clear" w:color="auto" w:fill="C6EFCE"/>
            <w:noWrap/>
          </w:tcPr>
          <w:p w14:paraId="7B072AE9"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5D06314E"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44</w:t>
            </w:r>
          </w:p>
          <w:p w14:paraId="71E1B654"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B1CAB59" w14:textId="519E71D9" w:rsidR="00BF3B04" w:rsidRPr="00DD6A04" w:rsidRDefault="00BF3B04" w:rsidP="00BF3B04">
            <w:pPr>
              <w:spacing w:before="0" w:after="0" w:line="276" w:lineRule="auto"/>
              <w:rPr>
                <w:rFonts w:eastAsia="Times New Roman"/>
                <w:noProof/>
                <w:color w:val="006100"/>
                <w:sz w:val="22"/>
              </w:rPr>
            </w:pPr>
            <w:r>
              <w:rPr>
                <w:noProof/>
                <w:color w:val="006100"/>
                <w:sz w:val="22"/>
              </w:rPr>
              <w:t>I: Projekti oskrbe in varčevanja s pitno vodo</w:t>
            </w:r>
          </w:p>
        </w:tc>
        <w:tc>
          <w:tcPr>
            <w:tcW w:w="1247" w:type="dxa"/>
            <w:shd w:val="clear" w:color="auto" w:fill="C6EFCE"/>
            <w:noWrap/>
          </w:tcPr>
          <w:p w14:paraId="15E678D6" w14:textId="46827CFB"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5B654D3" w14:textId="17017949"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Število dokončanih projektov oskrbe s pitno vodo </w:t>
            </w:r>
          </w:p>
        </w:tc>
      </w:tr>
      <w:tr w:rsidR="00BF3B04" w:rsidRPr="00DD6A04" w14:paraId="5EAFE19E" w14:textId="77777777">
        <w:trPr>
          <w:trHeight w:val="302"/>
        </w:trPr>
        <w:tc>
          <w:tcPr>
            <w:tcW w:w="1247" w:type="dxa"/>
            <w:shd w:val="clear" w:color="auto" w:fill="C6EFCE"/>
            <w:noWrap/>
          </w:tcPr>
          <w:p w14:paraId="2E969FAA"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637814CC"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62</w:t>
            </w:r>
          </w:p>
          <w:p w14:paraId="1ACFC217"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F55B70F" w14:textId="10C2C05C"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D: Digitalizacija železniške in cestne infrastrukture </w:t>
            </w:r>
          </w:p>
        </w:tc>
        <w:tc>
          <w:tcPr>
            <w:tcW w:w="1247" w:type="dxa"/>
            <w:shd w:val="clear" w:color="auto" w:fill="C6EFCE"/>
            <w:noWrap/>
          </w:tcPr>
          <w:p w14:paraId="065C97F7" w14:textId="1A5A52A1"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293E8638" w14:textId="1620AFBA"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Ceste, pokrite s sistemom za nadzor in vodenje prometa </w:t>
            </w:r>
          </w:p>
        </w:tc>
      </w:tr>
      <w:tr w:rsidR="00BF3B04" w:rsidRPr="00DD6A04" w14:paraId="4E4E2694" w14:textId="77777777">
        <w:trPr>
          <w:trHeight w:val="302"/>
        </w:trPr>
        <w:tc>
          <w:tcPr>
            <w:tcW w:w="1247" w:type="dxa"/>
            <w:shd w:val="clear" w:color="auto" w:fill="C6EFCE"/>
            <w:noWrap/>
          </w:tcPr>
          <w:p w14:paraId="7F021FC0"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0F88F6E6"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64</w:t>
            </w:r>
          </w:p>
          <w:p w14:paraId="1C6F4AFC"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49C5E31" w14:textId="147489A2" w:rsidR="00BF3B04" w:rsidRPr="00DD6A04" w:rsidRDefault="00BF3B04" w:rsidP="00BF3B04">
            <w:pPr>
              <w:spacing w:before="0" w:after="0" w:line="276" w:lineRule="auto"/>
              <w:rPr>
                <w:rFonts w:eastAsia="Times New Roman"/>
                <w:noProof/>
                <w:color w:val="006100"/>
                <w:sz w:val="22"/>
              </w:rPr>
            </w:pPr>
            <w:r>
              <w:rPr>
                <w:noProof/>
                <w:color w:val="006100"/>
                <w:sz w:val="22"/>
              </w:rPr>
              <w:t>B: Reforma na področju uvajanja infrastrukture za alternativna goriva</w:t>
            </w:r>
          </w:p>
        </w:tc>
        <w:tc>
          <w:tcPr>
            <w:tcW w:w="1247" w:type="dxa"/>
            <w:shd w:val="clear" w:color="auto" w:fill="C6EFCE"/>
            <w:noWrap/>
          </w:tcPr>
          <w:p w14:paraId="2DD663EE" w14:textId="55D0C88B"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14C46B1E" w14:textId="45AA5B48" w:rsidR="00BF3B04" w:rsidRPr="00DD6A04" w:rsidRDefault="00BF3B04" w:rsidP="00BF3B04">
            <w:pPr>
              <w:spacing w:before="0" w:after="0" w:line="276" w:lineRule="auto"/>
              <w:rPr>
                <w:rFonts w:eastAsia="Times New Roman"/>
                <w:noProof/>
                <w:color w:val="006100"/>
                <w:sz w:val="22"/>
              </w:rPr>
            </w:pPr>
            <w:r>
              <w:rPr>
                <w:noProof/>
                <w:color w:val="006100"/>
                <w:sz w:val="22"/>
              </w:rPr>
              <w:t>Operativna polnilna ali oskrbovalna mesta za vozila na alternativni pogon</w:t>
            </w:r>
          </w:p>
        </w:tc>
      </w:tr>
      <w:tr w:rsidR="00BF3B04" w:rsidRPr="00DD6A04" w14:paraId="68B08166" w14:textId="77777777">
        <w:trPr>
          <w:trHeight w:val="302"/>
        </w:trPr>
        <w:tc>
          <w:tcPr>
            <w:tcW w:w="1247" w:type="dxa"/>
            <w:shd w:val="clear" w:color="auto" w:fill="C6EFCE"/>
            <w:noWrap/>
          </w:tcPr>
          <w:p w14:paraId="337CAA61"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50A1212E"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65</w:t>
            </w:r>
          </w:p>
          <w:p w14:paraId="272ADCF3"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26B204F" w14:textId="5082C8A9" w:rsidR="00BF3B04" w:rsidRPr="00DD6A04" w:rsidRDefault="00BF3B04" w:rsidP="00BF3B04">
            <w:pPr>
              <w:spacing w:before="0" w:after="0" w:line="276" w:lineRule="auto"/>
              <w:rPr>
                <w:rFonts w:eastAsia="Times New Roman"/>
                <w:noProof/>
                <w:color w:val="006100"/>
                <w:sz w:val="22"/>
              </w:rPr>
            </w:pPr>
            <w:r>
              <w:rPr>
                <w:noProof/>
                <w:color w:val="006100"/>
                <w:sz w:val="22"/>
              </w:rPr>
              <w:t>E: Spodbujanje vzpostavitve infrastrukture za alternativna goriva v prometu</w:t>
            </w:r>
          </w:p>
        </w:tc>
        <w:tc>
          <w:tcPr>
            <w:tcW w:w="1247" w:type="dxa"/>
            <w:shd w:val="clear" w:color="auto" w:fill="C6EFCE"/>
            <w:noWrap/>
          </w:tcPr>
          <w:p w14:paraId="52C33BDB" w14:textId="4458EB43"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26DC3380" w14:textId="22464A73"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Operativna javno dostopna polnilna mesta za električna vozila </w:t>
            </w:r>
          </w:p>
        </w:tc>
      </w:tr>
      <w:tr w:rsidR="00BF3B04" w:rsidRPr="00DD6A04" w14:paraId="5BE9EFF3" w14:textId="77777777">
        <w:trPr>
          <w:trHeight w:val="302"/>
        </w:trPr>
        <w:tc>
          <w:tcPr>
            <w:tcW w:w="1247" w:type="dxa"/>
            <w:shd w:val="clear" w:color="auto" w:fill="C6EFCE"/>
            <w:noWrap/>
          </w:tcPr>
          <w:p w14:paraId="7DA2E0D6"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6C986162"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66</w:t>
            </w:r>
          </w:p>
          <w:p w14:paraId="56612655"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8086384" w14:textId="2CDCDF51" w:rsidR="00BF3B04" w:rsidRPr="00DD6A04" w:rsidRDefault="00BF3B04" w:rsidP="00BF3B04">
            <w:pPr>
              <w:spacing w:before="0" w:after="0" w:line="276" w:lineRule="auto"/>
              <w:rPr>
                <w:rFonts w:eastAsia="Times New Roman"/>
                <w:noProof/>
                <w:color w:val="006100"/>
                <w:sz w:val="22"/>
              </w:rPr>
            </w:pPr>
            <w:r>
              <w:rPr>
                <w:noProof/>
                <w:color w:val="006100"/>
                <w:sz w:val="22"/>
              </w:rPr>
              <w:t>E: Spodbujanje vzpostavitve infrastrukture za alternativna goriva v prometu</w:t>
            </w:r>
          </w:p>
        </w:tc>
        <w:tc>
          <w:tcPr>
            <w:tcW w:w="1247" w:type="dxa"/>
            <w:shd w:val="clear" w:color="auto" w:fill="C6EFCE"/>
            <w:noWrap/>
          </w:tcPr>
          <w:p w14:paraId="24DEBA96" w14:textId="307003DD"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FA8DB18" w14:textId="5450FC2B" w:rsidR="00BF3B04" w:rsidRPr="00DD6A04" w:rsidRDefault="00BF3B04" w:rsidP="00BF3B04">
            <w:pPr>
              <w:spacing w:before="0" w:after="0" w:line="276" w:lineRule="auto"/>
              <w:rPr>
                <w:rFonts w:eastAsia="Times New Roman"/>
                <w:noProof/>
                <w:color w:val="006100"/>
                <w:sz w:val="22"/>
              </w:rPr>
            </w:pPr>
            <w:r>
              <w:rPr>
                <w:noProof/>
                <w:color w:val="006100"/>
                <w:sz w:val="22"/>
              </w:rPr>
              <w:t>Operativna polnilna mesta za električna vozila, ki so v lasti državne uprave</w:t>
            </w:r>
          </w:p>
        </w:tc>
      </w:tr>
      <w:tr w:rsidR="00BF3B04" w:rsidRPr="00DD6A04" w14:paraId="3679DF40" w14:textId="77777777">
        <w:trPr>
          <w:trHeight w:val="302"/>
        </w:trPr>
        <w:tc>
          <w:tcPr>
            <w:tcW w:w="1247" w:type="dxa"/>
            <w:shd w:val="clear" w:color="auto" w:fill="C6EFCE"/>
            <w:noWrap/>
          </w:tcPr>
          <w:p w14:paraId="41E6D104"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4EED66A9"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73</w:t>
            </w:r>
          </w:p>
          <w:p w14:paraId="38A71B03"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DC424D8" w14:textId="048843EE"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B: Celoviti strateški projekt razogljičenja Slovenije preko prehoda v krožno gospodarstvo </w:t>
            </w:r>
          </w:p>
        </w:tc>
        <w:tc>
          <w:tcPr>
            <w:tcW w:w="1247" w:type="dxa"/>
            <w:shd w:val="clear" w:color="auto" w:fill="C6EFCE"/>
            <w:noWrap/>
          </w:tcPr>
          <w:p w14:paraId="68C65BBE" w14:textId="7AA2AF77"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1CBA69CF" w14:textId="4E32564D" w:rsidR="00BF3B04" w:rsidRPr="00DD6A04" w:rsidRDefault="00BF3B04" w:rsidP="00BF3B04">
            <w:pPr>
              <w:spacing w:before="0" w:after="0" w:line="276" w:lineRule="auto"/>
              <w:rPr>
                <w:rFonts w:eastAsia="Times New Roman"/>
                <w:noProof/>
                <w:color w:val="006100"/>
                <w:sz w:val="22"/>
              </w:rPr>
            </w:pPr>
            <w:r>
              <w:rPr>
                <w:noProof/>
                <w:color w:val="006100"/>
                <w:sz w:val="22"/>
              </w:rPr>
              <w:t>Dokončani projekti za podporo podjetjem pri prehodu na krožno gospodarstvo</w:t>
            </w:r>
          </w:p>
        </w:tc>
      </w:tr>
      <w:tr w:rsidR="00BF3B04" w:rsidRPr="00DD6A04" w14:paraId="307F8AFC" w14:textId="77777777">
        <w:trPr>
          <w:trHeight w:val="302"/>
        </w:trPr>
        <w:tc>
          <w:tcPr>
            <w:tcW w:w="1247" w:type="dxa"/>
            <w:shd w:val="clear" w:color="auto" w:fill="C6EFCE"/>
            <w:noWrap/>
          </w:tcPr>
          <w:p w14:paraId="7C259B5D"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49C6455B"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97</w:t>
            </w:r>
          </w:p>
          <w:p w14:paraId="7C7664CD"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5060268" w14:textId="565F9697" w:rsidR="00BF3B04" w:rsidRPr="00DD6A04" w:rsidRDefault="00BF3B04" w:rsidP="00BF3B04">
            <w:pPr>
              <w:spacing w:before="0" w:after="0" w:line="276" w:lineRule="auto"/>
              <w:rPr>
                <w:rFonts w:eastAsia="Times New Roman"/>
                <w:noProof/>
                <w:color w:val="006100"/>
                <w:sz w:val="22"/>
              </w:rPr>
            </w:pPr>
            <w:r>
              <w:rPr>
                <w:noProof/>
                <w:color w:val="006100"/>
                <w:sz w:val="22"/>
              </w:rPr>
              <w:t>G: Modernizacija digitalnega okolja javne uprave</w:t>
            </w:r>
          </w:p>
        </w:tc>
        <w:tc>
          <w:tcPr>
            <w:tcW w:w="1247" w:type="dxa"/>
            <w:shd w:val="clear" w:color="auto" w:fill="C6EFCE"/>
            <w:noWrap/>
          </w:tcPr>
          <w:p w14:paraId="32974C63" w14:textId="2C20F33A" w:rsidR="00BF3B04" w:rsidRPr="00DD6A04" w:rsidRDefault="00BF3B04" w:rsidP="00BF3B0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15A4E6C" w14:textId="071FBFC8"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Začetek delovanja platforme e-Zakonodaja </w:t>
            </w:r>
          </w:p>
        </w:tc>
      </w:tr>
      <w:tr w:rsidR="00BF3B04" w:rsidRPr="00DD6A04" w14:paraId="7FB8EC22" w14:textId="77777777">
        <w:trPr>
          <w:trHeight w:val="302"/>
        </w:trPr>
        <w:tc>
          <w:tcPr>
            <w:tcW w:w="1247" w:type="dxa"/>
            <w:shd w:val="clear" w:color="auto" w:fill="C6EFCE"/>
            <w:noWrap/>
          </w:tcPr>
          <w:p w14:paraId="680D089C"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57104846"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101</w:t>
            </w:r>
          </w:p>
          <w:p w14:paraId="2803A1DE"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E657D98" w14:textId="26B18C15" w:rsidR="00BF3B04" w:rsidRPr="00DD6A04" w:rsidRDefault="00BF3B04" w:rsidP="00BF3B04">
            <w:pPr>
              <w:spacing w:before="0" w:after="0" w:line="276" w:lineRule="auto"/>
              <w:rPr>
                <w:rFonts w:eastAsia="Times New Roman"/>
                <w:noProof/>
                <w:color w:val="006100"/>
                <w:sz w:val="22"/>
              </w:rPr>
            </w:pPr>
            <w:r>
              <w:rPr>
                <w:noProof/>
                <w:color w:val="006100"/>
                <w:sz w:val="22"/>
              </w:rPr>
              <w:t>I: Digitalizacija notranje varnosti</w:t>
            </w:r>
          </w:p>
        </w:tc>
        <w:tc>
          <w:tcPr>
            <w:tcW w:w="1247" w:type="dxa"/>
            <w:shd w:val="clear" w:color="auto" w:fill="C6EFCE"/>
            <w:noWrap/>
          </w:tcPr>
          <w:p w14:paraId="068FEFB0" w14:textId="0457D5A1" w:rsidR="00BF3B04" w:rsidRPr="00DD6A04" w:rsidRDefault="00BF3B04" w:rsidP="00BF3B0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AEAE0A4" w14:textId="38AB265B" w:rsidR="00BF3B04" w:rsidRPr="00DD6A04" w:rsidRDefault="00BF3B04" w:rsidP="00BF3B04">
            <w:pPr>
              <w:spacing w:before="0" w:after="0" w:line="276" w:lineRule="auto"/>
              <w:rPr>
                <w:rFonts w:eastAsia="Times New Roman"/>
                <w:noProof/>
                <w:color w:val="006100"/>
                <w:sz w:val="22"/>
              </w:rPr>
            </w:pPr>
            <w:r>
              <w:rPr>
                <w:noProof/>
                <w:color w:val="006100"/>
                <w:sz w:val="22"/>
              </w:rPr>
              <w:t>Operativen zasebni oblak policije</w:t>
            </w:r>
          </w:p>
        </w:tc>
      </w:tr>
      <w:tr w:rsidR="00BF3B04" w:rsidRPr="00DD6A04" w14:paraId="7E144697" w14:textId="77777777">
        <w:trPr>
          <w:trHeight w:val="302"/>
        </w:trPr>
        <w:tc>
          <w:tcPr>
            <w:tcW w:w="1247" w:type="dxa"/>
            <w:shd w:val="clear" w:color="auto" w:fill="C6EFCE"/>
            <w:noWrap/>
          </w:tcPr>
          <w:p w14:paraId="18EB32A0"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1201D522"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102</w:t>
            </w:r>
          </w:p>
          <w:p w14:paraId="7447DE84"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4306C10" w14:textId="6B5A24E2" w:rsidR="00BF3B04" w:rsidRPr="00DD6A04" w:rsidRDefault="00BF3B04" w:rsidP="00BF3B04">
            <w:pPr>
              <w:spacing w:before="0" w:after="0" w:line="276" w:lineRule="auto"/>
              <w:rPr>
                <w:rFonts w:eastAsia="Times New Roman"/>
                <w:noProof/>
                <w:color w:val="006100"/>
                <w:sz w:val="22"/>
              </w:rPr>
            </w:pPr>
            <w:r>
              <w:rPr>
                <w:noProof/>
                <w:color w:val="006100"/>
                <w:sz w:val="22"/>
              </w:rPr>
              <w:t>K: Zeleni slovenski lokacijski okvir</w:t>
            </w:r>
          </w:p>
        </w:tc>
        <w:tc>
          <w:tcPr>
            <w:tcW w:w="1247" w:type="dxa"/>
            <w:shd w:val="clear" w:color="auto" w:fill="C6EFCE"/>
            <w:noWrap/>
          </w:tcPr>
          <w:p w14:paraId="50AE49E6" w14:textId="7C45E065"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955DD36" w14:textId="1FBE6AEB" w:rsidR="00BF3B04" w:rsidRPr="00DD6A04" w:rsidRDefault="00BF3B04" w:rsidP="00BF3B04">
            <w:pPr>
              <w:spacing w:before="0" w:after="0" w:line="276" w:lineRule="auto"/>
              <w:rPr>
                <w:rFonts w:eastAsia="Times New Roman"/>
                <w:noProof/>
                <w:color w:val="006100"/>
                <w:sz w:val="22"/>
              </w:rPr>
            </w:pPr>
            <w:r>
              <w:rPr>
                <w:noProof/>
                <w:color w:val="006100"/>
                <w:sz w:val="22"/>
              </w:rPr>
              <w:t>Povezana prostorska in okoljska digitalna podatkovna infrastruktura</w:t>
            </w:r>
          </w:p>
        </w:tc>
      </w:tr>
      <w:tr w:rsidR="00BF3B04" w:rsidRPr="00DD6A04" w14:paraId="20899FEE" w14:textId="77777777">
        <w:trPr>
          <w:trHeight w:val="302"/>
        </w:trPr>
        <w:tc>
          <w:tcPr>
            <w:tcW w:w="1247" w:type="dxa"/>
            <w:shd w:val="clear" w:color="auto" w:fill="C6EFCE"/>
            <w:noWrap/>
          </w:tcPr>
          <w:p w14:paraId="67188652"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32E5E689"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108</w:t>
            </w:r>
          </w:p>
          <w:p w14:paraId="6AE51739"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1B8D606" w14:textId="1A676F1E" w:rsidR="00BF3B04" w:rsidRPr="00DD6A04" w:rsidRDefault="00BF3B04" w:rsidP="00BF3B04">
            <w:pPr>
              <w:spacing w:before="0" w:after="0" w:line="276" w:lineRule="auto"/>
              <w:rPr>
                <w:rFonts w:eastAsia="Times New Roman"/>
                <w:noProof/>
                <w:color w:val="006100"/>
                <w:sz w:val="22"/>
              </w:rPr>
            </w:pPr>
            <w:r>
              <w:rPr>
                <w:noProof/>
                <w:color w:val="006100"/>
                <w:sz w:val="22"/>
              </w:rPr>
              <w:t>J: Digitalizacija izobraževanja in znanosti</w:t>
            </w:r>
          </w:p>
        </w:tc>
        <w:tc>
          <w:tcPr>
            <w:tcW w:w="1247" w:type="dxa"/>
            <w:shd w:val="clear" w:color="auto" w:fill="C6EFCE"/>
            <w:noWrap/>
          </w:tcPr>
          <w:p w14:paraId="5AF788CF" w14:textId="4C4E8451"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54844F0" w14:textId="0D1E8AEC" w:rsidR="00BF3B04" w:rsidRPr="00DD6A04" w:rsidRDefault="00BF3B04" w:rsidP="00BF3B04">
            <w:pPr>
              <w:spacing w:before="0" w:after="0" w:line="276" w:lineRule="auto"/>
              <w:rPr>
                <w:rFonts w:eastAsia="Times New Roman"/>
                <w:noProof/>
                <w:color w:val="006100"/>
                <w:sz w:val="22"/>
              </w:rPr>
            </w:pPr>
            <w:r>
              <w:rPr>
                <w:noProof/>
                <w:color w:val="006100"/>
                <w:sz w:val="22"/>
              </w:rPr>
              <w:t>Nove rešitve IT, ki se uporabljajo pri poučevanju, učenju in spremljanju diplomantov poklicnega izobraževanja</w:t>
            </w:r>
          </w:p>
        </w:tc>
      </w:tr>
      <w:tr w:rsidR="00BF3B04" w:rsidRPr="00DD6A04" w14:paraId="71DCFF42" w14:textId="77777777">
        <w:trPr>
          <w:trHeight w:val="302"/>
        </w:trPr>
        <w:tc>
          <w:tcPr>
            <w:tcW w:w="1247" w:type="dxa"/>
            <w:shd w:val="clear" w:color="auto" w:fill="C6EFCE"/>
            <w:noWrap/>
          </w:tcPr>
          <w:p w14:paraId="6AE0801E"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419FF91B"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117</w:t>
            </w:r>
          </w:p>
          <w:p w14:paraId="4E59A2C5"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FC64BB9" w14:textId="3124648A" w:rsidR="00BF3B04" w:rsidRPr="00DD6A04" w:rsidRDefault="00BF3B04" w:rsidP="00BF3B04">
            <w:pPr>
              <w:spacing w:before="0" w:after="0" w:line="27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1247" w:type="dxa"/>
            <w:shd w:val="clear" w:color="auto" w:fill="C6EFCE"/>
            <w:noWrap/>
          </w:tcPr>
          <w:p w14:paraId="5553ECCB" w14:textId="5C31D2E7"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FB019DD" w14:textId="7E74E0C6" w:rsidR="00BF3B04" w:rsidRPr="00DD6A04" w:rsidRDefault="00BF3B04" w:rsidP="00BF3B04">
            <w:pPr>
              <w:spacing w:before="0" w:after="0" w:line="276" w:lineRule="auto"/>
              <w:rPr>
                <w:rFonts w:eastAsia="Times New Roman"/>
                <w:noProof/>
                <w:color w:val="006100"/>
                <w:sz w:val="22"/>
              </w:rPr>
            </w:pPr>
            <w:r>
              <w:rPr>
                <w:noProof/>
                <w:color w:val="006100"/>
                <w:sz w:val="22"/>
              </w:rPr>
              <w:t>Dokončani raziskovalni in inovacijski projekti na področju krožnega gospodarstva</w:t>
            </w:r>
          </w:p>
        </w:tc>
      </w:tr>
      <w:tr w:rsidR="00BF3B04" w:rsidRPr="00DD6A04" w14:paraId="59CA9224" w14:textId="77777777">
        <w:trPr>
          <w:trHeight w:val="302"/>
        </w:trPr>
        <w:tc>
          <w:tcPr>
            <w:tcW w:w="1247" w:type="dxa"/>
            <w:shd w:val="clear" w:color="auto" w:fill="C6EFCE"/>
            <w:noWrap/>
          </w:tcPr>
          <w:p w14:paraId="64E00B9B"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022A26EF"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121</w:t>
            </w:r>
          </w:p>
          <w:p w14:paraId="46398E39"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911F54E" w14:textId="26244856" w:rsidR="00BF3B04" w:rsidRPr="00DD6A04" w:rsidRDefault="00BF3B04" w:rsidP="00BF3B04">
            <w:pPr>
              <w:spacing w:before="0" w:after="0" w:line="276" w:lineRule="auto"/>
              <w:rPr>
                <w:rFonts w:eastAsia="Times New Roman"/>
                <w:noProof/>
                <w:color w:val="006100"/>
                <w:sz w:val="22"/>
              </w:rPr>
            </w:pPr>
            <w:r>
              <w:rPr>
                <w:noProof/>
                <w:color w:val="006100"/>
                <w:sz w:val="22"/>
              </w:rPr>
              <w:t>D: Sofinanciranje investicij v RRI demonstracijske in pilotne projekte</w:t>
            </w:r>
          </w:p>
        </w:tc>
        <w:tc>
          <w:tcPr>
            <w:tcW w:w="1247" w:type="dxa"/>
            <w:shd w:val="clear" w:color="auto" w:fill="C6EFCE"/>
            <w:noWrap/>
          </w:tcPr>
          <w:p w14:paraId="30FC6796" w14:textId="58F7D6D9"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E1EAC73" w14:textId="36FA17E0" w:rsidR="00BF3B04" w:rsidRPr="00DD6A04" w:rsidRDefault="00BF3B04" w:rsidP="00BF3B04">
            <w:pPr>
              <w:spacing w:before="0" w:after="0" w:line="276" w:lineRule="auto"/>
              <w:rPr>
                <w:rFonts w:eastAsia="Times New Roman"/>
                <w:noProof/>
                <w:color w:val="006100"/>
                <w:sz w:val="22"/>
              </w:rPr>
            </w:pPr>
            <w:r>
              <w:rPr>
                <w:noProof/>
                <w:color w:val="006100"/>
                <w:sz w:val="22"/>
              </w:rPr>
              <w:t>Dokončani pilotni projekti RRI na področju krožnega gospodarstva</w:t>
            </w:r>
          </w:p>
        </w:tc>
      </w:tr>
      <w:tr w:rsidR="00BF3B04" w:rsidRPr="00DD6A04" w14:paraId="79CA450D" w14:textId="77777777">
        <w:trPr>
          <w:trHeight w:val="302"/>
        </w:trPr>
        <w:tc>
          <w:tcPr>
            <w:tcW w:w="1247" w:type="dxa"/>
            <w:shd w:val="clear" w:color="auto" w:fill="C6EFCE"/>
            <w:noWrap/>
          </w:tcPr>
          <w:p w14:paraId="29626083"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3E1D597B"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131</w:t>
            </w:r>
          </w:p>
          <w:p w14:paraId="7392E1D4"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4EE7BB2" w14:textId="06FEA000" w:rsidR="00BF3B04" w:rsidRPr="00DD6A04" w:rsidRDefault="00BF3B04" w:rsidP="00BF3B04">
            <w:pPr>
              <w:spacing w:before="0" w:after="0" w:line="276" w:lineRule="auto"/>
              <w:rPr>
                <w:rFonts w:eastAsia="Times New Roman"/>
                <w:noProof/>
                <w:color w:val="006100"/>
                <w:sz w:val="22"/>
              </w:rPr>
            </w:pPr>
            <w:r>
              <w:rPr>
                <w:noProof/>
                <w:color w:val="006100"/>
                <w:sz w:val="22"/>
              </w:rPr>
              <w:t>C: Podpora za dekarbonizacijo, produktivnost in konkurenčnost podjetij</w:t>
            </w:r>
          </w:p>
        </w:tc>
        <w:tc>
          <w:tcPr>
            <w:tcW w:w="1247" w:type="dxa"/>
            <w:shd w:val="clear" w:color="auto" w:fill="C6EFCE"/>
            <w:noWrap/>
          </w:tcPr>
          <w:p w14:paraId="2C0C5B45" w14:textId="714CCB15"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116265A" w14:textId="2A17CF7A"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Dokončani projekti v podporo regionalnemu razvoju </w:t>
            </w:r>
          </w:p>
        </w:tc>
      </w:tr>
      <w:tr w:rsidR="00BF3B04" w:rsidRPr="00DD6A04" w14:paraId="75BCF8CD" w14:textId="77777777">
        <w:trPr>
          <w:trHeight w:val="302"/>
        </w:trPr>
        <w:tc>
          <w:tcPr>
            <w:tcW w:w="1247" w:type="dxa"/>
            <w:shd w:val="clear" w:color="auto" w:fill="C6EFCE"/>
            <w:noWrap/>
          </w:tcPr>
          <w:p w14:paraId="6E7F560E"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26155604"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148</w:t>
            </w:r>
          </w:p>
          <w:p w14:paraId="5FC7F563"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51DC5F0" w14:textId="1B91A5E8" w:rsidR="00BF3B04" w:rsidRPr="00DD6A04" w:rsidRDefault="00BF3B04" w:rsidP="00BF3B04">
            <w:pPr>
              <w:spacing w:before="0" w:after="0" w:line="276" w:lineRule="auto"/>
              <w:rPr>
                <w:rFonts w:eastAsia="Times New Roman"/>
                <w:noProof/>
                <w:color w:val="006100"/>
                <w:sz w:val="22"/>
              </w:rPr>
            </w:pPr>
            <w:r>
              <w:rPr>
                <w:noProof/>
                <w:color w:val="006100"/>
                <w:sz w:val="22"/>
              </w:rPr>
              <w:t>A: Krepitev trajnostnega razvoja turizma</w:t>
            </w:r>
          </w:p>
        </w:tc>
        <w:tc>
          <w:tcPr>
            <w:tcW w:w="1247" w:type="dxa"/>
            <w:shd w:val="clear" w:color="auto" w:fill="C6EFCE"/>
            <w:noWrap/>
          </w:tcPr>
          <w:p w14:paraId="323F3C0A" w14:textId="3D966F93" w:rsidR="00BF3B04" w:rsidRPr="00DD6A04" w:rsidRDefault="00BF3B04" w:rsidP="00BF3B0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EEF19C9" w14:textId="4F434061"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Nadgrajeno spremljanje podatkov v Zeleni shemi slovenskega turizma je operativno </w:t>
            </w:r>
          </w:p>
        </w:tc>
      </w:tr>
      <w:tr w:rsidR="00BF3B04" w:rsidRPr="00DD6A04" w14:paraId="746D8301" w14:textId="77777777">
        <w:trPr>
          <w:trHeight w:val="302"/>
        </w:trPr>
        <w:tc>
          <w:tcPr>
            <w:tcW w:w="1247" w:type="dxa"/>
            <w:shd w:val="clear" w:color="auto" w:fill="C6EFCE"/>
            <w:noWrap/>
          </w:tcPr>
          <w:p w14:paraId="27FB59D8"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70B271A8"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153</w:t>
            </w:r>
          </w:p>
          <w:p w14:paraId="6DA1C6EF"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2599F67" w14:textId="08BF3119"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C: Trajnostni razvoj javne in skupne turistične infrastrukture in naravnih znamenitosti v turističnih destinacijah </w:t>
            </w:r>
          </w:p>
        </w:tc>
        <w:tc>
          <w:tcPr>
            <w:tcW w:w="1247" w:type="dxa"/>
            <w:shd w:val="clear" w:color="auto" w:fill="C6EFCE"/>
            <w:noWrap/>
          </w:tcPr>
          <w:p w14:paraId="734537DD" w14:textId="29CB3153"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17D0675" w14:textId="732FFB31"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Dokončanje naložbenih projektov v javno in skupno turistično infrastrukturo </w:t>
            </w:r>
          </w:p>
        </w:tc>
      </w:tr>
      <w:tr w:rsidR="00BF3B04" w:rsidRPr="00DD6A04" w14:paraId="3980B121" w14:textId="77777777">
        <w:trPr>
          <w:trHeight w:val="302"/>
        </w:trPr>
        <w:tc>
          <w:tcPr>
            <w:tcW w:w="1247" w:type="dxa"/>
            <w:shd w:val="clear" w:color="auto" w:fill="C6EFCE"/>
            <w:noWrap/>
          </w:tcPr>
          <w:p w14:paraId="12C46FEE"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1506AAF2"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156</w:t>
            </w:r>
          </w:p>
          <w:p w14:paraId="2847A8AA"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01E396E" w14:textId="3BD8C335" w:rsidR="00BF3B04" w:rsidRPr="00DD6A04" w:rsidRDefault="00BF3B04" w:rsidP="00BF3B04">
            <w:pPr>
              <w:spacing w:before="0" w:after="0" w:line="276" w:lineRule="auto"/>
              <w:rPr>
                <w:rFonts w:eastAsia="Times New Roman"/>
                <w:noProof/>
                <w:color w:val="006100"/>
                <w:sz w:val="22"/>
              </w:rPr>
            </w:pPr>
            <w:r>
              <w:rPr>
                <w:noProof/>
                <w:color w:val="006100"/>
                <w:sz w:val="22"/>
              </w:rPr>
              <w:t>A: Prenova vzgojno izobraževalnega sistema za zeleni in digitalni prehod</w:t>
            </w:r>
          </w:p>
        </w:tc>
        <w:tc>
          <w:tcPr>
            <w:tcW w:w="1247" w:type="dxa"/>
            <w:shd w:val="clear" w:color="auto" w:fill="C6EFCE"/>
            <w:noWrap/>
          </w:tcPr>
          <w:p w14:paraId="028E093B" w14:textId="05C59210"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1E04CEDD" w14:textId="07812012" w:rsidR="00BF3B04" w:rsidRPr="00DD6A04" w:rsidRDefault="00BF3B04" w:rsidP="00BF3B04">
            <w:pPr>
              <w:spacing w:before="0" w:after="0" w:line="276" w:lineRule="auto"/>
              <w:rPr>
                <w:rFonts w:eastAsia="Times New Roman"/>
                <w:noProof/>
                <w:color w:val="006100"/>
                <w:sz w:val="22"/>
              </w:rPr>
            </w:pPr>
            <w:r>
              <w:rPr>
                <w:noProof/>
                <w:color w:val="006100"/>
                <w:sz w:val="22"/>
              </w:rPr>
              <w:t>Posodobljeni učni načrti za vzgojo in varstvo predšolskih otrok ter osnovne in srednje šole</w:t>
            </w:r>
          </w:p>
        </w:tc>
      </w:tr>
      <w:tr w:rsidR="00BF3B04" w:rsidRPr="00DD6A04" w14:paraId="6B056A1E" w14:textId="77777777">
        <w:trPr>
          <w:trHeight w:val="302"/>
        </w:trPr>
        <w:tc>
          <w:tcPr>
            <w:tcW w:w="1247" w:type="dxa"/>
            <w:shd w:val="clear" w:color="auto" w:fill="C6EFCE"/>
            <w:noWrap/>
          </w:tcPr>
          <w:p w14:paraId="7FB8051D"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51A91AAD"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161</w:t>
            </w:r>
          </w:p>
          <w:p w14:paraId="19181C5A"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D04689C" w14:textId="5F71437A"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F: Pilotni projekti za reformo visokega šolstva za zelen in odporen prehod </w:t>
            </w:r>
          </w:p>
        </w:tc>
        <w:tc>
          <w:tcPr>
            <w:tcW w:w="1247" w:type="dxa"/>
            <w:shd w:val="clear" w:color="auto" w:fill="C6EFCE"/>
            <w:noWrap/>
          </w:tcPr>
          <w:p w14:paraId="3D2E0030" w14:textId="173676FD"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28CA1146" w14:textId="1F7F8F52" w:rsidR="00BF3B04" w:rsidRPr="00DD6A04" w:rsidRDefault="00BF3B04" w:rsidP="00BF3B04">
            <w:pPr>
              <w:spacing w:before="0" w:after="0" w:line="276" w:lineRule="auto"/>
              <w:rPr>
                <w:rFonts w:eastAsia="Times New Roman"/>
                <w:noProof/>
                <w:color w:val="006100"/>
                <w:sz w:val="22"/>
              </w:rPr>
            </w:pPr>
            <w:r>
              <w:rPr>
                <w:noProof/>
                <w:color w:val="006100"/>
                <w:sz w:val="22"/>
              </w:rPr>
              <w:t>Dokončani pilotni projekti za prenovo visokošolskega študijskega procesa</w:t>
            </w:r>
          </w:p>
        </w:tc>
      </w:tr>
      <w:tr w:rsidR="00BF3B04" w:rsidRPr="00DD6A04" w14:paraId="3A632ED0" w14:textId="77777777">
        <w:trPr>
          <w:trHeight w:val="302"/>
        </w:trPr>
        <w:tc>
          <w:tcPr>
            <w:tcW w:w="1247" w:type="dxa"/>
            <w:shd w:val="clear" w:color="auto" w:fill="C6EFCE"/>
            <w:noWrap/>
          </w:tcPr>
          <w:p w14:paraId="7BA9F43C"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420B8B85"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184</w:t>
            </w:r>
          </w:p>
          <w:p w14:paraId="49C4E9DF"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24CFC49" w14:textId="4FF4528B" w:rsidR="00BF3B04" w:rsidRPr="00DD6A04" w:rsidRDefault="00BF3B04" w:rsidP="00BF3B04">
            <w:pPr>
              <w:spacing w:before="0" w:after="0" w:line="276" w:lineRule="auto"/>
              <w:rPr>
                <w:rFonts w:eastAsia="Times New Roman"/>
                <w:noProof/>
                <w:color w:val="006100"/>
                <w:sz w:val="22"/>
              </w:rPr>
            </w:pPr>
            <w:r>
              <w:rPr>
                <w:noProof/>
                <w:color w:val="006100"/>
                <w:sz w:val="22"/>
              </w:rPr>
              <w:t>B: Krepitev kompetenc kadrov v zdravstvu za zagotavljanje kakovosti oskrbe</w:t>
            </w:r>
          </w:p>
        </w:tc>
        <w:tc>
          <w:tcPr>
            <w:tcW w:w="1247" w:type="dxa"/>
            <w:shd w:val="clear" w:color="auto" w:fill="C6EFCE"/>
            <w:noWrap/>
          </w:tcPr>
          <w:p w14:paraId="7E77420D" w14:textId="6B0F878B"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02DDC24" w14:textId="4DCFD2A9" w:rsidR="00BF3B04" w:rsidRPr="00DD6A04" w:rsidRDefault="00BF3B04" w:rsidP="00BF3B04">
            <w:pPr>
              <w:spacing w:before="0" w:after="0" w:line="276" w:lineRule="auto"/>
              <w:rPr>
                <w:rFonts w:eastAsia="Times New Roman"/>
                <w:noProof/>
                <w:color w:val="006100"/>
                <w:sz w:val="22"/>
              </w:rPr>
            </w:pPr>
            <w:r>
              <w:rPr>
                <w:noProof/>
                <w:color w:val="006100"/>
                <w:sz w:val="22"/>
              </w:rPr>
              <w:t>Dodatne medicinske sestre, usposobljene za bolnike s kroničnimi boleznimi</w:t>
            </w:r>
          </w:p>
        </w:tc>
      </w:tr>
      <w:tr w:rsidR="00BF3B04" w:rsidRPr="00DD6A04" w14:paraId="4A2EDBB3" w14:textId="77777777">
        <w:trPr>
          <w:trHeight w:val="302"/>
        </w:trPr>
        <w:tc>
          <w:tcPr>
            <w:tcW w:w="1247" w:type="dxa"/>
            <w:shd w:val="clear" w:color="auto" w:fill="C6EFCE"/>
            <w:noWrap/>
          </w:tcPr>
          <w:p w14:paraId="38D17E47"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57E63E50"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187</w:t>
            </w:r>
          </w:p>
          <w:p w14:paraId="0A07C452"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70340B3" w14:textId="36F158B5" w:rsidR="00BF3B04" w:rsidRPr="00DD6A04" w:rsidRDefault="00BF3B04" w:rsidP="00BF3B04">
            <w:pPr>
              <w:spacing w:before="0" w:after="0" w:line="276" w:lineRule="auto"/>
              <w:rPr>
                <w:rFonts w:eastAsia="Times New Roman"/>
                <w:noProof/>
                <w:color w:val="006100"/>
                <w:sz w:val="22"/>
              </w:rPr>
            </w:pPr>
            <w:r>
              <w:rPr>
                <w:noProof/>
                <w:color w:val="006100"/>
                <w:sz w:val="22"/>
              </w:rPr>
              <w:t>C: Digitalna preobrazba zdravstva</w:t>
            </w:r>
          </w:p>
        </w:tc>
        <w:tc>
          <w:tcPr>
            <w:tcW w:w="1247" w:type="dxa"/>
            <w:shd w:val="clear" w:color="auto" w:fill="C6EFCE"/>
            <w:noWrap/>
          </w:tcPr>
          <w:p w14:paraId="02D5F4BD" w14:textId="63E4E2D5" w:rsidR="00BF3B04" w:rsidRPr="00DD6A04" w:rsidRDefault="00BF3B04" w:rsidP="00BF3B04">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51AA4BD" w14:textId="5EDEDF5E" w:rsidR="00BF3B04" w:rsidRPr="00DD6A04" w:rsidRDefault="00BF3B04" w:rsidP="00BF3B04">
            <w:pPr>
              <w:spacing w:before="0" w:after="0" w:line="276" w:lineRule="auto"/>
              <w:rPr>
                <w:rFonts w:eastAsia="Times New Roman"/>
                <w:noProof/>
                <w:color w:val="006100"/>
                <w:sz w:val="22"/>
              </w:rPr>
            </w:pPr>
            <w:r>
              <w:rPr>
                <w:noProof/>
                <w:color w:val="006100"/>
                <w:sz w:val="22"/>
              </w:rPr>
              <w:t>Zdravstveni delavci, ki uporabljajo nacionalni sistem telemedicine</w:t>
            </w:r>
          </w:p>
        </w:tc>
      </w:tr>
      <w:tr w:rsidR="00BF3B04" w:rsidRPr="00DD6A04" w14:paraId="288AD633" w14:textId="77777777">
        <w:trPr>
          <w:trHeight w:val="302"/>
        </w:trPr>
        <w:tc>
          <w:tcPr>
            <w:tcW w:w="1247" w:type="dxa"/>
            <w:shd w:val="clear" w:color="auto" w:fill="C6EFCE"/>
            <w:noWrap/>
          </w:tcPr>
          <w:p w14:paraId="018088BE" w14:textId="77777777" w:rsidR="00BF3B04" w:rsidRPr="00DD6A04" w:rsidRDefault="00BF3B04" w:rsidP="00BF3B04">
            <w:pPr>
              <w:spacing w:before="0" w:after="0" w:line="276" w:lineRule="auto"/>
              <w:jc w:val="center"/>
              <w:rPr>
                <w:rFonts w:eastAsia="Times New Roman"/>
                <w:noProof/>
                <w:color w:val="006100"/>
                <w:sz w:val="22"/>
                <w:lang w:val="en-GB" w:eastAsia="en-GB"/>
              </w:rPr>
            </w:pPr>
          </w:p>
          <w:p w14:paraId="3B0A8271" w14:textId="77777777" w:rsidR="00BF3B04" w:rsidRPr="00DD6A04" w:rsidRDefault="00BF3B04" w:rsidP="00BF3B04">
            <w:pPr>
              <w:spacing w:before="0" w:after="0" w:line="276" w:lineRule="auto"/>
              <w:jc w:val="center"/>
              <w:rPr>
                <w:rFonts w:eastAsia="Times New Roman"/>
                <w:noProof/>
                <w:color w:val="006100"/>
                <w:sz w:val="22"/>
              </w:rPr>
            </w:pPr>
            <w:r>
              <w:rPr>
                <w:noProof/>
                <w:color w:val="006100"/>
                <w:sz w:val="22"/>
              </w:rPr>
              <w:t>200</w:t>
            </w:r>
          </w:p>
          <w:p w14:paraId="00CB8587"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ACE48AA" w14:textId="1D3B0358" w:rsidR="00BF3B04" w:rsidRPr="00DD6A04" w:rsidRDefault="00BF3B04" w:rsidP="00BF3B04">
            <w:pPr>
              <w:spacing w:before="0" w:after="0" w:line="276" w:lineRule="auto"/>
              <w:rPr>
                <w:rFonts w:eastAsia="Times New Roman"/>
                <w:noProof/>
                <w:color w:val="006100"/>
                <w:sz w:val="22"/>
              </w:rPr>
            </w:pPr>
            <w:r>
              <w:rPr>
                <w:noProof/>
                <w:color w:val="006100"/>
                <w:sz w:val="22"/>
              </w:rPr>
              <w:t xml:space="preserve">A: Vzpostavitev enotne sistemske ureditve na področju dolgotrajne oskrbe </w:t>
            </w:r>
          </w:p>
        </w:tc>
        <w:tc>
          <w:tcPr>
            <w:tcW w:w="1247" w:type="dxa"/>
            <w:shd w:val="clear" w:color="auto" w:fill="C6EFCE"/>
            <w:noWrap/>
          </w:tcPr>
          <w:p w14:paraId="76C65335" w14:textId="7BFC012F" w:rsidR="00BF3B04" w:rsidRPr="00DD6A04" w:rsidRDefault="00BF3B04" w:rsidP="00BF3B04">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1731F77" w14:textId="0DC66D73" w:rsidR="00BF3B04" w:rsidRPr="00DD6A04" w:rsidRDefault="00BF3B04" w:rsidP="00BF3B04">
            <w:pPr>
              <w:spacing w:before="0" w:after="0" w:line="276" w:lineRule="auto"/>
              <w:rPr>
                <w:rFonts w:eastAsia="Times New Roman"/>
                <w:noProof/>
                <w:color w:val="006100"/>
                <w:sz w:val="22"/>
              </w:rPr>
            </w:pPr>
            <w:r>
              <w:rPr>
                <w:noProof/>
                <w:color w:val="006100"/>
                <w:sz w:val="22"/>
              </w:rPr>
              <w:t>Celovita uporaba vseh pravic in storitev v okviru integriranega sistema dolgotrajne oskrbe</w:t>
            </w:r>
          </w:p>
        </w:tc>
      </w:tr>
      <w:tr w:rsidR="00BF3B04" w:rsidRPr="00DD6A04" w14:paraId="43AF583C" w14:textId="77777777">
        <w:trPr>
          <w:trHeight w:val="302"/>
        </w:trPr>
        <w:tc>
          <w:tcPr>
            <w:tcW w:w="1247" w:type="dxa"/>
            <w:shd w:val="clear" w:color="auto" w:fill="C6EFCE"/>
            <w:noWrap/>
            <w:vAlign w:val="bottom"/>
          </w:tcPr>
          <w:p w14:paraId="71481E51" w14:textId="77777777" w:rsidR="00BF3B04" w:rsidRPr="00DD6A04" w:rsidRDefault="00BF3B04" w:rsidP="00BF3B04">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76C007AD" w14:textId="77777777" w:rsidR="00BF3B04" w:rsidRPr="00DD6A04" w:rsidRDefault="00BF3B04" w:rsidP="00BF3B04">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3FF37A99" w14:textId="1061948B" w:rsidR="00BF3B04" w:rsidRPr="00DD6A04" w:rsidRDefault="00BF3B04" w:rsidP="00BF3B04">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7AB31812" w14:textId="49DDB52C" w:rsidR="00BF3B04" w:rsidRPr="00DD6A04" w:rsidRDefault="00BF3B04" w:rsidP="00BF3B04">
            <w:pPr>
              <w:spacing w:before="0" w:after="0" w:line="276" w:lineRule="auto"/>
              <w:rPr>
                <w:rFonts w:eastAsia="Times New Roman"/>
                <w:noProof/>
                <w:color w:val="006100"/>
                <w:sz w:val="22"/>
              </w:rPr>
            </w:pPr>
            <w:r>
              <w:rPr>
                <w:b/>
                <w:noProof/>
                <w:color w:val="006100"/>
                <w:sz w:val="22"/>
              </w:rPr>
              <w:t>234 247 610 EUR</w:t>
            </w:r>
          </w:p>
        </w:tc>
      </w:tr>
    </w:tbl>
    <w:p w14:paraId="4965CA05" w14:textId="77777777" w:rsidR="00CB0219" w:rsidRPr="00DD6A04" w:rsidRDefault="00CB0219" w:rsidP="00CB0219">
      <w:pPr>
        <w:pStyle w:val="NumPar1"/>
        <w:numPr>
          <w:ilvl w:val="0"/>
          <w:numId w:val="0"/>
        </w:numPr>
        <w:rPr>
          <w:noProof/>
          <w:lang w:val="en-GB"/>
        </w:rPr>
      </w:pPr>
    </w:p>
    <w:p w14:paraId="783A902B" w14:textId="77777777" w:rsidR="003C6015" w:rsidRPr="00DD6A04" w:rsidRDefault="003C6015" w:rsidP="00BD7FBD">
      <w:pPr>
        <w:numPr>
          <w:ilvl w:val="1"/>
          <w:numId w:val="19"/>
        </w:numPr>
        <w:spacing w:before="0" w:after="200" w:line="240" w:lineRule="auto"/>
        <w:jc w:val="both"/>
        <w:rPr>
          <w:b/>
          <w:noProof/>
        </w:rPr>
      </w:pPr>
      <w:r>
        <w:rPr>
          <w:noProof/>
        </w:rPr>
        <w:t>Deseti obrok (nepovratna podpora):</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6E71FF" w:rsidRPr="00DD6A04" w14:paraId="19B862CE" w14:textId="77777777" w:rsidTr="46F9D6A4">
        <w:trPr>
          <w:trHeight w:val="567"/>
          <w:tblHeader/>
        </w:trPr>
        <w:tc>
          <w:tcPr>
            <w:tcW w:w="1247" w:type="dxa"/>
            <w:vMerge w:val="restart"/>
            <w:shd w:val="clear" w:color="auto" w:fill="BDD7EE"/>
            <w:vAlign w:val="center"/>
            <w:hideMark/>
          </w:tcPr>
          <w:p w14:paraId="34221908" w14:textId="77777777" w:rsidR="006E71FF" w:rsidRPr="00DD6A04" w:rsidRDefault="006E71FF">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1B271E3A" w14:textId="77777777" w:rsidR="006E71FF" w:rsidRPr="00DD6A04" w:rsidRDefault="006E71FF">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46BF5423" w14:textId="77777777" w:rsidR="006E71FF" w:rsidRPr="00DD6A04" w:rsidRDefault="006E71FF">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350B9DFA" w14:textId="77777777" w:rsidR="006E71FF" w:rsidRPr="00DD6A04" w:rsidRDefault="006E71FF">
            <w:pPr>
              <w:spacing w:before="0" w:after="0" w:line="276" w:lineRule="auto"/>
              <w:jc w:val="center"/>
              <w:rPr>
                <w:rFonts w:eastAsia="Times New Roman"/>
                <w:b/>
                <w:noProof/>
                <w:sz w:val="22"/>
              </w:rPr>
            </w:pPr>
            <w:r>
              <w:rPr>
                <w:b/>
                <w:noProof/>
                <w:sz w:val="22"/>
              </w:rPr>
              <w:t>Ime</w:t>
            </w:r>
          </w:p>
        </w:tc>
      </w:tr>
      <w:tr w:rsidR="006E71FF" w:rsidRPr="00DD6A04" w14:paraId="6978F50C" w14:textId="77777777" w:rsidTr="46F9D6A4">
        <w:trPr>
          <w:trHeight w:val="309"/>
          <w:tblHeader/>
        </w:trPr>
        <w:tc>
          <w:tcPr>
            <w:tcW w:w="1247" w:type="dxa"/>
            <w:vMerge/>
            <w:vAlign w:val="center"/>
            <w:hideMark/>
          </w:tcPr>
          <w:p w14:paraId="51B32A4A" w14:textId="77777777" w:rsidR="006E71FF" w:rsidRPr="00DD6A04" w:rsidRDefault="006E71FF">
            <w:pPr>
              <w:spacing w:before="0" w:after="0" w:line="276" w:lineRule="auto"/>
              <w:jc w:val="center"/>
              <w:rPr>
                <w:rFonts w:eastAsia="Times New Roman"/>
                <w:b/>
                <w:noProof/>
                <w:sz w:val="22"/>
                <w:szCs w:val="24"/>
                <w:lang w:val="en-GB" w:eastAsia="en-GB"/>
              </w:rPr>
            </w:pPr>
          </w:p>
        </w:tc>
        <w:tc>
          <w:tcPr>
            <w:tcW w:w="3119" w:type="dxa"/>
            <w:vMerge/>
            <w:vAlign w:val="center"/>
            <w:hideMark/>
          </w:tcPr>
          <w:p w14:paraId="616A2E39" w14:textId="77777777" w:rsidR="006E71FF" w:rsidRPr="00DD6A04" w:rsidRDefault="006E71FF">
            <w:pPr>
              <w:spacing w:before="0" w:after="0" w:line="276" w:lineRule="auto"/>
              <w:rPr>
                <w:rFonts w:eastAsia="Times New Roman"/>
                <w:b/>
                <w:noProof/>
                <w:sz w:val="22"/>
                <w:szCs w:val="24"/>
                <w:lang w:val="en-GB" w:eastAsia="en-GB"/>
              </w:rPr>
            </w:pPr>
          </w:p>
        </w:tc>
        <w:tc>
          <w:tcPr>
            <w:tcW w:w="1247" w:type="dxa"/>
            <w:vMerge/>
            <w:vAlign w:val="center"/>
            <w:hideMark/>
          </w:tcPr>
          <w:p w14:paraId="417C3CA3" w14:textId="77777777" w:rsidR="006E71FF" w:rsidRPr="00DD6A04" w:rsidRDefault="006E71FF">
            <w:pPr>
              <w:spacing w:before="0" w:after="0" w:line="276" w:lineRule="auto"/>
              <w:rPr>
                <w:rFonts w:eastAsia="Times New Roman"/>
                <w:b/>
                <w:noProof/>
                <w:sz w:val="22"/>
                <w:szCs w:val="24"/>
                <w:lang w:val="en-GB" w:eastAsia="en-GB"/>
              </w:rPr>
            </w:pPr>
          </w:p>
        </w:tc>
        <w:tc>
          <w:tcPr>
            <w:tcW w:w="4139" w:type="dxa"/>
            <w:vMerge/>
            <w:vAlign w:val="center"/>
            <w:hideMark/>
          </w:tcPr>
          <w:p w14:paraId="562F23B0" w14:textId="77777777" w:rsidR="006E71FF" w:rsidRPr="00DD6A04" w:rsidRDefault="006E71FF">
            <w:pPr>
              <w:spacing w:before="0" w:after="0" w:line="276" w:lineRule="auto"/>
              <w:rPr>
                <w:rFonts w:eastAsia="Times New Roman"/>
                <w:b/>
                <w:noProof/>
                <w:sz w:val="22"/>
                <w:szCs w:val="24"/>
                <w:lang w:val="en-GB" w:eastAsia="en-GB"/>
              </w:rPr>
            </w:pPr>
          </w:p>
        </w:tc>
      </w:tr>
      <w:tr w:rsidR="00D0360E" w:rsidRPr="00DD6A04" w14:paraId="202BE6E8" w14:textId="77777777" w:rsidTr="46F9D6A4">
        <w:trPr>
          <w:trHeight w:val="302"/>
        </w:trPr>
        <w:tc>
          <w:tcPr>
            <w:tcW w:w="1247" w:type="dxa"/>
            <w:shd w:val="clear" w:color="auto" w:fill="C6EFCE"/>
            <w:noWrap/>
          </w:tcPr>
          <w:p w14:paraId="1B1462A9"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7819A73C"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7</w:t>
            </w:r>
          </w:p>
          <w:p w14:paraId="605DAC97"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4B317E4" w14:textId="0C7AA7C0" w:rsidR="00D0360E" w:rsidRPr="00DD6A04" w:rsidRDefault="00D0360E" w:rsidP="00D0360E">
            <w:pPr>
              <w:spacing w:before="0" w:after="0" w:line="276" w:lineRule="auto"/>
              <w:rPr>
                <w:rFonts w:eastAsia="Times New Roman"/>
                <w:noProof/>
                <w:color w:val="006100"/>
                <w:sz w:val="22"/>
              </w:rPr>
            </w:pPr>
            <w:r>
              <w:rPr>
                <w:noProof/>
                <w:color w:val="006100"/>
                <w:sz w:val="22"/>
              </w:rPr>
              <w:t>F: Krepitev distribucijskega omrežja električne energije (transformatorske postaje)</w:t>
            </w:r>
          </w:p>
        </w:tc>
        <w:tc>
          <w:tcPr>
            <w:tcW w:w="1247" w:type="dxa"/>
            <w:shd w:val="clear" w:color="auto" w:fill="C6EFCE"/>
            <w:noWrap/>
          </w:tcPr>
          <w:p w14:paraId="65A8430B" w14:textId="12084A04"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320E633" w14:textId="65689285"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Število novih operativnih elektroenergetskih transformatorskih postaj </w:t>
            </w:r>
          </w:p>
        </w:tc>
      </w:tr>
      <w:tr w:rsidR="00D0360E" w:rsidRPr="00DD6A04" w14:paraId="51E5F10E" w14:textId="77777777" w:rsidTr="46F9D6A4">
        <w:trPr>
          <w:trHeight w:val="302"/>
        </w:trPr>
        <w:tc>
          <w:tcPr>
            <w:tcW w:w="1247" w:type="dxa"/>
            <w:shd w:val="clear" w:color="auto" w:fill="C6EFCE"/>
            <w:noWrap/>
          </w:tcPr>
          <w:p w14:paraId="165925A5"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4F46047C" w14:textId="7505DAF8" w:rsidR="00D0360E" w:rsidRPr="00DD6A04" w:rsidRDefault="00D0360E" w:rsidP="00D0360E">
            <w:pPr>
              <w:spacing w:before="0" w:after="0" w:line="276" w:lineRule="auto"/>
              <w:jc w:val="center"/>
              <w:rPr>
                <w:rFonts w:eastAsia="Times New Roman"/>
                <w:noProof/>
                <w:color w:val="006100"/>
                <w:sz w:val="22"/>
              </w:rPr>
            </w:pPr>
            <w:r>
              <w:rPr>
                <w:noProof/>
                <w:color w:val="006100"/>
                <w:sz w:val="22"/>
              </w:rPr>
              <w:t>9</w:t>
            </w:r>
          </w:p>
        </w:tc>
        <w:tc>
          <w:tcPr>
            <w:tcW w:w="3119" w:type="dxa"/>
            <w:shd w:val="clear" w:color="auto" w:fill="C6EFCE"/>
            <w:noWrap/>
          </w:tcPr>
          <w:p w14:paraId="4C26EE59" w14:textId="6E3DC128" w:rsidR="00D0360E" w:rsidRPr="00DD6A04" w:rsidRDefault="003F2357" w:rsidP="00D0360E">
            <w:pPr>
              <w:spacing w:before="0" w:after="0" w:line="276" w:lineRule="auto"/>
              <w:rPr>
                <w:rFonts w:eastAsia="Times New Roman"/>
                <w:noProof/>
                <w:color w:val="006100"/>
                <w:sz w:val="22"/>
              </w:rPr>
            </w:pPr>
            <w:r>
              <w:rPr>
                <w:noProof/>
                <w:color w:val="006100"/>
                <w:sz w:val="22"/>
              </w:rPr>
              <w:t>G: Energetska učinkovitost v gospodarstvu</w:t>
            </w:r>
          </w:p>
        </w:tc>
        <w:tc>
          <w:tcPr>
            <w:tcW w:w="1247" w:type="dxa"/>
            <w:shd w:val="clear" w:color="auto" w:fill="C6EFCE"/>
            <w:noWrap/>
          </w:tcPr>
          <w:p w14:paraId="0C92BC5A" w14:textId="60981DF3"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450915F" w14:textId="7B986DD4" w:rsidR="00D0360E" w:rsidRPr="00DD6A04" w:rsidRDefault="00956ED9" w:rsidP="00D0360E">
            <w:pPr>
              <w:spacing w:before="0" w:after="0" w:line="276" w:lineRule="auto"/>
              <w:rPr>
                <w:rFonts w:eastAsia="Times New Roman"/>
                <w:noProof/>
                <w:color w:val="006100"/>
                <w:sz w:val="22"/>
              </w:rPr>
            </w:pPr>
            <w:r>
              <w:rPr>
                <w:noProof/>
                <w:color w:val="006100"/>
                <w:sz w:val="22"/>
              </w:rPr>
              <w:t>Število podjetij, ki so pridobila e-izkaznice o energetski učinkovitosti</w:t>
            </w:r>
          </w:p>
        </w:tc>
      </w:tr>
      <w:tr w:rsidR="00D0360E" w:rsidRPr="00DD6A04" w14:paraId="16002BC7" w14:textId="77777777" w:rsidTr="46F9D6A4">
        <w:trPr>
          <w:trHeight w:val="302"/>
        </w:trPr>
        <w:tc>
          <w:tcPr>
            <w:tcW w:w="1247" w:type="dxa"/>
            <w:shd w:val="clear" w:color="auto" w:fill="C6EFCE"/>
            <w:noWrap/>
          </w:tcPr>
          <w:p w14:paraId="30E68655"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16BC27F3"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25</w:t>
            </w:r>
          </w:p>
          <w:p w14:paraId="7D5D968D"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A6591B7" w14:textId="257DFBA0" w:rsidR="00D0360E" w:rsidRPr="00DD6A04" w:rsidRDefault="00D0360E" w:rsidP="00D0360E">
            <w:pPr>
              <w:spacing w:before="0" w:after="0" w:line="276" w:lineRule="auto"/>
              <w:rPr>
                <w:rFonts w:eastAsia="Times New Roman"/>
                <w:noProof/>
                <w:color w:val="006100"/>
                <w:sz w:val="22"/>
              </w:rPr>
            </w:pPr>
            <w:r>
              <w:rPr>
                <w:noProof/>
                <w:color w:val="006100"/>
                <w:sz w:val="22"/>
              </w:rPr>
              <w:t>B: Trajnostna prenova stavb</w:t>
            </w:r>
          </w:p>
        </w:tc>
        <w:tc>
          <w:tcPr>
            <w:tcW w:w="1247" w:type="dxa"/>
            <w:shd w:val="clear" w:color="auto" w:fill="C6EFCE"/>
            <w:noWrap/>
          </w:tcPr>
          <w:p w14:paraId="7593E1EF" w14:textId="25EF9179"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54F8077" w14:textId="632AFEEB" w:rsidR="00D0360E" w:rsidRPr="00DD6A04" w:rsidRDefault="00D0360E" w:rsidP="00D0360E">
            <w:pPr>
              <w:spacing w:before="0" w:after="0" w:line="276" w:lineRule="auto"/>
              <w:rPr>
                <w:rFonts w:eastAsia="Times New Roman"/>
                <w:noProof/>
                <w:color w:val="006100"/>
                <w:sz w:val="22"/>
              </w:rPr>
            </w:pPr>
            <w:r>
              <w:rPr>
                <w:noProof/>
                <w:color w:val="006100"/>
                <w:sz w:val="22"/>
              </w:rPr>
              <w:t>Dokončane energetske in trajnostne prenove stavb velikega upravnega in družbenega pomena</w:t>
            </w:r>
          </w:p>
        </w:tc>
      </w:tr>
      <w:tr w:rsidR="00D0360E" w:rsidRPr="00DD6A04" w14:paraId="72404642" w14:textId="77777777" w:rsidTr="46F9D6A4">
        <w:trPr>
          <w:trHeight w:val="302"/>
        </w:trPr>
        <w:tc>
          <w:tcPr>
            <w:tcW w:w="1247" w:type="dxa"/>
            <w:shd w:val="clear" w:color="auto" w:fill="C6EFCE"/>
            <w:noWrap/>
          </w:tcPr>
          <w:p w14:paraId="3B67DCC9"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1A8DE8D5"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34</w:t>
            </w:r>
          </w:p>
          <w:p w14:paraId="1CE21A15"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90F494F" w14:textId="51EB95D0"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F: Zmanjševanje poplavne ogroženosti ter zmanjševanje tveganja za druge podnebno pogojene nesreče </w:t>
            </w:r>
          </w:p>
        </w:tc>
        <w:tc>
          <w:tcPr>
            <w:tcW w:w="1247" w:type="dxa"/>
            <w:shd w:val="clear" w:color="auto" w:fill="C6EFCE"/>
            <w:noWrap/>
          </w:tcPr>
          <w:p w14:paraId="4A7C1F95" w14:textId="6E0D40DD"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16D486B3" w14:textId="3F38E9FE" w:rsidR="00D0360E" w:rsidRPr="00DD6A04" w:rsidRDefault="00D0360E" w:rsidP="00D0360E">
            <w:pPr>
              <w:spacing w:before="0" w:after="0" w:line="276" w:lineRule="auto"/>
              <w:rPr>
                <w:rFonts w:eastAsia="Times New Roman"/>
                <w:noProof/>
                <w:color w:val="006100"/>
                <w:sz w:val="22"/>
              </w:rPr>
            </w:pPr>
            <w:r>
              <w:rPr>
                <w:noProof/>
                <w:color w:val="006100"/>
                <w:sz w:val="22"/>
              </w:rPr>
              <w:t>Prebivalci, ki imajo koristi od projektov v zvezi s protipoplavno varnostjo</w:t>
            </w:r>
          </w:p>
        </w:tc>
      </w:tr>
      <w:tr w:rsidR="00D0360E" w:rsidRPr="00DD6A04" w14:paraId="44018D76" w14:textId="77777777" w:rsidTr="46F9D6A4">
        <w:trPr>
          <w:trHeight w:val="302"/>
        </w:trPr>
        <w:tc>
          <w:tcPr>
            <w:tcW w:w="1247" w:type="dxa"/>
            <w:shd w:val="clear" w:color="auto" w:fill="C6EFCE"/>
            <w:noWrap/>
          </w:tcPr>
          <w:p w14:paraId="05758440"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085F4FF7"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41</w:t>
            </w:r>
          </w:p>
          <w:p w14:paraId="26D44BE3"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9700B52" w14:textId="3BF541C4" w:rsidR="00D0360E" w:rsidRPr="00DD6A04" w:rsidRDefault="00D0360E" w:rsidP="00D0360E">
            <w:pPr>
              <w:spacing w:before="0" w:after="0" w:line="276" w:lineRule="auto"/>
              <w:rPr>
                <w:rFonts w:eastAsia="Times New Roman"/>
                <w:noProof/>
                <w:color w:val="006100"/>
                <w:sz w:val="22"/>
              </w:rPr>
            </w:pPr>
            <w:r>
              <w:rPr>
                <w:noProof/>
                <w:color w:val="006100"/>
                <w:sz w:val="22"/>
              </w:rPr>
              <w:t>H: Projekti odvajanja in čiščenja komunalne odpadne vode</w:t>
            </w:r>
          </w:p>
        </w:tc>
        <w:tc>
          <w:tcPr>
            <w:tcW w:w="1247" w:type="dxa"/>
            <w:shd w:val="clear" w:color="auto" w:fill="C6EFCE"/>
            <w:noWrap/>
          </w:tcPr>
          <w:p w14:paraId="1A6F2A0C" w14:textId="6114D96B"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5ACDF5C" w14:textId="435DEBEF"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Število dokončanih projektov odvajanja in čiščenja komunalne odpadne vode </w:t>
            </w:r>
          </w:p>
        </w:tc>
      </w:tr>
      <w:tr w:rsidR="00D0360E" w:rsidRPr="00DD6A04" w14:paraId="714D92FF" w14:textId="77777777" w:rsidTr="46F9D6A4">
        <w:trPr>
          <w:trHeight w:val="302"/>
        </w:trPr>
        <w:tc>
          <w:tcPr>
            <w:tcW w:w="1247" w:type="dxa"/>
            <w:shd w:val="clear" w:color="auto" w:fill="C6EFCE"/>
            <w:noWrap/>
          </w:tcPr>
          <w:p w14:paraId="0531150E"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47017CC6"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45</w:t>
            </w:r>
          </w:p>
          <w:p w14:paraId="0A9CB4D2"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8D1A4AC" w14:textId="241CDABE" w:rsidR="00D0360E" w:rsidRPr="00DD6A04" w:rsidRDefault="00D0360E" w:rsidP="00D0360E">
            <w:pPr>
              <w:spacing w:before="0" w:after="0" w:line="276" w:lineRule="auto"/>
              <w:rPr>
                <w:rFonts w:eastAsia="Times New Roman"/>
                <w:noProof/>
                <w:color w:val="006100"/>
                <w:sz w:val="22"/>
              </w:rPr>
            </w:pPr>
            <w:r>
              <w:rPr>
                <w:noProof/>
                <w:color w:val="006100"/>
                <w:sz w:val="22"/>
              </w:rPr>
              <w:t>I: Projekti oskrbe in varčevanja s pitno vodo</w:t>
            </w:r>
          </w:p>
        </w:tc>
        <w:tc>
          <w:tcPr>
            <w:tcW w:w="1247" w:type="dxa"/>
            <w:shd w:val="clear" w:color="auto" w:fill="C6EFCE"/>
            <w:noWrap/>
          </w:tcPr>
          <w:p w14:paraId="5DA71FCB" w14:textId="671E792A"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F7B8942" w14:textId="094031AB"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Število dokončanih projektov oskrbe s pitno vodo </w:t>
            </w:r>
          </w:p>
        </w:tc>
      </w:tr>
      <w:tr w:rsidR="00D0360E" w:rsidRPr="00DD6A04" w14:paraId="13AA23CF" w14:textId="77777777" w:rsidTr="46F9D6A4">
        <w:trPr>
          <w:trHeight w:val="302"/>
        </w:trPr>
        <w:tc>
          <w:tcPr>
            <w:tcW w:w="1247" w:type="dxa"/>
            <w:shd w:val="clear" w:color="auto" w:fill="C6EFCE"/>
            <w:noWrap/>
          </w:tcPr>
          <w:p w14:paraId="05074621"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031A1AD0"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76</w:t>
            </w:r>
          </w:p>
          <w:p w14:paraId="61CFBA2A"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925BBE4" w14:textId="156A3999" w:rsidR="00D0360E" w:rsidRPr="00DD6A04" w:rsidRDefault="00D0360E" w:rsidP="00D0360E">
            <w:pPr>
              <w:spacing w:before="0" w:after="0" w:line="276" w:lineRule="auto"/>
              <w:rPr>
                <w:rFonts w:eastAsia="Times New Roman"/>
                <w:noProof/>
                <w:color w:val="006100"/>
                <w:sz w:val="22"/>
              </w:rPr>
            </w:pPr>
            <w:r>
              <w:rPr>
                <w:noProof/>
                <w:color w:val="006100"/>
                <w:sz w:val="22"/>
              </w:rPr>
              <w:t>C: Večja predelava lesa za hitrejši prehod v podnebno nevtralno družbo</w:t>
            </w:r>
          </w:p>
        </w:tc>
        <w:tc>
          <w:tcPr>
            <w:tcW w:w="1247" w:type="dxa"/>
            <w:shd w:val="clear" w:color="auto" w:fill="C6EFCE"/>
            <w:noWrap/>
          </w:tcPr>
          <w:p w14:paraId="37A6037A" w14:textId="05D7FE50"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6E03DA7" w14:textId="2C785C41"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Dokončani projekti za podporo okolju prijazni predelavi lesa </w:t>
            </w:r>
          </w:p>
        </w:tc>
      </w:tr>
      <w:tr w:rsidR="00D0360E" w:rsidRPr="00DD6A04" w14:paraId="3C4EE15E" w14:textId="77777777" w:rsidTr="46F9D6A4">
        <w:trPr>
          <w:trHeight w:val="302"/>
        </w:trPr>
        <w:tc>
          <w:tcPr>
            <w:tcW w:w="1247" w:type="dxa"/>
            <w:shd w:val="clear" w:color="auto" w:fill="C6EFCE"/>
            <w:noWrap/>
          </w:tcPr>
          <w:p w14:paraId="356E9EBB"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012C84A9" w14:textId="6FCC33CA" w:rsidR="00D0360E" w:rsidRPr="00DD6A04" w:rsidRDefault="00D0360E" w:rsidP="00D0360E">
            <w:pPr>
              <w:spacing w:before="0" w:after="0" w:line="276" w:lineRule="auto"/>
              <w:jc w:val="center"/>
              <w:rPr>
                <w:rFonts w:eastAsia="Times New Roman"/>
                <w:noProof/>
                <w:color w:val="006100"/>
                <w:sz w:val="22"/>
              </w:rPr>
            </w:pPr>
            <w:r>
              <w:rPr>
                <w:noProof/>
                <w:color w:val="006100"/>
                <w:sz w:val="22"/>
              </w:rPr>
              <w:t>84</w:t>
            </w:r>
          </w:p>
        </w:tc>
        <w:tc>
          <w:tcPr>
            <w:tcW w:w="3119" w:type="dxa"/>
            <w:shd w:val="clear" w:color="auto" w:fill="C6EFCE"/>
            <w:noWrap/>
          </w:tcPr>
          <w:p w14:paraId="23E9ED4F" w14:textId="77713DB9" w:rsidR="00D0360E" w:rsidRPr="00DD6A04" w:rsidRDefault="00D0360E" w:rsidP="00D0360E">
            <w:pPr>
              <w:spacing w:before="0" w:after="0" w:line="276" w:lineRule="auto"/>
              <w:rPr>
                <w:rFonts w:eastAsia="Times New Roman"/>
                <w:noProof/>
                <w:color w:val="006100"/>
                <w:sz w:val="22"/>
              </w:rPr>
            </w:pPr>
            <w:r>
              <w:rPr>
                <w:noProof/>
                <w:color w:val="006100"/>
                <w:sz w:val="22"/>
              </w:rPr>
              <w:t>D: Čezmejni in večdržavni projekti – Skupna evropska infrastruktura podatkov in storitve</w:t>
            </w:r>
          </w:p>
        </w:tc>
        <w:tc>
          <w:tcPr>
            <w:tcW w:w="1247" w:type="dxa"/>
            <w:shd w:val="clear" w:color="auto" w:fill="C6EFCE"/>
            <w:noWrap/>
          </w:tcPr>
          <w:p w14:paraId="6041C617" w14:textId="67AEDAB7"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6595641" w14:textId="1DAF1609" w:rsidR="00D0360E" w:rsidRPr="00DD6A04" w:rsidRDefault="00D0360E" w:rsidP="00D0360E">
            <w:pPr>
              <w:spacing w:before="0" w:after="0" w:line="276" w:lineRule="auto"/>
              <w:rPr>
                <w:rFonts w:eastAsia="Times New Roman"/>
                <w:noProof/>
                <w:color w:val="006100"/>
                <w:sz w:val="22"/>
              </w:rPr>
            </w:pPr>
            <w:r>
              <w:rPr>
                <w:noProof/>
                <w:color w:val="006100"/>
                <w:sz w:val="22"/>
              </w:rPr>
              <w:t>Rešitve za obdelavo podatkov, razvite in integrirane v pilotni fazi</w:t>
            </w:r>
          </w:p>
        </w:tc>
      </w:tr>
      <w:tr w:rsidR="00D0360E" w:rsidRPr="00DD6A04" w14:paraId="17744F86" w14:textId="77777777" w:rsidTr="46F9D6A4">
        <w:trPr>
          <w:trHeight w:val="302"/>
        </w:trPr>
        <w:tc>
          <w:tcPr>
            <w:tcW w:w="1247" w:type="dxa"/>
            <w:shd w:val="clear" w:color="auto" w:fill="C6EFCE"/>
            <w:noWrap/>
          </w:tcPr>
          <w:p w14:paraId="008B7585"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012823EC"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95</w:t>
            </w:r>
          </w:p>
          <w:p w14:paraId="3928A040"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6988D91" w14:textId="429CFD1F" w:rsidR="00D0360E" w:rsidRPr="00DD6A04" w:rsidRDefault="00D0360E" w:rsidP="00D0360E">
            <w:pPr>
              <w:spacing w:before="0" w:after="0" w:line="276" w:lineRule="auto"/>
              <w:rPr>
                <w:rFonts w:eastAsia="Times New Roman"/>
                <w:noProof/>
                <w:color w:val="006100"/>
                <w:sz w:val="22"/>
              </w:rPr>
            </w:pPr>
            <w:r>
              <w:rPr>
                <w:noProof/>
                <w:color w:val="006100"/>
                <w:sz w:val="22"/>
              </w:rPr>
              <w:t>E: Zagotavljanje kibernetske varnosti</w:t>
            </w:r>
          </w:p>
        </w:tc>
        <w:tc>
          <w:tcPr>
            <w:tcW w:w="1247" w:type="dxa"/>
            <w:shd w:val="clear" w:color="auto" w:fill="C6EFCE"/>
            <w:noWrap/>
          </w:tcPr>
          <w:p w14:paraId="057BD71C" w14:textId="7E2F57B0" w:rsidR="00D0360E" w:rsidRPr="00DD6A04" w:rsidRDefault="00D0360E" w:rsidP="00D0360E">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AF80211" w14:textId="3C910DA8" w:rsidR="00D0360E" w:rsidRPr="00DD6A04" w:rsidRDefault="00D0360E" w:rsidP="00D0360E">
            <w:pPr>
              <w:spacing w:before="0" w:after="0" w:line="276" w:lineRule="auto"/>
              <w:rPr>
                <w:rFonts w:eastAsia="Times New Roman"/>
                <w:noProof/>
                <w:color w:val="006100"/>
                <w:sz w:val="22"/>
              </w:rPr>
            </w:pPr>
            <w:r>
              <w:rPr>
                <w:noProof/>
                <w:color w:val="006100"/>
                <w:sz w:val="22"/>
              </w:rPr>
              <w:t>Večja zmogljivost javne uprave za odzivanje na kibernetske incidente</w:t>
            </w:r>
          </w:p>
        </w:tc>
      </w:tr>
      <w:tr w:rsidR="00D0360E" w:rsidRPr="00DD6A04" w14:paraId="75FB12C2" w14:textId="77777777" w:rsidTr="46F9D6A4">
        <w:trPr>
          <w:trHeight w:val="302"/>
        </w:trPr>
        <w:tc>
          <w:tcPr>
            <w:tcW w:w="1247" w:type="dxa"/>
            <w:shd w:val="clear" w:color="auto" w:fill="C6EFCE"/>
            <w:noWrap/>
          </w:tcPr>
          <w:p w14:paraId="23C5C9C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75DA0E9C"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96</w:t>
            </w:r>
          </w:p>
          <w:p w14:paraId="641B7935"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D05C292" w14:textId="53168DCB" w:rsidR="00D0360E" w:rsidRPr="00DD6A04" w:rsidRDefault="00D0360E" w:rsidP="00D0360E">
            <w:pPr>
              <w:spacing w:before="0" w:after="0" w:line="276" w:lineRule="auto"/>
              <w:rPr>
                <w:rFonts w:eastAsia="Times New Roman"/>
                <w:noProof/>
                <w:color w:val="006100"/>
                <w:sz w:val="22"/>
              </w:rPr>
            </w:pPr>
            <w:r>
              <w:rPr>
                <w:noProof/>
                <w:color w:val="006100"/>
                <w:sz w:val="22"/>
              </w:rPr>
              <w:t>G: Modernizacija digitalnega okolja javne uprave</w:t>
            </w:r>
          </w:p>
        </w:tc>
        <w:tc>
          <w:tcPr>
            <w:tcW w:w="1247" w:type="dxa"/>
            <w:shd w:val="clear" w:color="auto" w:fill="C6EFCE"/>
            <w:noWrap/>
          </w:tcPr>
          <w:p w14:paraId="31060620" w14:textId="32E2599D" w:rsidR="00D0360E" w:rsidRPr="00DD6A04" w:rsidRDefault="00D0360E" w:rsidP="00D0360E">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F25BE1C" w14:textId="552617A1"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Vzpostavitev nacionalnega omrežja SI-EuroQCI </w:t>
            </w:r>
          </w:p>
        </w:tc>
      </w:tr>
      <w:tr w:rsidR="00D0360E" w:rsidRPr="00DD6A04" w14:paraId="4D0E72D9" w14:textId="77777777" w:rsidTr="46F9D6A4">
        <w:trPr>
          <w:trHeight w:val="302"/>
        </w:trPr>
        <w:tc>
          <w:tcPr>
            <w:tcW w:w="1247" w:type="dxa"/>
            <w:shd w:val="clear" w:color="auto" w:fill="C6EFCE"/>
            <w:noWrap/>
          </w:tcPr>
          <w:p w14:paraId="31656F41"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1B69DC71"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98</w:t>
            </w:r>
          </w:p>
          <w:p w14:paraId="3C0B8D78"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23F0B23" w14:textId="3131EC66" w:rsidR="00D0360E" w:rsidRPr="00DD6A04" w:rsidRDefault="00D0360E" w:rsidP="00D0360E">
            <w:pPr>
              <w:spacing w:before="0" w:after="0" w:line="276" w:lineRule="auto"/>
              <w:rPr>
                <w:rFonts w:eastAsia="Times New Roman"/>
                <w:noProof/>
                <w:color w:val="006100"/>
                <w:sz w:val="22"/>
              </w:rPr>
            </w:pPr>
            <w:r>
              <w:rPr>
                <w:noProof/>
                <w:color w:val="006100"/>
                <w:sz w:val="22"/>
              </w:rPr>
              <w:t>G: Modernizacija digitalnega okolja javne uprave</w:t>
            </w:r>
          </w:p>
        </w:tc>
        <w:tc>
          <w:tcPr>
            <w:tcW w:w="1247" w:type="dxa"/>
            <w:shd w:val="clear" w:color="auto" w:fill="C6EFCE"/>
            <w:noWrap/>
          </w:tcPr>
          <w:p w14:paraId="679B0FAF" w14:textId="30241166"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2B5A1D6" w14:textId="38631971" w:rsidR="00D0360E" w:rsidRPr="00DD6A04" w:rsidRDefault="091D1C14" w:rsidP="46F9D6A4">
            <w:pPr>
              <w:spacing w:before="0" w:after="0" w:line="276" w:lineRule="auto"/>
              <w:rPr>
                <w:rFonts w:eastAsia="Times New Roman"/>
                <w:noProof/>
                <w:color w:val="006100"/>
                <w:sz w:val="22"/>
              </w:rPr>
            </w:pPr>
            <w:r>
              <w:rPr>
                <w:noProof/>
                <w:color w:val="006100"/>
                <w:sz w:val="22"/>
              </w:rPr>
              <w:t>Število udeležb javnih uslužbencev, ki so zaključili usposabljanje na področju digitalnih znanj in spretnosti</w:t>
            </w:r>
          </w:p>
        </w:tc>
      </w:tr>
      <w:tr w:rsidR="00D0360E" w:rsidRPr="00DD6A04" w14:paraId="7182E0FF" w14:textId="77777777" w:rsidTr="46F9D6A4">
        <w:trPr>
          <w:trHeight w:val="302"/>
        </w:trPr>
        <w:tc>
          <w:tcPr>
            <w:tcW w:w="1247" w:type="dxa"/>
            <w:shd w:val="clear" w:color="auto" w:fill="C6EFCE"/>
            <w:noWrap/>
          </w:tcPr>
          <w:p w14:paraId="4286E47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4BF6FAED"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99</w:t>
            </w:r>
          </w:p>
          <w:p w14:paraId="3E58BC15"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D3455E1" w14:textId="29972CAC" w:rsidR="00D0360E" w:rsidRPr="00DD6A04" w:rsidRDefault="00D0360E" w:rsidP="00D0360E">
            <w:pPr>
              <w:spacing w:before="0" w:after="0" w:line="276" w:lineRule="auto"/>
              <w:rPr>
                <w:rFonts w:eastAsia="Times New Roman"/>
                <w:noProof/>
                <w:color w:val="006100"/>
                <w:sz w:val="22"/>
              </w:rPr>
            </w:pPr>
            <w:r>
              <w:rPr>
                <w:noProof/>
                <w:color w:val="006100"/>
                <w:sz w:val="22"/>
              </w:rPr>
              <w:t>H: Gigabitna infrastruktura</w:t>
            </w:r>
          </w:p>
        </w:tc>
        <w:tc>
          <w:tcPr>
            <w:tcW w:w="1247" w:type="dxa"/>
            <w:shd w:val="clear" w:color="auto" w:fill="C6EFCE"/>
            <w:noWrap/>
          </w:tcPr>
          <w:p w14:paraId="0BCF9A4B" w14:textId="4AC9F0ED"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65EE4F8" w14:textId="0B8F9C5C"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Dodatna gospodinjstva s širokopasovnim dostopom </w:t>
            </w:r>
          </w:p>
        </w:tc>
      </w:tr>
      <w:tr w:rsidR="00D0360E" w:rsidRPr="00DD6A04" w14:paraId="392B10E4" w14:textId="77777777" w:rsidTr="46F9D6A4">
        <w:trPr>
          <w:trHeight w:val="302"/>
        </w:trPr>
        <w:tc>
          <w:tcPr>
            <w:tcW w:w="1247" w:type="dxa"/>
            <w:shd w:val="clear" w:color="auto" w:fill="C6EFCE"/>
            <w:noWrap/>
            <w:vAlign w:val="center"/>
          </w:tcPr>
          <w:p w14:paraId="44FE8DD9" w14:textId="5F325C1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104</w:t>
            </w:r>
          </w:p>
        </w:tc>
        <w:tc>
          <w:tcPr>
            <w:tcW w:w="3119" w:type="dxa"/>
            <w:shd w:val="clear" w:color="auto" w:fill="C6EFCE"/>
            <w:noWrap/>
          </w:tcPr>
          <w:p w14:paraId="7494975E" w14:textId="6BCF670F" w:rsidR="00D0360E" w:rsidRPr="00DD6A04" w:rsidRDefault="00D0360E" w:rsidP="00D0360E">
            <w:pPr>
              <w:spacing w:before="0" w:after="0" w:line="276" w:lineRule="auto"/>
              <w:rPr>
                <w:rFonts w:eastAsia="Times New Roman"/>
                <w:noProof/>
                <w:color w:val="006100"/>
                <w:sz w:val="22"/>
              </w:rPr>
            </w:pPr>
            <w:r>
              <w:rPr>
                <w:noProof/>
                <w:color w:val="006100"/>
                <w:sz w:val="22"/>
              </w:rPr>
              <w:t>L: Digitalni prehod na področju kmetijstva, prehrane in gozdarstva</w:t>
            </w:r>
          </w:p>
        </w:tc>
        <w:tc>
          <w:tcPr>
            <w:tcW w:w="1247" w:type="dxa"/>
            <w:shd w:val="clear" w:color="auto" w:fill="C6EFCE"/>
            <w:noWrap/>
          </w:tcPr>
          <w:p w14:paraId="037FF3AD" w14:textId="6381B99A"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EB3F782" w14:textId="3B9B7642" w:rsidR="00D0360E" w:rsidRPr="00DD6A04" w:rsidRDefault="00D0360E" w:rsidP="00D0360E">
            <w:pPr>
              <w:spacing w:before="0" w:after="0" w:line="276" w:lineRule="auto"/>
              <w:rPr>
                <w:rFonts w:eastAsia="Times New Roman"/>
                <w:noProof/>
                <w:color w:val="006100"/>
                <w:sz w:val="22"/>
              </w:rPr>
            </w:pPr>
            <w:r>
              <w:rPr>
                <w:noProof/>
                <w:color w:val="006100"/>
                <w:sz w:val="22"/>
              </w:rPr>
              <w:t>Nove operativne e-storitve na področju kmetijstva, prehrane in gozdarstva</w:t>
            </w:r>
          </w:p>
        </w:tc>
      </w:tr>
      <w:tr w:rsidR="00D0360E" w:rsidRPr="00DD6A04" w14:paraId="42F930B7" w14:textId="77777777" w:rsidTr="46F9D6A4">
        <w:trPr>
          <w:trHeight w:val="302"/>
        </w:trPr>
        <w:tc>
          <w:tcPr>
            <w:tcW w:w="1247" w:type="dxa"/>
            <w:shd w:val="clear" w:color="auto" w:fill="C6EFCE"/>
            <w:noWrap/>
          </w:tcPr>
          <w:p w14:paraId="56149C6B"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6FC18890"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105</w:t>
            </w:r>
          </w:p>
          <w:p w14:paraId="4433CC6D"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2364406" w14:textId="21BA5B00" w:rsidR="00D0360E" w:rsidRPr="00DD6A04" w:rsidRDefault="00D0360E" w:rsidP="00D0360E">
            <w:pPr>
              <w:spacing w:before="0" w:after="0" w:line="276" w:lineRule="auto"/>
              <w:rPr>
                <w:rFonts w:eastAsia="Times New Roman"/>
                <w:noProof/>
                <w:color w:val="006100"/>
                <w:sz w:val="22"/>
              </w:rPr>
            </w:pPr>
            <w:r>
              <w:rPr>
                <w:noProof/>
                <w:color w:val="006100"/>
                <w:sz w:val="22"/>
              </w:rPr>
              <w:t>N: Digitalizacija pravosodja</w:t>
            </w:r>
          </w:p>
        </w:tc>
        <w:tc>
          <w:tcPr>
            <w:tcW w:w="1247" w:type="dxa"/>
            <w:shd w:val="clear" w:color="auto" w:fill="C6EFCE"/>
            <w:noWrap/>
          </w:tcPr>
          <w:p w14:paraId="46DC462A" w14:textId="6002EEE5"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B7C84A4" w14:textId="1CE29B8F" w:rsidR="00D0360E" w:rsidRPr="00DD6A04" w:rsidRDefault="00D0360E" w:rsidP="00D0360E">
            <w:pPr>
              <w:spacing w:before="0" w:after="0" w:line="276" w:lineRule="auto"/>
              <w:rPr>
                <w:rFonts w:eastAsia="Times New Roman"/>
                <w:noProof/>
                <w:color w:val="006100"/>
                <w:sz w:val="22"/>
              </w:rPr>
            </w:pPr>
            <w:r>
              <w:rPr>
                <w:noProof/>
                <w:color w:val="006100"/>
                <w:sz w:val="22"/>
              </w:rPr>
              <w:t>Novi ali nadgrajeni informacijski sistemi, ki jih uporabljajo pravosodne institucije</w:t>
            </w:r>
          </w:p>
        </w:tc>
      </w:tr>
      <w:tr w:rsidR="00D0360E" w:rsidRPr="00DD6A04" w14:paraId="7E2041C4" w14:textId="77777777" w:rsidTr="46F9D6A4">
        <w:trPr>
          <w:trHeight w:val="302"/>
        </w:trPr>
        <w:tc>
          <w:tcPr>
            <w:tcW w:w="1247" w:type="dxa"/>
            <w:shd w:val="clear" w:color="auto" w:fill="C6EFCE"/>
            <w:noWrap/>
          </w:tcPr>
          <w:p w14:paraId="3C76800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2919BC5F"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109</w:t>
            </w:r>
          </w:p>
          <w:p w14:paraId="6CCEAB9A"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F9A2BF4" w14:textId="2D6870F7" w:rsidR="00D0360E" w:rsidRPr="00DD6A04" w:rsidRDefault="00D0360E" w:rsidP="00D0360E">
            <w:pPr>
              <w:spacing w:before="0" w:after="0" w:line="276" w:lineRule="auto"/>
              <w:rPr>
                <w:rFonts w:eastAsia="Times New Roman"/>
                <w:noProof/>
                <w:color w:val="006100"/>
                <w:sz w:val="22"/>
              </w:rPr>
            </w:pPr>
            <w:r>
              <w:rPr>
                <w:noProof/>
                <w:color w:val="006100"/>
                <w:sz w:val="22"/>
              </w:rPr>
              <w:t>M: Digitalizacija na področju kulture</w:t>
            </w:r>
          </w:p>
        </w:tc>
        <w:tc>
          <w:tcPr>
            <w:tcW w:w="1247" w:type="dxa"/>
            <w:shd w:val="clear" w:color="auto" w:fill="C6EFCE"/>
            <w:noWrap/>
          </w:tcPr>
          <w:p w14:paraId="689516F7" w14:textId="3BBE7275"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A9EEE14" w14:textId="06BCFD83" w:rsidR="00D0360E" w:rsidRPr="00DD6A04" w:rsidRDefault="00D0360E" w:rsidP="00D0360E">
            <w:pPr>
              <w:spacing w:before="0" w:after="0" w:line="276" w:lineRule="auto"/>
              <w:rPr>
                <w:rFonts w:eastAsia="Times New Roman"/>
                <w:noProof/>
                <w:color w:val="006100"/>
                <w:sz w:val="22"/>
              </w:rPr>
            </w:pPr>
            <w:r>
              <w:rPr>
                <w:noProof/>
                <w:color w:val="006100"/>
                <w:sz w:val="22"/>
              </w:rPr>
              <w:t>Kulturne ustanove z operativnimi dinamičnimi e-storitvami</w:t>
            </w:r>
          </w:p>
        </w:tc>
      </w:tr>
      <w:tr w:rsidR="00D0360E" w:rsidRPr="00DD6A04" w14:paraId="239C7FA8" w14:textId="77777777" w:rsidTr="46F9D6A4">
        <w:trPr>
          <w:trHeight w:val="302"/>
        </w:trPr>
        <w:tc>
          <w:tcPr>
            <w:tcW w:w="1247" w:type="dxa"/>
            <w:shd w:val="clear" w:color="auto" w:fill="C6EFCE"/>
            <w:noWrap/>
          </w:tcPr>
          <w:p w14:paraId="1B56387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55C04D8C"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115</w:t>
            </w:r>
          </w:p>
          <w:p w14:paraId="4D6BCF6C"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3687E780"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6C8F78A" w14:textId="1636B8E8" w:rsidR="00D0360E" w:rsidRPr="00DD6A04" w:rsidRDefault="00D0360E" w:rsidP="00D0360E">
            <w:pPr>
              <w:spacing w:before="0" w:after="0" w:line="27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1247" w:type="dxa"/>
            <w:shd w:val="clear" w:color="auto" w:fill="C6EFCE"/>
            <w:noWrap/>
          </w:tcPr>
          <w:p w14:paraId="36CD1B09" w14:textId="256D9C53"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593010E" w14:textId="6357D247" w:rsidR="00D0360E" w:rsidRPr="00DD6A04" w:rsidRDefault="00D0360E" w:rsidP="00D0360E">
            <w:pPr>
              <w:spacing w:before="0" w:after="0" w:line="276" w:lineRule="auto"/>
              <w:rPr>
                <w:rFonts w:eastAsia="Times New Roman"/>
                <w:noProof/>
                <w:color w:val="006100"/>
                <w:sz w:val="22"/>
              </w:rPr>
            </w:pPr>
            <w:r>
              <w:rPr>
                <w:noProof/>
                <w:color w:val="006100"/>
                <w:sz w:val="22"/>
              </w:rPr>
              <w:t>Dokončani projekti za razvoj nizkoogljične družbe, gospodarstva, odpornosti in prilagajanja podnebnim spremembam.</w:t>
            </w:r>
          </w:p>
        </w:tc>
      </w:tr>
      <w:tr w:rsidR="00D0360E" w:rsidRPr="00DD6A04" w14:paraId="464E7AD1" w14:textId="77777777" w:rsidTr="46F9D6A4">
        <w:trPr>
          <w:trHeight w:val="302"/>
        </w:trPr>
        <w:tc>
          <w:tcPr>
            <w:tcW w:w="1247" w:type="dxa"/>
            <w:shd w:val="clear" w:color="auto" w:fill="C6EFCE"/>
            <w:noWrap/>
          </w:tcPr>
          <w:p w14:paraId="3B2AD352"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74F9CF58"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116</w:t>
            </w:r>
          </w:p>
          <w:p w14:paraId="2E946C04"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45DA1664"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A99C34F" w14:textId="23D99564" w:rsidR="00D0360E" w:rsidRPr="00DD6A04" w:rsidRDefault="00D0360E" w:rsidP="00D0360E">
            <w:pPr>
              <w:spacing w:before="0" w:after="0" w:line="27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1247" w:type="dxa"/>
            <w:shd w:val="clear" w:color="auto" w:fill="C6EFCE"/>
            <w:noWrap/>
          </w:tcPr>
          <w:p w14:paraId="57E68464" w14:textId="084F8F5E"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171D03D" w14:textId="62BD0C6A" w:rsidR="00D0360E" w:rsidRPr="00DD6A04" w:rsidRDefault="00D0360E" w:rsidP="00D0360E">
            <w:pPr>
              <w:spacing w:before="0" w:after="0" w:line="276" w:lineRule="auto"/>
              <w:rPr>
                <w:rFonts w:eastAsia="Times New Roman"/>
                <w:noProof/>
                <w:color w:val="006100"/>
                <w:sz w:val="22"/>
              </w:rPr>
            </w:pPr>
            <w:r>
              <w:rPr>
                <w:noProof/>
                <w:color w:val="006100"/>
                <w:sz w:val="22"/>
              </w:rPr>
              <w:t>Dokončani projekti na področju digitalizacije in digitalne preobrazbe</w:t>
            </w:r>
          </w:p>
        </w:tc>
      </w:tr>
      <w:tr w:rsidR="00D0360E" w:rsidRPr="00DD6A04" w14:paraId="421A82F5" w14:textId="77777777" w:rsidTr="46F9D6A4">
        <w:trPr>
          <w:trHeight w:val="302"/>
        </w:trPr>
        <w:tc>
          <w:tcPr>
            <w:tcW w:w="1247" w:type="dxa"/>
            <w:shd w:val="clear" w:color="auto" w:fill="C6EFCE"/>
            <w:noWrap/>
          </w:tcPr>
          <w:p w14:paraId="09922D08"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47D63C4F"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118</w:t>
            </w:r>
          </w:p>
          <w:p w14:paraId="4BCA88C7"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3EE26DD" w14:textId="74AEB54D" w:rsidR="00D0360E" w:rsidRPr="00DD6A04" w:rsidRDefault="00D0360E" w:rsidP="00D0360E">
            <w:pPr>
              <w:spacing w:before="0" w:after="0" w:line="276" w:lineRule="auto"/>
              <w:rPr>
                <w:rFonts w:eastAsia="Times New Roman"/>
                <w:noProof/>
                <w:color w:val="006100"/>
                <w:sz w:val="22"/>
              </w:rPr>
            </w:pPr>
            <w:r>
              <w:rPr>
                <w:noProof/>
                <w:color w:val="006100"/>
                <w:sz w:val="22"/>
              </w:rPr>
              <w:t>B: Sofinanciranje raziskovalno inovacijskih projektov v podporo zelenemu prehodu in digitalizaciji</w:t>
            </w:r>
          </w:p>
        </w:tc>
        <w:tc>
          <w:tcPr>
            <w:tcW w:w="1247" w:type="dxa"/>
            <w:shd w:val="clear" w:color="auto" w:fill="C6EFCE"/>
            <w:noWrap/>
          </w:tcPr>
          <w:p w14:paraId="5255CDB1" w14:textId="373C0931"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0C0DE3C" w14:textId="577B0F68" w:rsidR="00D0360E" w:rsidRPr="00DD6A04" w:rsidRDefault="00D0360E" w:rsidP="00D0360E">
            <w:pPr>
              <w:spacing w:before="0" w:after="0" w:line="276" w:lineRule="auto"/>
              <w:rPr>
                <w:rFonts w:eastAsia="Times New Roman"/>
                <w:noProof/>
                <w:color w:val="006100"/>
                <w:sz w:val="22"/>
              </w:rPr>
            </w:pPr>
            <w:r>
              <w:rPr>
                <w:noProof/>
                <w:color w:val="006100"/>
                <w:sz w:val="22"/>
              </w:rPr>
              <w:t>Dokončani raziskovalni in inovacijski projekti na področju krožnega gospodarstva</w:t>
            </w:r>
          </w:p>
        </w:tc>
      </w:tr>
      <w:tr w:rsidR="00D0360E" w:rsidRPr="00DD6A04" w14:paraId="604C876A" w14:textId="77777777" w:rsidTr="46F9D6A4">
        <w:trPr>
          <w:trHeight w:val="302"/>
        </w:trPr>
        <w:tc>
          <w:tcPr>
            <w:tcW w:w="1247" w:type="dxa"/>
            <w:shd w:val="clear" w:color="auto" w:fill="C6EFCE"/>
            <w:noWrap/>
          </w:tcPr>
          <w:p w14:paraId="270AE5EB"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682339BE"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2A6B11E8"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119</w:t>
            </w:r>
          </w:p>
          <w:p w14:paraId="689AA9A0"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0E1EBEB5"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C86E717" w14:textId="59820616"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C: Sofinanciranje projektov za krepitev mednarodne mobilnosti slovenskih raziskovalcev in raziskovalnih organizacij ter za spodbujanje mednarodne vpetosti slovenskih prijaviteljev </w:t>
            </w:r>
          </w:p>
        </w:tc>
        <w:tc>
          <w:tcPr>
            <w:tcW w:w="1247" w:type="dxa"/>
            <w:shd w:val="clear" w:color="auto" w:fill="C6EFCE"/>
            <w:noWrap/>
          </w:tcPr>
          <w:p w14:paraId="6E5C462D" w14:textId="16F58E11"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4FD30F8" w14:textId="79D9893A"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Dokončani projekti mobilnosti in/ali reintegracije slovenskih raziskovalcev </w:t>
            </w:r>
          </w:p>
        </w:tc>
      </w:tr>
      <w:tr w:rsidR="00D0360E" w:rsidRPr="00DD6A04" w14:paraId="1ADB2AD6" w14:textId="77777777" w:rsidTr="46F9D6A4">
        <w:trPr>
          <w:trHeight w:val="302"/>
        </w:trPr>
        <w:tc>
          <w:tcPr>
            <w:tcW w:w="1247" w:type="dxa"/>
            <w:shd w:val="clear" w:color="auto" w:fill="C6EFCE"/>
            <w:noWrap/>
          </w:tcPr>
          <w:p w14:paraId="2972775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27586B5E"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122</w:t>
            </w:r>
          </w:p>
          <w:p w14:paraId="72F3C7DE"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D47921A" w14:textId="71F507B2" w:rsidR="00D0360E" w:rsidRPr="00DD6A04" w:rsidRDefault="00D0360E" w:rsidP="00D0360E">
            <w:pPr>
              <w:spacing w:before="0" w:after="0" w:line="276" w:lineRule="auto"/>
              <w:rPr>
                <w:rFonts w:eastAsia="Times New Roman"/>
                <w:noProof/>
                <w:color w:val="006100"/>
                <w:sz w:val="22"/>
              </w:rPr>
            </w:pPr>
            <w:r>
              <w:rPr>
                <w:noProof/>
                <w:color w:val="006100"/>
                <w:sz w:val="22"/>
              </w:rPr>
              <w:t>D: Sofinanciranje investicij v RRI demonstracijske in pilotne projekte</w:t>
            </w:r>
          </w:p>
        </w:tc>
        <w:tc>
          <w:tcPr>
            <w:tcW w:w="1247" w:type="dxa"/>
            <w:shd w:val="clear" w:color="auto" w:fill="C6EFCE"/>
            <w:noWrap/>
          </w:tcPr>
          <w:p w14:paraId="0DBCAC11" w14:textId="70FB5C04"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1A21B9A2" w14:textId="5E508428" w:rsidR="00D0360E" w:rsidRPr="00DD6A04" w:rsidRDefault="00D0360E" w:rsidP="00D0360E">
            <w:pPr>
              <w:spacing w:before="0" w:after="0" w:line="276" w:lineRule="auto"/>
              <w:rPr>
                <w:rFonts w:eastAsia="Times New Roman"/>
                <w:noProof/>
                <w:color w:val="006100"/>
                <w:sz w:val="22"/>
              </w:rPr>
            </w:pPr>
            <w:r>
              <w:rPr>
                <w:noProof/>
                <w:color w:val="006100"/>
                <w:sz w:val="22"/>
              </w:rPr>
              <w:t>Dokončani pilotni projekti RRI na področju krožnega gospodarstva</w:t>
            </w:r>
          </w:p>
        </w:tc>
      </w:tr>
      <w:tr w:rsidR="00D0360E" w:rsidRPr="00DD6A04" w14:paraId="3828C762" w14:textId="77777777" w:rsidTr="46F9D6A4">
        <w:trPr>
          <w:trHeight w:val="302"/>
        </w:trPr>
        <w:tc>
          <w:tcPr>
            <w:tcW w:w="1247" w:type="dxa"/>
            <w:shd w:val="clear" w:color="auto" w:fill="C6EFCE"/>
            <w:noWrap/>
          </w:tcPr>
          <w:p w14:paraId="51EAD4C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38F11BB3"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130</w:t>
            </w:r>
          </w:p>
          <w:p w14:paraId="650702F2"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908E863" w14:textId="371D882B" w:rsidR="00D0360E" w:rsidRPr="00DD6A04" w:rsidRDefault="00D0360E" w:rsidP="00D0360E">
            <w:pPr>
              <w:spacing w:before="0" w:after="0" w:line="276" w:lineRule="auto"/>
              <w:rPr>
                <w:rFonts w:eastAsia="Times New Roman"/>
                <w:noProof/>
                <w:color w:val="006100"/>
                <w:sz w:val="22"/>
              </w:rPr>
            </w:pPr>
            <w:r>
              <w:rPr>
                <w:noProof/>
                <w:color w:val="006100"/>
                <w:sz w:val="22"/>
              </w:rPr>
              <w:t>C: Podpora za dekarbonizacijo, produktivnost in konkurenčnost podjetij</w:t>
            </w:r>
          </w:p>
        </w:tc>
        <w:tc>
          <w:tcPr>
            <w:tcW w:w="1247" w:type="dxa"/>
            <w:shd w:val="clear" w:color="auto" w:fill="C6EFCE"/>
            <w:noWrap/>
          </w:tcPr>
          <w:p w14:paraId="45C7FC13" w14:textId="56203279"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241E4423" w14:textId="44A00097"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Dokončani projekti za spodbujanje investicij </w:t>
            </w:r>
          </w:p>
        </w:tc>
      </w:tr>
      <w:tr w:rsidR="00D0360E" w:rsidRPr="00DD6A04" w14:paraId="644D93EB" w14:textId="77777777" w:rsidTr="46F9D6A4">
        <w:trPr>
          <w:trHeight w:val="302"/>
        </w:trPr>
        <w:tc>
          <w:tcPr>
            <w:tcW w:w="1247" w:type="dxa"/>
            <w:shd w:val="clear" w:color="auto" w:fill="C6EFCE"/>
            <w:noWrap/>
          </w:tcPr>
          <w:p w14:paraId="494375D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3C0BF8BE"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132</w:t>
            </w:r>
          </w:p>
          <w:p w14:paraId="0F75DE2F"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7D973E9" w14:textId="1EAF53E6" w:rsidR="00D0360E" w:rsidRPr="00DD6A04" w:rsidRDefault="00D0360E" w:rsidP="00D0360E">
            <w:pPr>
              <w:spacing w:before="0" w:after="0" w:line="276" w:lineRule="auto"/>
              <w:rPr>
                <w:rFonts w:eastAsia="Times New Roman"/>
                <w:noProof/>
                <w:color w:val="006100"/>
                <w:sz w:val="22"/>
              </w:rPr>
            </w:pPr>
            <w:r>
              <w:rPr>
                <w:noProof/>
                <w:color w:val="006100"/>
                <w:sz w:val="22"/>
              </w:rPr>
              <w:t>C: Podpora za dekarbonizacijo, produktivnost in konkurenčnost podjetij</w:t>
            </w:r>
          </w:p>
        </w:tc>
        <w:tc>
          <w:tcPr>
            <w:tcW w:w="1247" w:type="dxa"/>
            <w:shd w:val="clear" w:color="auto" w:fill="C6EFCE"/>
            <w:noWrap/>
          </w:tcPr>
          <w:p w14:paraId="2C408C62" w14:textId="73F446DF"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356642B" w14:textId="7B5B4401"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Dodatni dokončani projekti v podporo regionalnemu razvoju </w:t>
            </w:r>
          </w:p>
        </w:tc>
      </w:tr>
      <w:tr w:rsidR="00D0360E" w:rsidRPr="00DD6A04" w14:paraId="0502FDA9" w14:textId="77777777" w:rsidTr="46F9D6A4">
        <w:trPr>
          <w:trHeight w:val="302"/>
        </w:trPr>
        <w:tc>
          <w:tcPr>
            <w:tcW w:w="1247" w:type="dxa"/>
            <w:shd w:val="clear" w:color="auto" w:fill="C6EFCE"/>
            <w:noWrap/>
          </w:tcPr>
          <w:p w14:paraId="774CC595"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5744E2A2"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134</w:t>
            </w:r>
          </w:p>
          <w:p w14:paraId="0F309775"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62F2B5C" w14:textId="79C3596A" w:rsidR="00D0360E" w:rsidRPr="00DD6A04" w:rsidRDefault="00D0360E" w:rsidP="00D0360E">
            <w:pPr>
              <w:spacing w:before="0" w:after="0" w:line="276" w:lineRule="auto"/>
              <w:rPr>
                <w:rFonts w:eastAsia="Times New Roman"/>
                <w:noProof/>
                <w:color w:val="006100"/>
                <w:sz w:val="22"/>
              </w:rPr>
            </w:pPr>
            <w:r>
              <w:rPr>
                <w:noProof/>
                <w:color w:val="006100"/>
                <w:sz w:val="22"/>
              </w:rPr>
              <w:t>D: Zagotavljanje inovativnih ekosistemov ekonomsko-poslovne infrastrukture</w:t>
            </w:r>
          </w:p>
        </w:tc>
        <w:tc>
          <w:tcPr>
            <w:tcW w:w="1247" w:type="dxa"/>
            <w:shd w:val="clear" w:color="auto" w:fill="C6EFCE"/>
            <w:noWrap/>
          </w:tcPr>
          <w:p w14:paraId="6A9F49AD" w14:textId="79A6C315"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7BDA6935" w14:textId="0541C195" w:rsidR="00D0360E" w:rsidRPr="00DD6A04" w:rsidRDefault="091D1C14" w:rsidP="46F9D6A4">
            <w:pPr>
              <w:spacing w:before="0" w:after="0" w:line="276" w:lineRule="auto"/>
              <w:rPr>
                <w:rFonts w:eastAsia="Times New Roman"/>
                <w:noProof/>
                <w:color w:val="006100"/>
                <w:sz w:val="22"/>
              </w:rPr>
            </w:pPr>
            <w:r>
              <w:rPr>
                <w:noProof/>
                <w:color w:val="006100"/>
                <w:sz w:val="22"/>
              </w:rPr>
              <w:t xml:space="preserve">Dokončanje projektov za ekosisteme inovativne poslovne infrastrukture </w:t>
            </w:r>
          </w:p>
        </w:tc>
      </w:tr>
      <w:tr w:rsidR="00D0360E" w:rsidRPr="00DD6A04" w14:paraId="0BAC0E20" w14:textId="77777777" w:rsidTr="46F9D6A4">
        <w:trPr>
          <w:trHeight w:val="302"/>
        </w:trPr>
        <w:tc>
          <w:tcPr>
            <w:tcW w:w="1247" w:type="dxa"/>
            <w:shd w:val="clear" w:color="auto" w:fill="C6EFCE"/>
            <w:noWrap/>
          </w:tcPr>
          <w:p w14:paraId="6F0E7652"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18DE1D6E"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151</w:t>
            </w:r>
          </w:p>
          <w:p w14:paraId="04F1FCAB"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5276D867" w14:textId="6F87E675"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B: Trajnostni razvoj slovenske nastanitvene turistične ponudbe za dvig dodane vrednosti turizma </w:t>
            </w:r>
          </w:p>
        </w:tc>
        <w:tc>
          <w:tcPr>
            <w:tcW w:w="1247" w:type="dxa"/>
            <w:shd w:val="clear" w:color="auto" w:fill="C6EFCE"/>
            <w:noWrap/>
          </w:tcPr>
          <w:p w14:paraId="3458CEAC" w14:textId="7E8C2883"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1FB37F4" w14:textId="77777777"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Dokončanje projektov za povečanje energetske učinkovitosti turističnih nastanitvenih zmogljivosti </w:t>
            </w:r>
          </w:p>
          <w:p w14:paraId="4DFD5B80" w14:textId="77777777" w:rsidR="00D0360E" w:rsidRPr="00DD6A04" w:rsidRDefault="00D0360E" w:rsidP="00D0360E">
            <w:pPr>
              <w:spacing w:before="0" w:after="0" w:line="276" w:lineRule="auto"/>
              <w:rPr>
                <w:rFonts w:eastAsia="Times New Roman"/>
                <w:noProof/>
                <w:color w:val="006100"/>
                <w:sz w:val="22"/>
                <w:lang w:val="en-GB" w:eastAsia="en-GB"/>
              </w:rPr>
            </w:pPr>
          </w:p>
        </w:tc>
      </w:tr>
      <w:tr w:rsidR="00D0360E" w:rsidRPr="00DD6A04" w14:paraId="37D14F0E" w14:textId="77777777" w:rsidTr="46F9D6A4">
        <w:trPr>
          <w:trHeight w:val="302"/>
        </w:trPr>
        <w:tc>
          <w:tcPr>
            <w:tcW w:w="1247" w:type="dxa"/>
            <w:shd w:val="clear" w:color="auto" w:fill="C6EFCE"/>
            <w:noWrap/>
          </w:tcPr>
          <w:p w14:paraId="7D9E69F9"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41546999"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152</w:t>
            </w:r>
          </w:p>
          <w:p w14:paraId="62A6A62F"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2E423AA2" w14:textId="37D6DAE9"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B: Trajnostni razvoj slovenske nastanitvene turistične ponudbe za dvig dodane vrednosti turizma </w:t>
            </w:r>
          </w:p>
        </w:tc>
        <w:tc>
          <w:tcPr>
            <w:tcW w:w="1247" w:type="dxa"/>
            <w:shd w:val="clear" w:color="auto" w:fill="C6EFCE"/>
            <w:noWrap/>
          </w:tcPr>
          <w:p w14:paraId="3DD01F5C" w14:textId="2EB08AAB"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5C49943" w14:textId="77777777"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Dokončanje projektov gradnje ali popolne rekonstrukcije za povečanje energetske učinkovitosti turističnih nastanitvenih zmogljivosti </w:t>
            </w:r>
          </w:p>
          <w:p w14:paraId="744FE356" w14:textId="77777777" w:rsidR="00D0360E" w:rsidRPr="00DD6A04" w:rsidRDefault="00D0360E" w:rsidP="00D0360E">
            <w:pPr>
              <w:spacing w:before="0" w:after="0" w:line="276" w:lineRule="auto"/>
              <w:rPr>
                <w:rFonts w:eastAsia="Times New Roman"/>
                <w:noProof/>
                <w:color w:val="006100"/>
                <w:sz w:val="22"/>
                <w:lang w:val="en-GB" w:eastAsia="en-GB"/>
              </w:rPr>
            </w:pPr>
          </w:p>
        </w:tc>
      </w:tr>
      <w:tr w:rsidR="00D0360E" w:rsidRPr="00DD6A04" w14:paraId="1A8D39CA" w14:textId="77777777" w:rsidTr="46F9D6A4">
        <w:trPr>
          <w:trHeight w:val="302"/>
        </w:trPr>
        <w:tc>
          <w:tcPr>
            <w:tcW w:w="1247" w:type="dxa"/>
            <w:shd w:val="clear" w:color="auto" w:fill="C6EFCE"/>
            <w:noWrap/>
          </w:tcPr>
          <w:p w14:paraId="6CFABAF5"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73D2ACD1" w14:textId="69E3301A" w:rsidR="00D0360E" w:rsidRPr="00DD6A04" w:rsidRDefault="00D0360E" w:rsidP="00D0360E">
            <w:pPr>
              <w:spacing w:before="0" w:after="0" w:line="276" w:lineRule="auto"/>
              <w:jc w:val="center"/>
              <w:rPr>
                <w:rFonts w:eastAsia="Times New Roman"/>
                <w:noProof/>
                <w:color w:val="006100"/>
                <w:sz w:val="22"/>
              </w:rPr>
            </w:pPr>
            <w:r>
              <w:rPr>
                <w:noProof/>
                <w:color w:val="006100"/>
                <w:sz w:val="22"/>
              </w:rPr>
              <w:t>155</w:t>
            </w:r>
          </w:p>
        </w:tc>
        <w:tc>
          <w:tcPr>
            <w:tcW w:w="3119" w:type="dxa"/>
            <w:shd w:val="clear" w:color="auto" w:fill="C6EFCE"/>
            <w:noWrap/>
          </w:tcPr>
          <w:p w14:paraId="743CBADE" w14:textId="436DA403" w:rsidR="00D0360E" w:rsidRPr="00DD6A04" w:rsidRDefault="00D0360E" w:rsidP="00D0360E">
            <w:pPr>
              <w:spacing w:before="0" w:after="0" w:line="276" w:lineRule="auto"/>
              <w:rPr>
                <w:rFonts w:eastAsia="Times New Roman"/>
                <w:noProof/>
                <w:color w:val="006100"/>
                <w:sz w:val="22"/>
              </w:rPr>
            </w:pPr>
            <w:r>
              <w:rPr>
                <w:noProof/>
                <w:color w:val="006100"/>
                <w:sz w:val="22"/>
              </w:rPr>
              <w:t>D: Trajnostna obnova in oživljanje kulturne dediščine in javne kulturne infrastrukture</w:t>
            </w:r>
            <w:r w:rsidR="00037751">
              <w:rPr>
                <w:noProof/>
                <w:color w:val="006100"/>
                <w:sz w:val="22"/>
              </w:rPr>
              <w:t xml:space="preserve"> </w:t>
            </w:r>
          </w:p>
        </w:tc>
        <w:tc>
          <w:tcPr>
            <w:tcW w:w="1247" w:type="dxa"/>
            <w:shd w:val="clear" w:color="auto" w:fill="C6EFCE"/>
            <w:noWrap/>
          </w:tcPr>
          <w:p w14:paraId="58D9DB0C" w14:textId="11FD915B"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8B533B3" w14:textId="62E1CAAD" w:rsidR="00D0360E" w:rsidRPr="00DD6A04" w:rsidRDefault="00D0360E" w:rsidP="00D0360E">
            <w:pPr>
              <w:spacing w:before="0" w:after="0" w:line="276" w:lineRule="auto"/>
              <w:rPr>
                <w:rFonts w:eastAsia="Times New Roman"/>
                <w:noProof/>
                <w:color w:val="006100"/>
                <w:sz w:val="22"/>
              </w:rPr>
            </w:pPr>
            <w:r>
              <w:rPr>
                <w:noProof/>
                <w:color w:val="006100"/>
                <w:sz w:val="22"/>
              </w:rPr>
              <w:t>Obnovljeni objekti kulturne dediščine</w:t>
            </w:r>
          </w:p>
        </w:tc>
      </w:tr>
      <w:tr w:rsidR="00D0360E" w:rsidRPr="00DD6A04" w14:paraId="1AA18703" w14:textId="77777777" w:rsidTr="46F9D6A4">
        <w:trPr>
          <w:trHeight w:val="302"/>
        </w:trPr>
        <w:tc>
          <w:tcPr>
            <w:tcW w:w="1247" w:type="dxa"/>
            <w:shd w:val="clear" w:color="auto" w:fill="C6EFCE"/>
            <w:noWrap/>
          </w:tcPr>
          <w:p w14:paraId="489CD07C"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36EEB31B" w14:textId="42F6F84B" w:rsidR="00D0360E" w:rsidRPr="00DD6A04" w:rsidRDefault="00D0360E" w:rsidP="00D0360E">
            <w:pPr>
              <w:spacing w:before="0" w:after="0" w:line="276" w:lineRule="auto"/>
              <w:jc w:val="center"/>
              <w:rPr>
                <w:rFonts w:eastAsia="Times New Roman"/>
                <w:noProof/>
                <w:color w:val="006100"/>
                <w:sz w:val="22"/>
              </w:rPr>
            </w:pPr>
            <w:r>
              <w:rPr>
                <w:noProof/>
                <w:color w:val="006100"/>
                <w:sz w:val="22"/>
              </w:rPr>
              <w:t>158</w:t>
            </w:r>
          </w:p>
        </w:tc>
        <w:tc>
          <w:tcPr>
            <w:tcW w:w="3119" w:type="dxa"/>
            <w:shd w:val="clear" w:color="auto" w:fill="C6EFCE"/>
            <w:noWrap/>
          </w:tcPr>
          <w:p w14:paraId="7E59D98A" w14:textId="3750AEF5" w:rsidR="00D0360E" w:rsidRPr="00DD6A04" w:rsidRDefault="00D0360E" w:rsidP="00D0360E">
            <w:pPr>
              <w:spacing w:before="0" w:after="0" w:line="276" w:lineRule="auto"/>
              <w:rPr>
                <w:rFonts w:eastAsia="Times New Roman"/>
                <w:noProof/>
                <w:color w:val="006100"/>
                <w:sz w:val="22"/>
              </w:rPr>
            </w:pPr>
            <w:r>
              <w:rPr>
                <w:noProof/>
                <w:color w:val="006100"/>
                <w:sz w:val="22"/>
              </w:rPr>
              <w:t>E: Celovita transformacija zelenega in digitalnega izobraževanja</w:t>
            </w:r>
          </w:p>
        </w:tc>
        <w:tc>
          <w:tcPr>
            <w:tcW w:w="1247" w:type="dxa"/>
            <w:shd w:val="clear" w:color="auto" w:fill="C6EFCE"/>
            <w:noWrap/>
          </w:tcPr>
          <w:p w14:paraId="57FB6EF4" w14:textId="7B1DB28C"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3DC6F2A" w14:textId="65D74EF8" w:rsidR="00D0360E" w:rsidRPr="00DD6A04" w:rsidRDefault="00D0360E" w:rsidP="00D0360E">
            <w:pPr>
              <w:spacing w:before="0" w:after="0" w:line="276" w:lineRule="auto"/>
              <w:rPr>
                <w:rFonts w:eastAsia="Times New Roman"/>
                <w:noProof/>
                <w:color w:val="006100"/>
                <w:sz w:val="22"/>
              </w:rPr>
            </w:pPr>
            <w:r>
              <w:rPr>
                <w:noProof/>
                <w:color w:val="006100"/>
                <w:sz w:val="22"/>
              </w:rPr>
              <w:t>Strokovni in vodstveni delavci z opravljenim usposabljanjem za pridobitev digitalnih kompetenc in kompetenc za trajnostni razvoj</w:t>
            </w:r>
          </w:p>
        </w:tc>
      </w:tr>
      <w:tr w:rsidR="00D0360E" w:rsidRPr="00DD6A04" w14:paraId="5A868288" w14:textId="77777777" w:rsidTr="46F9D6A4">
        <w:trPr>
          <w:trHeight w:val="302"/>
        </w:trPr>
        <w:tc>
          <w:tcPr>
            <w:tcW w:w="1247" w:type="dxa"/>
            <w:shd w:val="clear" w:color="auto" w:fill="C6EFCE"/>
            <w:noWrap/>
          </w:tcPr>
          <w:p w14:paraId="08F96EC3"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41C52F05" w14:textId="641AE815" w:rsidR="00D0360E" w:rsidRPr="00DD6A04" w:rsidRDefault="00D0360E" w:rsidP="00D0360E">
            <w:pPr>
              <w:spacing w:before="0" w:after="0" w:line="276" w:lineRule="auto"/>
              <w:jc w:val="center"/>
              <w:rPr>
                <w:rFonts w:eastAsia="Times New Roman"/>
                <w:noProof/>
                <w:color w:val="006100"/>
                <w:sz w:val="22"/>
              </w:rPr>
            </w:pPr>
            <w:r>
              <w:rPr>
                <w:noProof/>
                <w:color w:val="006100"/>
                <w:sz w:val="22"/>
              </w:rPr>
              <w:t>159</w:t>
            </w:r>
          </w:p>
        </w:tc>
        <w:tc>
          <w:tcPr>
            <w:tcW w:w="3119" w:type="dxa"/>
            <w:shd w:val="clear" w:color="auto" w:fill="C6EFCE"/>
            <w:noWrap/>
          </w:tcPr>
          <w:p w14:paraId="44A99DBF" w14:textId="62A2E50D"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B: Reforma visokega šolstva za zelen in odporen prehod </w:t>
            </w:r>
          </w:p>
        </w:tc>
        <w:tc>
          <w:tcPr>
            <w:tcW w:w="1247" w:type="dxa"/>
            <w:shd w:val="clear" w:color="auto" w:fill="C6EFCE"/>
            <w:noWrap/>
          </w:tcPr>
          <w:p w14:paraId="3A157471" w14:textId="345C30FB"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6420D489" w14:textId="76405E74" w:rsidR="00D0360E" w:rsidRPr="00DD6A04" w:rsidRDefault="00D0360E" w:rsidP="00D0360E">
            <w:pPr>
              <w:spacing w:before="0" w:after="0" w:line="276" w:lineRule="auto"/>
              <w:rPr>
                <w:rFonts w:eastAsia="Times New Roman"/>
                <w:noProof/>
                <w:color w:val="006100"/>
                <w:sz w:val="22"/>
              </w:rPr>
            </w:pPr>
            <w:r>
              <w:rPr>
                <w:noProof/>
                <w:color w:val="006100"/>
                <w:sz w:val="22"/>
              </w:rPr>
              <w:t>Posodobljeni visokošolski učni načrti</w:t>
            </w:r>
          </w:p>
        </w:tc>
      </w:tr>
      <w:tr w:rsidR="00D0360E" w:rsidRPr="00DD6A04" w14:paraId="22E5E235" w14:textId="77777777" w:rsidTr="46F9D6A4">
        <w:trPr>
          <w:trHeight w:val="302"/>
        </w:trPr>
        <w:tc>
          <w:tcPr>
            <w:tcW w:w="1247" w:type="dxa"/>
            <w:shd w:val="clear" w:color="auto" w:fill="C6EFCE"/>
            <w:noWrap/>
          </w:tcPr>
          <w:p w14:paraId="1E746EDF"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73CE15AF"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162</w:t>
            </w:r>
          </w:p>
          <w:p w14:paraId="754A716C"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3EE2A27" w14:textId="066C8A6C" w:rsidR="00D0360E" w:rsidRPr="00DD6A04" w:rsidRDefault="00D0360E" w:rsidP="00D0360E">
            <w:pPr>
              <w:spacing w:before="0" w:after="0" w:line="276" w:lineRule="auto"/>
              <w:rPr>
                <w:rFonts w:eastAsia="Times New Roman"/>
                <w:noProof/>
                <w:color w:val="006100"/>
                <w:sz w:val="22"/>
              </w:rPr>
            </w:pPr>
            <w:r>
              <w:rPr>
                <w:noProof/>
                <w:color w:val="006100"/>
                <w:sz w:val="22"/>
              </w:rPr>
              <w:t>C: Modernizacija srednjega poklicnega in strokovnega izobraževanja</w:t>
            </w:r>
            <w:r>
              <w:rPr>
                <w:noProof/>
                <w:color w:val="006100"/>
              </w:rPr>
              <w:t xml:space="preserve"> vključno z vajeništvom</w:t>
            </w:r>
          </w:p>
        </w:tc>
        <w:tc>
          <w:tcPr>
            <w:tcW w:w="1247" w:type="dxa"/>
            <w:shd w:val="clear" w:color="auto" w:fill="C6EFCE"/>
            <w:noWrap/>
          </w:tcPr>
          <w:p w14:paraId="22D405FE" w14:textId="628B9D6F"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AF6A35C" w14:textId="6B1749A9"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Posodobljeni programi poklicnega izobraževanja </w:t>
            </w:r>
          </w:p>
        </w:tc>
      </w:tr>
      <w:tr w:rsidR="00D0360E" w:rsidRPr="00DD6A04" w14:paraId="4F51ED30" w14:textId="77777777" w:rsidTr="46F9D6A4">
        <w:trPr>
          <w:trHeight w:val="302"/>
        </w:trPr>
        <w:tc>
          <w:tcPr>
            <w:tcW w:w="1247" w:type="dxa"/>
            <w:shd w:val="clear" w:color="auto" w:fill="C6EFCE"/>
            <w:noWrap/>
          </w:tcPr>
          <w:p w14:paraId="7771C33D"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625BFC43"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163</w:t>
            </w:r>
          </w:p>
          <w:p w14:paraId="6823C04D"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E953AE4" w14:textId="7F536873" w:rsidR="00D0360E" w:rsidRPr="00DD6A04" w:rsidRDefault="00D0360E" w:rsidP="00D0360E">
            <w:pPr>
              <w:spacing w:before="0" w:after="0" w:line="276" w:lineRule="auto"/>
              <w:rPr>
                <w:rFonts w:eastAsia="Times New Roman"/>
                <w:noProof/>
                <w:color w:val="006100"/>
                <w:sz w:val="22"/>
              </w:rPr>
            </w:pPr>
            <w:r>
              <w:rPr>
                <w:noProof/>
                <w:color w:val="006100"/>
                <w:sz w:val="22"/>
              </w:rPr>
              <w:t>G: Krepitev sodelovanja med izobraževalnim sistemom in trgom dela</w:t>
            </w:r>
          </w:p>
        </w:tc>
        <w:tc>
          <w:tcPr>
            <w:tcW w:w="1247" w:type="dxa"/>
            <w:shd w:val="clear" w:color="auto" w:fill="C6EFCE"/>
            <w:noWrap/>
          </w:tcPr>
          <w:p w14:paraId="7E010C66" w14:textId="148B1913"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945A184" w14:textId="38997362" w:rsidR="00D0360E" w:rsidRPr="00DD6A04" w:rsidRDefault="00D0360E" w:rsidP="00D0360E">
            <w:pPr>
              <w:spacing w:before="0" w:after="0" w:line="276" w:lineRule="auto"/>
              <w:rPr>
                <w:rFonts w:eastAsia="Times New Roman"/>
                <w:noProof/>
                <w:color w:val="006100"/>
                <w:sz w:val="22"/>
              </w:rPr>
            </w:pPr>
            <w:r>
              <w:rPr>
                <w:noProof/>
                <w:color w:val="006100"/>
                <w:sz w:val="22"/>
              </w:rPr>
              <w:t>Mentorji v podjetjih, ki so uspešno opravili usposabljanje</w:t>
            </w:r>
          </w:p>
        </w:tc>
      </w:tr>
      <w:tr w:rsidR="00D0360E" w:rsidRPr="00DD6A04" w14:paraId="5B8886E0" w14:textId="77777777" w:rsidTr="46F9D6A4">
        <w:trPr>
          <w:trHeight w:val="302"/>
        </w:trPr>
        <w:tc>
          <w:tcPr>
            <w:tcW w:w="1247" w:type="dxa"/>
            <w:shd w:val="clear" w:color="auto" w:fill="C6EFCE"/>
            <w:noWrap/>
          </w:tcPr>
          <w:p w14:paraId="71EC5934"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13272198"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166</w:t>
            </w:r>
          </w:p>
          <w:p w14:paraId="15053909"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469C5A5" w14:textId="49A99D67" w:rsidR="00D0360E" w:rsidRPr="00DD6A04" w:rsidRDefault="00D0360E" w:rsidP="00D0360E">
            <w:pPr>
              <w:spacing w:before="0" w:after="0" w:line="276" w:lineRule="auto"/>
              <w:rPr>
                <w:rFonts w:eastAsia="Times New Roman"/>
                <w:noProof/>
                <w:color w:val="006100"/>
                <w:sz w:val="22"/>
              </w:rPr>
            </w:pPr>
            <w:r>
              <w:rPr>
                <w:noProof/>
                <w:color w:val="006100"/>
                <w:sz w:val="22"/>
              </w:rPr>
              <w:t>H: Ozelenitev izobraževalne infrastrukture v Sloveniji</w:t>
            </w:r>
          </w:p>
        </w:tc>
        <w:tc>
          <w:tcPr>
            <w:tcW w:w="1247" w:type="dxa"/>
            <w:shd w:val="clear" w:color="auto" w:fill="C6EFCE"/>
            <w:noWrap/>
          </w:tcPr>
          <w:p w14:paraId="68D00755" w14:textId="580C4DE0"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0FB63128" w14:textId="0735F097" w:rsidR="00D0360E" w:rsidRPr="00DD6A04" w:rsidRDefault="00D0360E" w:rsidP="00D0360E">
            <w:pPr>
              <w:spacing w:before="0" w:after="0" w:line="276" w:lineRule="auto"/>
              <w:rPr>
                <w:rFonts w:eastAsia="Times New Roman"/>
                <w:noProof/>
                <w:color w:val="006100"/>
                <w:sz w:val="22"/>
              </w:rPr>
            </w:pPr>
            <w:r>
              <w:rPr>
                <w:noProof/>
                <w:color w:val="006100"/>
                <w:sz w:val="22"/>
              </w:rPr>
              <w:t xml:space="preserve">Površina novih izobraževalnih ustanov </w:t>
            </w:r>
          </w:p>
        </w:tc>
      </w:tr>
      <w:tr w:rsidR="00D0360E" w:rsidRPr="00DD6A04" w14:paraId="5F4C7E7F" w14:textId="77777777" w:rsidTr="46F9D6A4">
        <w:trPr>
          <w:trHeight w:val="302"/>
        </w:trPr>
        <w:tc>
          <w:tcPr>
            <w:tcW w:w="1247" w:type="dxa"/>
            <w:shd w:val="clear" w:color="auto" w:fill="C6EFCE"/>
            <w:noWrap/>
          </w:tcPr>
          <w:p w14:paraId="3B5B7A24" w14:textId="77777777" w:rsidR="00D0360E" w:rsidRPr="00DD6A04" w:rsidRDefault="00D0360E" w:rsidP="00D0360E">
            <w:pPr>
              <w:spacing w:before="0" w:after="0" w:line="276" w:lineRule="auto"/>
              <w:jc w:val="center"/>
              <w:rPr>
                <w:rFonts w:eastAsia="Times New Roman"/>
                <w:noProof/>
                <w:color w:val="006100"/>
                <w:sz w:val="22"/>
                <w:lang w:val="en-GB" w:eastAsia="en-GB"/>
              </w:rPr>
            </w:pPr>
          </w:p>
          <w:p w14:paraId="3F699424" w14:textId="77777777" w:rsidR="00D0360E" w:rsidRPr="00DD6A04" w:rsidRDefault="00D0360E" w:rsidP="00D0360E">
            <w:pPr>
              <w:spacing w:before="0" w:after="0" w:line="276" w:lineRule="auto"/>
              <w:jc w:val="center"/>
              <w:rPr>
                <w:rFonts w:eastAsia="Times New Roman"/>
                <w:noProof/>
                <w:color w:val="006100"/>
                <w:sz w:val="22"/>
              </w:rPr>
            </w:pPr>
            <w:r>
              <w:rPr>
                <w:noProof/>
                <w:color w:val="006100"/>
                <w:sz w:val="22"/>
              </w:rPr>
              <w:t>192</w:t>
            </w:r>
          </w:p>
          <w:p w14:paraId="1FAB13D2"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01242DF8" w14:textId="4BDD9DAF" w:rsidR="00D0360E" w:rsidRPr="00DD6A04" w:rsidRDefault="00D0360E" w:rsidP="00D0360E">
            <w:pPr>
              <w:spacing w:before="0" w:after="0" w:line="276" w:lineRule="auto"/>
              <w:rPr>
                <w:rFonts w:eastAsia="Times New Roman"/>
                <w:noProof/>
                <w:color w:val="006100"/>
                <w:sz w:val="22"/>
              </w:rPr>
            </w:pPr>
            <w:r>
              <w:rPr>
                <w:noProof/>
                <w:color w:val="006100"/>
                <w:sz w:val="22"/>
              </w:rPr>
              <w:t>E: Učinkovita obravnava nalezljivih bolezni</w:t>
            </w:r>
          </w:p>
        </w:tc>
        <w:tc>
          <w:tcPr>
            <w:tcW w:w="1247" w:type="dxa"/>
            <w:shd w:val="clear" w:color="auto" w:fill="C6EFCE"/>
            <w:noWrap/>
          </w:tcPr>
          <w:p w14:paraId="64042BEE" w14:textId="16B6586C" w:rsidR="00D0360E" w:rsidRPr="00DD6A04" w:rsidRDefault="00D0360E" w:rsidP="00D0360E">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F162314" w14:textId="5D7465D6" w:rsidR="00D0360E" w:rsidRPr="00DD6A04" w:rsidRDefault="00D0360E" w:rsidP="00D0360E">
            <w:pPr>
              <w:spacing w:before="0" w:after="0" w:line="276" w:lineRule="auto"/>
              <w:rPr>
                <w:rFonts w:eastAsia="Times New Roman"/>
                <w:noProof/>
                <w:color w:val="006100"/>
                <w:sz w:val="22"/>
              </w:rPr>
            </w:pPr>
            <w:r>
              <w:rPr>
                <w:noProof/>
                <w:color w:val="006100"/>
                <w:sz w:val="22"/>
              </w:rPr>
              <w:t>Operativna Infekcijska klinika Ljubljana</w:t>
            </w:r>
          </w:p>
        </w:tc>
      </w:tr>
      <w:tr w:rsidR="00D0360E" w:rsidRPr="00DD6A04" w14:paraId="76304E4F" w14:textId="77777777" w:rsidTr="46F9D6A4">
        <w:trPr>
          <w:trHeight w:val="302"/>
        </w:trPr>
        <w:tc>
          <w:tcPr>
            <w:tcW w:w="1247" w:type="dxa"/>
            <w:shd w:val="clear" w:color="auto" w:fill="C6EFCE"/>
            <w:noWrap/>
          </w:tcPr>
          <w:p w14:paraId="2BAD3F9F" w14:textId="4D4F6273" w:rsidR="00D0360E" w:rsidRPr="00DD6A04" w:rsidRDefault="00D0360E" w:rsidP="00D0360E">
            <w:pPr>
              <w:spacing w:before="0" w:after="0" w:line="276" w:lineRule="auto"/>
              <w:jc w:val="center"/>
              <w:rPr>
                <w:rFonts w:eastAsia="Times New Roman"/>
                <w:noProof/>
                <w:color w:val="006100"/>
                <w:sz w:val="22"/>
              </w:rPr>
            </w:pPr>
            <w:r>
              <w:rPr>
                <w:noProof/>
                <w:color w:val="006100"/>
                <w:sz w:val="22"/>
              </w:rPr>
              <w:t>213</w:t>
            </w:r>
          </w:p>
        </w:tc>
        <w:tc>
          <w:tcPr>
            <w:tcW w:w="3119" w:type="dxa"/>
            <w:shd w:val="clear" w:color="auto" w:fill="C6EFCE"/>
            <w:noWrap/>
          </w:tcPr>
          <w:p w14:paraId="306E72EE" w14:textId="7980BAC7" w:rsidR="00D0360E" w:rsidRPr="00DD6A04" w:rsidRDefault="00703B95" w:rsidP="00D0360E">
            <w:pPr>
              <w:spacing w:before="0" w:after="0" w:line="276" w:lineRule="auto"/>
              <w:rPr>
                <w:rFonts w:eastAsia="Times New Roman"/>
                <w:noProof/>
                <w:color w:val="006100"/>
                <w:sz w:val="22"/>
              </w:rPr>
            </w:pPr>
            <w:r>
              <w:rPr>
                <w:noProof/>
                <w:color w:val="006100"/>
                <w:sz w:val="22"/>
              </w:rPr>
              <w:t>B: Energetsko učinkovito prestrukturiranje sistemov daljinskega ogrevanja na obnovljive vire energije (razširitev)</w:t>
            </w:r>
          </w:p>
        </w:tc>
        <w:tc>
          <w:tcPr>
            <w:tcW w:w="1247" w:type="dxa"/>
            <w:shd w:val="clear" w:color="auto" w:fill="C6EFCE"/>
            <w:noWrap/>
          </w:tcPr>
          <w:p w14:paraId="183BE8D5" w14:textId="16110C34"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4D5FFB16" w14:textId="2B5F958D" w:rsidR="00D0360E" w:rsidRPr="00DD6A04" w:rsidRDefault="00F911BF" w:rsidP="00D0360E">
            <w:pPr>
              <w:spacing w:before="0" w:after="0" w:line="276" w:lineRule="auto"/>
              <w:rPr>
                <w:rFonts w:eastAsia="Times New Roman"/>
                <w:noProof/>
                <w:color w:val="006100"/>
                <w:sz w:val="22"/>
              </w:rPr>
            </w:pPr>
            <w:r>
              <w:rPr>
                <w:noProof/>
                <w:color w:val="006100"/>
                <w:sz w:val="22"/>
              </w:rPr>
              <w:t xml:space="preserve">Dodatna zmogljivost obnovljivih virov energije v sistemih daljinskega ogrevanja </w:t>
            </w:r>
          </w:p>
        </w:tc>
      </w:tr>
      <w:tr w:rsidR="00D0360E" w:rsidRPr="00DD6A04" w14:paraId="6CB87D89" w14:textId="77777777" w:rsidTr="46F9D6A4">
        <w:trPr>
          <w:trHeight w:val="302"/>
        </w:trPr>
        <w:tc>
          <w:tcPr>
            <w:tcW w:w="1247" w:type="dxa"/>
            <w:shd w:val="clear" w:color="auto" w:fill="C6EFCE"/>
            <w:noWrap/>
          </w:tcPr>
          <w:p w14:paraId="36392C4E" w14:textId="5A8A5ECD" w:rsidR="00D0360E" w:rsidRPr="00DD6A04" w:rsidRDefault="00D0360E" w:rsidP="00D0360E">
            <w:pPr>
              <w:spacing w:before="0" w:after="0" w:line="276" w:lineRule="auto"/>
              <w:jc w:val="center"/>
              <w:rPr>
                <w:rFonts w:eastAsia="Times New Roman"/>
                <w:noProof/>
                <w:color w:val="006100"/>
                <w:sz w:val="22"/>
              </w:rPr>
            </w:pPr>
            <w:r>
              <w:rPr>
                <w:noProof/>
                <w:color w:val="006100"/>
                <w:sz w:val="22"/>
              </w:rPr>
              <w:t>215</w:t>
            </w:r>
          </w:p>
        </w:tc>
        <w:tc>
          <w:tcPr>
            <w:tcW w:w="3119" w:type="dxa"/>
            <w:shd w:val="clear" w:color="auto" w:fill="C6EFCE"/>
            <w:noWrap/>
          </w:tcPr>
          <w:p w14:paraId="4A656CB3" w14:textId="09293FD5" w:rsidR="00D0360E" w:rsidRPr="00DD6A04" w:rsidRDefault="007016D7" w:rsidP="00D0360E">
            <w:pPr>
              <w:spacing w:before="0" w:after="0" w:line="276" w:lineRule="auto"/>
              <w:rPr>
                <w:rFonts w:eastAsia="Times New Roman"/>
                <w:noProof/>
                <w:color w:val="006100"/>
                <w:sz w:val="22"/>
              </w:rPr>
            </w:pPr>
            <w:r>
              <w:rPr>
                <w:noProof/>
                <w:color w:val="006100"/>
                <w:sz w:val="22"/>
              </w:rPr>
              <w:t>C: Krepitev distribucijskega omrežja električne energije (srednjenapetostno omrežje)</w:t>
            </w:r>
          </w:p>
        </w:tc>
        <w:tc>
          <w:tcPr>
            <w:tcW w:w="1247" w:type="dxa"/>
            <w:shd w:val="clear" w:color="auto" w:fill="C6EFCE"/>
            <w:noWrap/>
          </w:tcPr>
          <w:p w14:paraId="3007E9FE" w14:textId="748DFA65"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AA87C62" w14:textId="09BF42C0" w:rsidR="00D0360E" w:rsidRPr="00DD6A04" w:rsidRDefault="008805E0" w:rsidP="00D0360E">
            <w:pPr>
              <w:spacing w:before="0" w:after="0" w:line="276" w:lineRule="auto"/>
              <w:rPr>
                <w:rFonts w:eastAsia="Times New Roman"/>
                <w:noProof/>
                <w:color w:val="006100"/>
                <w:sz w:val="22"/>
              </w:rPr>
            </w:pPr>
            <w:r>
              <w:rPr>
                <w:noProof/>
                <w:color w:val="006100"/>
                <w:sz w:val="22"/>
              </w:rPr>
              <w:t>Dolžina novega ali rekonstruiranega operativnega distribucijskega omrežja</w:t>
            </w:r>
            <w:r w:rsidR="00037751">
              <w:rPr>
                <w:noProof/>
                <w:color w:val="006100"/>
                <w:sz w:val="22"/>
              </w:rPr>
              <w:t xml:space="preserve"> </w:t>
            </w:r>
          </w:p>
        </w:tc>
      </w:tr>
      <w:tr w:rsidR="00D0360E" w:rsidRPr="00DD6A04" w14:paraId="0FF0A58F" w14:textId="77777777" w:rsidTr="46F9D6A4">
        <w:trPr>
          <w:trHeight w:val="302"/>
        </w:trPr>
        <w:tc>
          <w:tcPr>
            <w:tcW w:w="1247" w:type="dxa"/>
            <w:shd w:val="clear" w:color="auto" w:fill="C6EFCE"/>
            <w:noWrap/>
          </w:tcPr>
          <w:p w14:paraId="7CB4EAF9" w14:textId="0E827BA4" w:rsidR="00D0360E" w:rsidRPr="00DD6A04" w:rsidRDefault="00D0360E" w:rsidP="00D0360E">
            <w:pPr>
              <w:spacing w:before="0" w:after="0" w:line="276" w:lineRule="auto"/>
              <w:jc w:val="center"/>
              <w:rPr>
                <w:rFonts w:eastAsia="Times New Roman"/>
                <w:noProof/>
                <w:color w:val="006100"/>
                <w:sz w:val="22"/>
              </w:rPr>
            </w:pPr>
            <w:r>
              <w:rPr>
                <w:noProof/>
                <w:color w:val="006100"/>
                <w:sz w:val="22"/>
              </w:rPr>
              <w:t>217</w:t>
            </w:r>
          </w:p>
        </w:tc>
        <w:tc>
          <w:tcPr>
            <w:tcW w:w="3119" w:type="dxa"/>
            <w:shd w:val="clear" w:color="auto" w:fill="C6EFCE"/>
            <w:noWrap/>
          </w:tcPr>
          <w:p w14:paraId="43A75C8D" w14:textId="7A9C19C7" w:rsidR="00D0360E" w:rsidRPr="00DD6A04" w:rsidRDefault="00891E14" w:rsidP="00D0360E">
            <w:pPr>
              <w:spacing w:before="0" w:after="0" w:line="276" w:lineRule="auto"/>
              <w:rPr>
                <w:rFonts w:eastAsia="Times New Roman"/>
                <w:noProof/>
                <w:color w:val="006100"/>
                <w:sz w:val="22"/>
              </w:rPr>
            </w:pPr>
            <w:r>
              <w:rPr>
                <w:noProof/>
                <w:color w:val="006100"/>
                <w:sz w:val="22"/>
              </w:rPr>
              <w:t>D: Energetska učinkovitost in razogljičenje gospodarstva</w:t>
            </w:r>
          </w:p>
        </w:tc>
        <w:tc>
          <w:tcPr>
            <w:tcW w:w="1247" w:type="dxa"/>
            <w:shd w:val="clear" w:color="auto" w:fill="C6EFCE"/>
            <w:noWrap/>
          </w:tcPr>
          <w:p w14:paraId="06965E13" w14:textId="6C173E07"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51A3B201" w14:textId="483DB0F4" w:rsidR="00D0360E" w:rsidRPr="00DD6A04" w:rsidRDefault="002F3D34" w:rsidP="00D0360E">
            <w:pPr>
              <w:spacing w:before="0" w:after="0" w:line="276" w:lineRule="auto"/>
              <w:rPr>
                <w:rFonts w:eastAsia="Times New Roman"/>
                <w:noProof/>
                <w:color w:val="006100"/>
                <w:sz w:val="22"/>
              </w:rPr>
            </w:pPr>
            <w:r>
              <w:rPr>
                <w:noProof/>
                <w:color w:val="006100"/>
                <w:sz w:val="22"/>
              </w:rPr>
              <w:t>Dokončani projekti na področju energijske učinkovitosti in razogljičenja gospodarstva</w:t>
            </w:r>
          </w:p>
        </w:tc>
      </w:tr>
      <w:tr w:rsidR="00D0360E" w:rsidRPr="00DD6A04" w14:paraId="1458E7C9" w14:textId="77777777" w:rsidTr="46F9D6A4">
        <w:trPr>
          <w:trHeight w:val="302"/>
        </w:trPr>
        <w:tc>
          <w:tcPr>
            <w:tcW w:w="1247" w:type="dxa"/>
            <w:shd w:val="clear" w:color="auto" w:fill="C6EFCE"/>
            <w:noWrap/>
          </w:tcPr>
          <w:p w14:paraId="529B5DBF" w14:textId="630C38B1" w:rsidR="00D0360E" w:rsidRPr="00DD6A04" w:rsidRDefault="00D0360E" w:rsidP="00D0360E">
            <w:pPr>
              <w:spacing w:before="0" w:after="0" w:line="276" w:lineRule="auto"/>
              <w:jc w:val="center"/>
              <w:rPr>
                <w:rFonts w:eastAsia="Times New Roman"/>
                <w:noProof/>
                <w:color w:val="006100"/>
                <w:sz w:val="22"/>
              </w:rPr>
            </w:pPr>
            <w:r>
              <w:rPr>
                <w:noProof/>
                <w:color w:val="006100"/>
                <w:sz w:val="22"/>
              </w:rPr>
              <w:t xml:space="preserve"> 219</w:t>
            </w:r>
          </w:p>
        </w:tc>
        <w:tc>
          <w:tcPr>
            <w:tcW w:w="3119" w:type="dxa"/>
            <w:shd w:val="clear" w:color="auto" w:fill="C6EFCE"/>
            <w:noWrap/>
          </w:tcPr>
          <w:p w14:paraId="2D684E71" w14:textId="00A05A5D" w:rsidR="00D0360E" w:rsidRPr="00DD6A04" w:rsidRDefault="00A209C6" w:rsidP="6B3B27EA">
            <w:pPr>
              <w:spacing w:before="0" w:after="0" w:line="276" w:lineRule="auto"/>
              <w:rPr>
                <w:rFonts w:eastAsia="Times New Roman"/>
                <w:noProof/>
                <w:color w:val="006100"/>
                <w:sz w:val="22"/>
              </w:rPr>
            </w:pPr>
            <w:r>
              <w:rPr>
                <w:noProof/>
                <w:color w:val="006100"/>
                <w:sz w:val="22"/>
              </w:rPr>
              <w:t xml:space="preserve">E: Spodbujanje vzpostavitve infrastrukture za alternativna goriva v prometu (razširitev) </w:t>
            </w:r>
          </w:p>
        </w:tc>
        <w:tc>
          <w:tcPr>
            <w:tcW w:w="1247" w:type="dxa"/>
            <w:shd w:val="clear" w:color="auto" w:fill="C6EFCE"/>
            <w:noWrap/>
          </w:tcPr>
          <w:p w14:paraId="159607AA" w14:textId="454EA890"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7B0CA98" w14:textId="6A224BC6" w:rsidR="00D0360E" w:rsidRPr="00DD6A04" w:rsidRDefault="00D0360E" w:rsidP="00D0360E">
            <w:pPr>
              <w:spacing w:before="0" w:after="0" w:line="276" w:lineRule="auto"/>
              <w:rPr>
                <w:rFonts w:eastAsia="Times New Roman"/>
                <w:noProof/>
                <w:color w:val="006100"/>
                <w:sz w:val="22"/>
              </w:rPr>
            </w:pPr>
            <w:r>
              <w:rPr>
                <w:noProof/>
                <w:color w:val="006100"/>
                <w:sz w:val="22"/>
              </w:rPr>
              <w:t>Operativna polnilna ali oskrbovalna mesta za brezemisijska vozila</w:t>
            </w:r>
          </w:p>
        </w:tc>
      </w:tr>
      <w:tr w:rsidR="00D0360E" w:rsidRPr="00DD6A04" w14:paraId="251229AE" w14:textId="77777777" w:rsidTr="46F9D6A4">
        <w:trPr>
          <w:trHeight w:val="302"/>
        </w:trPr>
        <w:tc>
          <w:tcPr>
            <w:tcW w:w="1247" w:type="dxa"/>
            <w:shd w:val="clear" w:color="auto" w:fill="C6EFCE"/>
            <w:noWrap/>
          </w:tcPr>
          <w:p w14:paraId="50950E81" w14:textId="687F4F11" w:rsidR="00D0360E" w:rsidRPr="00DD6A04" w:rsidRDefault="00D0360E" w:rsidP="00D0360E">
            <w:pPr>
              <w:spacing w:before="0" w:after="0" w:line="276" w:lineRule="auto"/>
              <w:jc w:val="center"/>
              <w:rPr>
                <w:rFonts w:eastAsia="Times New Roman"/>
                <w:noProof/>
                <w:color w:val="006100"/>
                <w:sz w:val="22"/>
              </w:rPr>
            </w:pPr>
            <w:r>
              <w:rPr>
                <w:noProof/>
                <w:color w:val="006100"/>
                <w:sz w:val="22"/>
              </w:rPr>
              <w:t xml:space="preserve"> 220</w:t>
            </w:r>
          </w:p>
        </w:tc>
        <w:tc>
          <w:tcPr>
            <w:tcW w:w="3119" w:type="dxa"/>
            <w:shd w:val="clear" w:color="auto" w:fill="C6EFCE"/>
            <w:noWrap/>
          </w:tcPr>
          <w:p w14:paraId="688EDE3B" w14:textId="239C58C2" w:rsidR="00D0360E" w:rsidRPr="00DD6A04" w:rsidRDefault="00A209C6" w:rsidP="6B3B27EA">
            <w:pPr>
              <w:spacing w:before="0" w:after="0" w:line="240" w:lineRule="auto"/>
              <w:rPr>
                <w:rFonts w:eastAsia="Times New Roman"/>
                <w:noProof/>
                <w:color w:val="006100"/>
                <w:sz w:val="22"/>
              </w:rPr>
            </w:pPr>
            <w:r>
              <w:rPr>
                <w:noProof/>
                <w:color w:val="006100"/>
                <w:sz w:val="22"/>
              </w:rPr>
              <w:t>E: Spodbujanje vzpostavitve infrastrukture za alternativna goriva v prometu (razširitev)</w:t>
            </w:r>
          </w:p>
          <w:p w14:paraId="015A48C1" w14:textId="77777777" w:rsidR="00D0360E" w:rsidRPr="00DD6A04" w:rsidRDefault="00D0360E" w:rsidP="00D0360E">
            <w:pPr>
              <w:spacing w:before="0" w:after="0" w:line="276" w:lineRule="auto"/>
              <w:rPr>
                <w:rFonts w:eastAsia="Times New Roman"/>
                <w:noProof/>
                <w:color w:val="006100"/>
                <w:sz w:val="22"/>
                <w:lang w:val="en-GB" w:eastAsia="en-GB"/>
              </w:rPr>
            </w:pPr>
          </w:p>
        </w:tc>
        <w:tc>
          <w:tcPr>
            <w:tcW w:w="1247" w:type="dxa"/>
            <w:shd w:val="clear" w:color="auto" w:fill="C6EFCE"/>
            <w:noWrap/>
          </w:tcPr>
          <w:p w14:paraId="7FA5B813" w14:textId="4BF06E80"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1393B84D" w14:textId="7272EC0E" w:rsidR="00D0360E" w:rsidRPr="00DD6A04" w:rsidRDefault="00D0360E" w:rsidP="00D0360E">
            <w:pPr>
              <w:spacing w:before="0" w:after="0" w:line="276" w:lineRule="auto"/>
              <w:rPr>
                <w:rFonts w:eastAsia="Times New Roman"/>
                <w:noProof/>
                <w:color w:val="006100"/>
                <w:sz w:val="22"/>
              </w:rPr>
            </w:pPr>
            <w:r>
              <w:rPr>
                <w:noProof/>
                <w:color w:val="006100"/>
                <w:sz w:val="22"/>
              </w:rPr>
              <w:t>Podprti električni avtobusi in avtobusi na vodik s spremljajočo polnilno infrastrukturo</w:t>
            </w:r>
          </w:p>
        </w:tc>
      </w:tr>
      <w:tr w:rsidR="00D0360E" w:rsidRPr="00DD6A04" w14:paraId="717E0837" w14:textId="77777777" w:rsidTr="46F9D6A4">
        <w:trPr>
          <w:trHeight w:val="302"/>
        </w:trPr>
        <w:tc>
          <w:tcPr>
            <w:tcW w:w="1247" w:type="dxa"/>
            <w:shd w:val="clear" w:color="auto" w:fill="C6EFCE"/>
            <w:noWrap/>
          </w:tcPr>
          <w:p w14:paraId="29D94BBE" w14:textId="4005DD6C" w:rsidR="00D0360E" w:rsidRPr="00DD6A04" w:rsidRDefault="00D0360E" w:rsidP="00D0360E">
            <w:pPr>
              <w:spacing w:before="0" w:after="0" w:line="276" w:lineRule="auto"/>
              <w:jc w:val="center"/>
              <w:rPr>
                <w:rFonts w:eastAsia="Times New Roman"/>
                <w:noProof/>
                <w:color w:val="006100"/>
                <w:sz w:val="22"/>
              </w:rPr>
            </w:pPr>
            <w:r>
              <w:rPr>
                <w:noProof/>
                <w:color w:val="006100"/>
                <w:sz w:val="22"/>
              </w:rPr>
              <w:t xml:space="preserve"> 221</w:t>
            </w:r>
          </w:p>
        </w:tc>
        <w:tc>
          <w:tcPr>
            <w:tcW w:w="3119" w:type="dxa"/>
            <w:shd w:val="clear" w:color="auto" w:fill="C6EFCE"/>
            <w:noWrap/>
          </w:tcPr>
          <w:p w14:paraId="103B844E" w14:textId="3C0C54FF" w:rsidR="00D0360E" w:rsidRPr="00DD6A04" w:rsidRDefault="00A209C6" w:rsidP="6B3B27EA">
            <w:pPr>
              <w:spacing w:before="0" w:after="0" w:line="276" w:lineRule="auto"/>
              <w:rPr>
                <w:rFonts w:eastAsia="Times New Roman"/>
                <w:noProof/>
                <w:color w:val="006100"/>
                <w:sz w:val="22"/>
              </w:rPr>
            </w:pPr>
            <w:r>
              <w:rPr>
                <w:noProof/>
                <w:color w:val="006100"/>
                <w:sz w:val="22"/>
              </w:rPr>
              <w:t>E: Spodbujanje vzpostavitve infrastrukture za alternativna goriva v prometu (razširitev)</w:t>
            </w:r>
          </w:p>
        </w:tc>
        <w:tc>
          <w:tcPr>
            <w:tcW w:w="1247" w:type="dxa"/>
            <w:shd w:val="clear" w:color="auto" w:fill="C6EFCE"/>
            <w:noWrap/>
          </w:tcPr>
          <w:p w14:paraId="564F545D" w14:textId="752D853B" w:rsidR="00D0360E" w:rsidRPr="00DD6A04" w:rsidRDefault="00D0360E" w:rsidP="00D0360E">
            <w:pPr>
              <w:spacing w:before="0" w:after="0" w:line="276" w:lineRule="auto"/>
              <w:rPr>
                <w:rFonts w:eastAsia="Times New Roman"/>
                <w:noProof/>
                <w:color w:val="006100"/>
                <w:sz w:val="22"/>
              </w:rPr>
            </w:pPr>
            <w:r>
              <w:rPr>
                <w:noProof/>
                <w:color w:val="006100"/>
                <w:sz w:val="22"/>
              </w:rPr>
              <w:t>Cilj</w:t>
            </w:r>
          </w:p>
        </w:tc>
        <w:tc>
          <w:tcPr>
            <w:tcW w:w="4139" w:type="dxa"/>
            <w:shd w:val="clear" w:color="auto" w:fill="C6EFCE"/>
            <w:noWrap/>
          </w:tcPr>
          <w:p w14:paraId="3C645E2F" w14:textId="6CB6485F" w:rsidR="00D0360E" w:rsidRPr="00DD6A04" w:rsidRDefault="00D0360E" w:rsidP="00D0360E">
            <w:pPr>
              <w:spacing w:before="0" w:after="0" w:line="276" w:lineRule="auto"/>
              <w:rPr>
                <w:rFonts w:eastAsia="Times New Roman"/>
                <w:noProof/>
                <w:color w:val="006100"/>
                <w:sz w:val="22"/>
              </w:rPr>
            </w:pPr>
            <w:r>
              <w:rPr>
                <w:noProof/>
                <w:color w:val="006100"/>
                <w:sz w:val="22"/>
              </w:rPr>
              <w:t>Podprta brezemisijska vozila</w:t>
            </w:r>
          </w:p>
        </w:tc>
      </w:tr>
      <w:tr w:rsidR="00D0360E" w:rsidRPr="00DD6A04" w14:paraId="3BE931AB" w14:textId="77777777" w:rsidTr="46F9D6A4">
        <w:trPr>
          <w:trHeight w:val="302"/>
        </w:trPr>
        <w:tc>
          <w:tcPr>
            <w:tcW w:w="1247" w:type="dxa"/>
            <w:shd w:val="clear" w:color="auto" w:fill="C6EFCE"/>
            <w:noWrap/>
            <w:vAlign w:val="bottom"/>
          </w:tcPr>
          <w:p w14:paraId="2C531F6A" w14:textId="77777777" w:rsidR="00D0360E" w:rsidRPr="00DD6A04" w:rsidRDefault="00D0360E" w:rsidP="00D0360E">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0BE8E247" w14:textId="77777777" w:rsidR="00D0360E" w:rsidRPr="00DD6A04" w:rsidRDefault="00D0360E" w:rsidP="00D0360E">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003D7D30" w14:textId="07B31DF8" w:rsidR="00D0360E" w:rsidRPr="00DD6A04" w:rsidRDefault="00D0360E" w:rsidP="00D0360E">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51F8412D" w14:textId="6775BA67" w:rsidR="00D0360E" w:rsidRPr="00DD6A04" w:rsidRDefault="00D0360E" w:rsidP="00D0360E">
            <w:pPr>
              <w:spacing w:before="0" w:after="0" w:line="276" w:lineRule="auto"/>
              <w:rPr>
                <w:rFonts w:eastAsia="Times New Roman"/>
                <w:noProof/>
                <w:color w:val="006100"/>
                <w:sz w:val="22"/>
              </w:rPr>
            </w:pPr>
            <w:r>
              <w:rPr>
                <w:b/>
                <w:noProof/>
                <w:color w:val="006100"/>
                <w:sz w:val="22"/>
              </w:rPr>
              <w:t>190 887 432 EUR</w:t>
            </w:r>
          </w:p>
        </w:tc>
      </w:tr>
    </w:tbl>
    <w:p w14:paraId="3ED404BB" w14:textId="77777777" w:rsidR="003C6015" w:rsidRPr="00DD6A04" w:rsidRDefault="003C6015" w:rsidP="003C6015">
      <w:pPr>
        <w:spacing w:line="240" w:lineRule="auto"/>
        <w:jc w:val="both"/>
        <w:rPr>
          <w:b/>
          <w:noProof/>
          <w:lang w:val="en-GB"/>
        </w:rPr>
      </w:pPr>
    </w:p>
    <w:p w14:paraId="66C655F2" w14:textId="77777777" w:rsidR="003C6015" w:rsidRPr="00DD6A04" w:rsidRDefault="003C6015" w:rsidP="00BD7FBD">
      <w:pPr>
        <w:numPr>
          <w:ilvl w:val="0"/>
          <w:numId w:val="19"/>
        </w:numPr>
        <w:spacing w:before="0" w:after="200" w:line="240" w:lineRule="auto"/>
        <w:jc w:val="both"/>
        <w:rPr>
          <w:b/>
          <w:noProof/>
        </w:rPr>
      </w:pPr>
      <w:r>
        <w:rPr>
          <w:b/>
          <w:noProof/>
        </w:rPr>
        <w:t xml:space="preserve">Posojilo </w:t>
      </w:r>
    </w:p>
    <w:p w14:paraId="61DC00D9" w14:textId="77777777" w:rsidR="003C6015" w:rsidRPr="00DD6A04" w:rsidRDefault="003C6015" w:rsidP="003C6015">
      <w:pPr>
        <w:spacing w:line="240" w:lineRule="auto"/>
        <w:ind w:left="850"/>
        <w:jc w:val="both"/>
        <w:rPr>
          <w:noProof/>
        </w:rPr>
      </w:pPr>
      <w:r>
        <w:rPr>
          <w:noProof/>
        </w:rPr>
        <w:t>Obroki iz člena 3(2) se razporedijo na naslednji način:</w:t>
      </w:r>
    </w:p>
    <w:p w14:paraId="5019802A" w14:textId="77777777" w:rsidR="003C6015" w:rsidRPr="00DD6A04" w:rsidRDefault="003C6015" w:rsidP="003C6015">
      <w:pPr>
        <w:spacing w:line="240" w:lineRule="auto"/>
        <w:ind w:left="850"/>
        <w:jc w:val="both"/>
        <w:rPr>
          <w:noProof/>
          <w:lang w:val="en-GB"/>
        </w:rPr>
      </w:pPr>
    </w:p>
    <w:p w14:paraId="7D56A458" w14:textId="77777777" w:rsidR="003C6015" w:rsidRPr="00DD6A04" w:rsidRDefault="003C6015" w:rsidP="00BD7FBD">
      <w:pPr>
        <w:numPr>
          <w:ilvl w:val="1"/>
          <w:numId w:val="19"/>
        </w:numPr>
        <w:spacing w:before="0" w:after="200" w:line="240" w:lineRule="auto"/>
        <w:jc w:val="both"/>
        <w:rPr>
          <w:noProof/>
        </w:rPr>
      </w:pPr>
      <w:r>
        <w:rPr>
          <w:noProof/>
        </w:rPr>
        <w:t xml:space="preserve">Prvi obrok (podpora v obliki posojila): </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9"/>
        <w:gridCol w:w="1255"/>
        <w:gridCol w:w="4139"/>
      </w:tblGrid>
      <w:tr w:rsidR="006E71FF" w:rsidRPr="00DD6A04" w14:paraId="3AAC8764" w14:textId="77777777">
        <w:trPr>
          <w:trHeight w:val="567"/>
          <w:tblHeader/>
        </w:trPr>
        <w:tc>
          <w:tcPr>
            <w:tcW w:w="1247" w:type="dxa"/>
            <w:vMerge w:val="restart"/>
            <w:shd w:val="clear" w:color="auto" w:fill="BDD7EE"/>
            <w:vAlign w:val="center"/>
            <w:hideMark/>
          </w:tcPr>
          <w:p w14:paraId="6193F1CF" w14:textId="77777777" w:rsidR="006E71FF" w:rsidRPr="00DD6A04" w:rsidRDefault="006E71FF">
            <w:pPr>
              <w:spacing w:before="0" w:after="0" w:line="276" w:lineRule="auto"/>
              <w:jc w:val="center"/>
              <w:rPr>
                <w:rFonts w:eastAsia="Times New Roman"/>
                <w:b/>
                <w:noProof/>
                <w:sz w:val="22"/>
              </w:rPr>
            </w:pPr>
            <w:r>
              <w:rPr>
                <w:b/>
                <w:noProof/>
                <w:sz w:val="22"/>
              </w:rPr>
              <w:t>Zaporedna številka</w:t>
            </w:r>
          </w:p>
        </w:tc>
        <w:tc>
          <w:tcPr>
            <w:tcW w:w="3119" w:type="dxa"/>
            <w:vMerge w:val="restart"/>
            <w:shd w:val="clear" w:color="auto" w:fill="BDD7EE"/>
            <w:vAlign w:val="center"/>
            <w:hideMark/>
          </w:tcPr>
          <w:p w14:paraId="03B06BE4" w14:textId="77777777" w:rsidR="006E71FF" w:rsidRPr="00DD6A04" w:rsidRDefault="006E71FF">
            <w:pPr>
              <w:spacing w:before="0" w:after="0" w:line="276" w:lineRule="auto"/>
              <w:jc w:val="center"/>
              <w:rPr>
                <w:rFonts w:eastAsia="Times New Roman"/>
                <w:b/>
                <w:noProof/>
                <w:sz w:val="22"/>
              </w:rPr>
            </w:pPr>
            <w:r>
              <w:rPr>
                <w:b/>
                <w:noProof/>
                <w:sz w:val="22"/>
              </w:rPr>
              <w:t>Povezani ukrep (reforma ali naložba)</w:t>
            </w:r>
          </w:p>
        </w:tc>
        <w:tc>
          <w:tcPr>
            <w:tcW w:w="1247" w:type="dxa"/>
            <w:vMerge w:val="restart"/>
            <w:shd w:val="clear" w:color="auto" w:fill="BDD7EE"/>
            <w:vAlign w:val="center"/>
            <w:hideMark/>
          </w:tcPr>
          <w:p w14:paraId="2227CD91" w14:textId="77777777" w:rsidR="006E71FF" w:rsidRPr="00DD6A04" w:rsidRDefault="006E71FF">
            <w:pPr>
              <w:spacing w:before="0" w:after="0" w:line="276" w:lineRule="auto"/>
              <w:jc w:val="center"/>
              <w:rPr>
                <w:rFonts w:eastAsia="Times New Roman"/>
                <w:b/>
                <w:noProof/>
                <w:sz w:val="22"/>
              </w:rPr>
            </w:pPr>
            <w:r>
              <w:rPr>
                <w:b/>
                <w:noProof/>
                <w:sz w:val="22"/>
              </w:rPr>
              <w:t>Mejnik/cilj</w:t>
            </w:r>
          </w:p>
        </w:tc>
        <w:tc>
          <w:tcPr>
            <w:tcW w:w="4139" w:type="dxa"/>
            <w:vMerge w:val="restart"/>
            <w:shd w:val="clear" w:color="auto" w:fill="BDD7EE"/>
            <w:vAlign w:val="center"/>
            <w:hideMark/>
          </w:tcPr>
          <w:p w14:paraId="6C05EEF1" w14:textId="77777777" w:rsidR="006E71FF" w:rsidRPr="00DD6A04" w:rsidRDefault="006E71FF">
            <w:pPr>
              <w:spacing w:before="0" w:after="0" w:line="276" w:lineRule="auto"/>
              <w:jc w:val="center"/>
              <w:rPr>
                <w:rFonts w:eastAsia="Times New Roman"/>
                <w:b/>
                <w:noProof/>
                <w:sz w:val="22"/>
              </w:rPr>
            </w:pPr>
            <w:r>
              <w:rPr>
                <w:b/>
                <w:noProof/>
                <w:sz w:val="22"/>
              </w:rPr>
              <w:t>Ime</w:t>
            </w:r>
          </w:p>
        </w:tc>
      </w:tr>
      <w:tr w:rsidR="006E71FF" w:rsidRPr="00DD6A04" w14:paraId="3D2909DB" w14:textId="77777777">
        <w:trPr>
          <w:trHeight w:val="309"/>
          <w:tblHeader/>
        </w:trPr>
        <w:tc>
          <w:tcPr>
            <w:tcW w:w="1247" w:type="dxa"/>
            <w:vMerge/>
            <w:vAlign w:val="center"/>
            <w:hideMark/>
          </w:tcPr>
          <w:p w14:paraId="07D2DA47" w14:textId="77777777" w:rsidR="006E71FF" w:rsidRPr="00DD6A04" w:rsidRDefault="006E71FF">
            <w:pPr>
              <w:spacing w:before="0" w:after="0" w:line="276" w:lineRule="auto"/>
              <w:jc w:val="center"/>
              <w:rPr>
                <w:rFonts w:eastAsia="Times New Roman"/>
                <w:b/>
                <w:noProof/>
                <w:sz w:val="22"/>
                <w:szCs w:val="24"/>
                <w:lang w:val="en-GB" w:eastAsia="en-GB"/>
              </w:rPr>
            </w:pPr>
          </w:p>
        </w:tc>
        <w:tc>
          <w:tcPr>
            <w:tcW w:w="3119" w:type="dxa"/>
            <w:vMerge/>
            <w:vAlign w:val="center"/>
            <w:hideMark/>
          </w:tcPr>
          <w:p w14:paraId="3F0C8C31" w14:textId="77777777" w:rsidR="006E71FF" w:rsidRPr="00DD6A04" w:rsidRDefault="006E71FF">
            <w:pPr>
              <w:spacing w:before="0" w:after="0" w:line="276" w:lineRule="auto"/>
              <w:rPr>
                <w:rFonts w:eastAsia="Times New Roman"/>
                <w:b/>
                <w:noProof/>
                <w:sz w:val="22"/>
                <w:szCs w:val="24"/>
                <w:lang w:val="en-GB" w:eastAsia="en-GB"/>
              </w:rPr>
            </w:pPr>
          </w:p>
        </w:tc>
        <w:tc>
          <w:tcPr>
            <w:tcW w:w="1247" w:type="dxa"/>
            <w:vMerge/>
            <w:vAlign w:val="center"/>
            <w:hideMark/>
          </w:tcPr>
          <w:p w14:paraId="5F6B08B1" w14:textId="77777777" w:rsidR="006E71FF" w:rsidRPr="00DD6A04" w:rsidRDefault="006E71FF">
            <w:pPr>
              <w:spacing w:before="0" w:after="0" w:line="276" w:lineRule="auto"/>
              <w:rPr>
                <w:rFonts w:eastAsia="Times New Roman"/>
                <w:b/>
                <w:noProof/>
                <w:sz w:val="22"/>
                <w:szCs w:val="24"/>
                <w:lang w:val="en-GB" w:eastAsia="en-GB"/>
              </w:rPr>
            </w:pPr>
          </w:p>
        </w:tc>
        <w:tc>
          <w:tcPr>
            <w:tcW w:w="4139" w:type="dxa"/>
            <w:vMerge/>
            <w:vAlign w:val="center"/>
            <w:hideMark/>
          </w:tcPr>
          <w:p w14:paraId="283966CA" w14:textId="77777777" w:rsidR="006E71FF" w:rsidRPr="00DD6A04" w:rsidRDefault="006E71FF">
            <w:pPr>
              <w:spacing w:before="0" w:after="0" w:line="276" w:lineRule="auto"/>
              <w:rPr>
                <w:rFonts w:eastAsia="Times New Roman"/>
                <w:b/>
                <w:noProof/>
                <w:sz w:val="22"/>
                <w:szCs w:val="24"/>
                <w:lang w:val="en-GB" w:eastAsia="en-GB"/>
              </w:rPr>
            </w:pPr>
          </w:p>
        </w:tc>
      </w:tr>
      <w:tr w:rsidR="00BD5A42" w:rsidRPr="00DD6A04" w14:paraId="72E352EE" w14:textId="77777777">
        <w:trPr>
          <w:trHeight w:val="302"/>
        </w:trPr>
        <w:tc>
          <w:tcPr>
            <w:tcW w:w="1247" w:type="dxa"/>
            <w:shd w:val="clear" w:color="auto" w:fill="C6EFCE"/>
            <w:noWrap/>
          </w:tcPr>
          <w:p w14:paraId="70933E5F" w14:textId="77777777" w:rsidR="00BD5A42" w:rsidRPr="00DD6A04" w:rsidRDefault="00BD5A42" w:rsidP="00BD5A42">
            <w:pPr>
              <w:spacing w:before="0" w:after="0" w:line="276" w:lineRule="auto"/>
              <w:rPr>
                <w:rFonts w:eastAsia="Times New Roman"/>
                <w:noProof/>
                <w:color w:val="006100"/>
                <w:sz w:val="22"/>
                <w:lang w:val="en-GB" w:eastAsia="en-GB"/>
              </w:rPr>
            </w:pPr>
          </w:p>
          <w:p w14:paraId="5BCCC5B6" w14:textId="77777777" w:rsidR="00BD5A42" w:rsidRPr="00DD6A04" w:rsidRDefault="00BD5A42" w:rsidP="00BD5A42">
            <w:pPr>
              <w:spacing w:before="0" w:after="0" w:line="276" w:lineRule="auto"/>
              <w:jc w:val="center"/>
              <w:rPr>
                <w:rFonts w:eastAsia="Times New Roman"/>
                <w:noProof/>
                <w:color w:val="006100"/>
                <w:sz w:val="22"/>
              </w:rPr>
            </w:pPr>
            <w:r>
              <w:rPr>
                <w:noProof/>
                <w:color w:val="006100"/>
                <w:sz w:val="22"/>
              </w:rPr>
              <w:t>13</w:t>
            </w:r>
          </w:p>
          <w:p w14:paraId="6A6BF26B"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4A3FE73C" w14:textId="59C9B30E" w:rsidR="00BD5A42" w:rsidRPr="00DD6A04" w:rsidRDefault="00BD5A42" w:rsidP="00BD5A42">
            <w:pPr>
              <w:spacing w:before="0" w:after="0" w:line="276" w:lineRule="auto"/>
              <w:rPr>
                <w:rFonts w:eastAsia="Times New Roman"/>
                <w:noProof/>
                <w:color w:val="006100"/>
                <w:sz w:val="22"/>
              </w:rPr>
            </w:pPr>
            <w:r>
              <w:rPr>
                <w:noProof/>
                <w:color w:val="006100"/>
                <w:sz w:val="22"/>
              </w:rPr>
              <w:t>B: Reforma oskrbe z električno energijo za potrebe spodbujanja obnovljivih virov energije</w:t>
            </w:r>
          </w:p>
        </w:tc>
        <w:tc>
          <w:tcPr>
            <w:tcW w:w="1247" w:type="dxa"/>
            <w:shd w:val="clear" w:color="auto" w:fill="C6EFCE"/>
            <w:noWrap/>
          </w:tcPr>
          <w:p w14:paraId="1096C603" w14:textId="29E6F50E"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03371312" w14:textId="1C53F32E" w:rsidR="00BD5A42" w:rsidRPr="00DD6A04" w:rsidRDefault="00BD5A42" w:rsidP="00BD5A42">
            <w:pPr>
              <w:spacing w:before="0" w:after="0" w:line="276" w:lineRule="auto"/>
              <w:rPr>
                <w:rFonts w:eastAsia="Times New Roman"/>
                <w:noProof/>
                <w:color w:val="006100"/>
                <w:sz w:val="22"/>
              </w:rPr>
            </w:pPr>
            <w:r>
              <w:rPr>
                <w:noProof/>
                <w:color w:val="006100"/>
                <w:sz w:val="22"/>
              </w:rPr>
              <w:t xml:space="preserve">Začetek veljavnosti Zakona o oskrbi z električno energijo </w:t>
            </w:r>
          </w:p>
        </w:tc>
      </w:tr>
      <w:tr w:rsidR="00BD5A42" w:rsidRPr="00DD6A04" w14:paraId="4F29C54E" w14:textId="77777777">
        <w:trPr>
          <w:trHeight w:val="302"/>
        </w:trPr>
        <w:tc>
          <w:tcPr>
            <w:tcW w:w="1247" w:type="dxa"/>
            <w:shd w:val="clear" w:color="auto" w:fill="C6EFCE"/>
            <w:noWrap/>
          </w:tcPr>
          <w:p w14:paraId="5BA4DE10" w14:textId="77777777" w:rsidR="00BD5A42" w:rsidRPr="00DD6A04" w:rsidRDefault="00BD5A42" w:rsidP="00BD5A42">
            <w:pPr>
              <w:spacing w:before="0" w:after="0" w:line="276" w:lineRule="auto"/>
              <w:jc w:val="center"/>
              <w:rPr>
                <w:rFonts w:eastAsia="Times New Roman"/>
                <w:noProof/>
                <w:color w:val="006100"/>
                <w:sz w:val="22"/>
                <w:lang w:val="en-GB" w:eastAsia="en-GB"/>
              </w:rPr>
            </w:pPr>
          </w:p>
          <w:p w14:paraId="5EE7E80C" w14:textId="77777777" w:rsidR="00BD5A42" w:rsidRPr="00DD6A04" w:rsidRDefault="00BD5A42" w:rsidP="00BD5A42">
            <w:pPr>
              <w:spacing w:before="0" w:after="0" w:line="276" w:lineRule="auto"/>
              <w:jc w:val="center"/>
              <w:rPr>
                <w:rFonts w:eastAsia="Times New Roman"/>
                <w:noProof/>
                <w:color w:val="006100"/>
                <w:sz w:val="22"/>
              </w:rPr>
            </w:pPr>
            <w:r>
              <w:rPr>
                <w:noProof/>
                <w:color w:val="006100"/>
                <w:sz w:val="22"/>
              </w:rPr>
              <w:t>17</w:t>
            </w:r>
          </w:p>
          <w:p w14:paraId="15F179EA"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6BDEBD61" w14:textId="01BE0535" w:rsidR="00BD5A42" w:rsidRPr="00DD6A04" w:rsidRDefault="00BD5A42" w:rsidP="00BD5A42">
            <w:pPr>
              <w:spacing w:before="0" w:after="0" w:line="276" w:lineRule="auto"/>
              <w:rPr>
                <w:rFonts w:eastAsia="Times New Roman"/>
                <w:noProof/>
                <w:color w:val="006100"/>
                <w:sz w:val="22"/>
              </w:rPr>
            </w:pPr>
            <w:r>
              <w:rPr>
                <w:noProof/>
                <w:color w:val="006100"/>
                <w:sz w:val="22"/>
              </w:rPr>
              <w:t>F: Nadaljnja krepitev distribucijskega omrežja električne energije</w:t>
            </w:r>
          </w:p>
        </w:tc>
        <w:tc>
          <w:tcPr>
            <w:tcW w:w="1247" w:type="dxa"/>
            <w:shd w:val="clear" w:color="auto" w:fill="C6EFCE"/>
            <w:noWrap/>
          </w:tcPr>
          <w:p w14:paraId="5B1414FE" w14:textId="71DA647E"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2C763DB3" w14:textId="624E365A" w:rsidR="00BD5A42" w:rsidRPr="00DD6A04" w:rsidRDefault="00BD5A42" w:rsidP="00BD5A42">
            <w:pPr>
              <w:spacing w:before="0" w:after="0" w:line="276" w:lineRule="auto"/>
              <w:rPr>
                <w:rFonts w:eastAsia="Times New Roman"/>
                <w:noProof/>
                <w:color w:val="006100"/>
                <w:sz w:val="22"/>
              </w:rPr>
            </w:pPr>
            <w:r>
              <w:rPr>
                <w:noProof/>
                <w:color w:val="006100"/>
                <w:sz w:val="22"/>
              </w:rPr>
              <w:t>Objava javnega razpisa za novo nizkonapetostno distribucijsko omrežje</w:t>
            </w:r>
          </w:p>
        </w:tc>
      </w:tr>
      <w:tr w:rsidR="00BD5A42" w:rsidRPr="00DD6A04" w14:paraId="1AC23935" w14:textId="77777777">
        <w:trPr>
          <w:trHeight w:val="302"/>
        </w:trPr>
        <w:tc>
          <w:tcPr>
            <w:tcW w:w="1247" w:type="dxa"/>
            <w:shd w:val="clear" w:color="auto" w:fill="C6EFCE"/>
            <w:noWrap/>
          </w:tcPr>
          <w:p w14:paraId="6D87FFEC" w14:textId="77777777" w:rsidR="00BD5A42" w:rsidRPr="00DD6A04" w:rsidRDefault="00BD5A42" w:rsidP="00BD5A42">
            <w:pPr>
              <w:spacing w:before="0" w:after="0" w:line="276" w:lineRule="auto"/>
              <w:jc w:val="center"/>
              <w:rPr>
                <w:rFonts w:eastAsia="Times New Roman"/>
                <w:noProof/>
                <w:color w:val="006100"/>
                <w:sz w:val="22"/>
                <w:lang w:val="en-GB" w:eastAsia="en-GB"/>
              </w:rPr>
            </w:pPr>
          </w:p>
          <w:p w14:paraId="1571E9C9" w14:textId="77777777" w:rsidR="00BD5A42" w:rsidRPr="00DD6A04" w:rsidRDefault="00BD5A42" w:rsidP="00BD5A42">
            <w:pPr>
              <w:spacing w:before="0" w:after="0" w:line="276" w:lineRule="auto"/>
              <w:jc w:val="center"/>
              <w:rPr>
                <w:rFonts w:eastAsia="Times New Roman"/>
                <w:noProof/>
                <w:color w:val="006100"/>
                <w:sz w:val="22"/>
              </w:rPr>
            </w:pPr>
            <w:r>
              <w:rPr>
                <w:noProof/>
                <w:color w:val="006100"/>
                <w:sz w:val="22"/>
              </w:rPr>
              <w:t>46</w:t>
            </w:r>
          </w:p>
          <w:p w14:paraId="108333E8"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46AF458" w14:textId="4E2290F8" w:rsidR="00BD5A42" w:rsidRPr="00DD6A04" w:rsidRDefault="00BD5A42" w:rsidP="00BD5A42">
            <w:pPr>
              <w:spacing w:before="0" w:after="0" w:line="276" w:lineRule="auto"/>
              <w:rPr>
                <w:rFonts w:eastAsia="Times New Roman"/>
                <w:noProof/>
                <w:color w:val="006100"/>
                <w:sz w:val="22"/>
              </w:rPr>
            </w:pPr>
            <w:r>
              <w:rPr>
                <w:noProof/>
                <w:color w:val="006100"/>
                <w:sz w:val="22"/>
              </w:rPr>
              <w:t>B: Krepitev preventive za dvig protipoplavne varnosti</w:t>
            </w:r>
          </w:p>
        </w:tc>
        <w:tc>
          <w:tcPr>
            <w:tcW w:w="1247" w:type="dxa"/>
            <w:shd w:val="clear" w:color="auto" w:fill="C6EFCE"/>
            <w:noWrap/>
          </w:tcPr>
          <w:p w14:paraId="662C9C1F" w14:textId="1F2068D7"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586E4E64" w14:textId="3962C56A" w:rsidR="00BD5A42" w:rsidRPr="00DD6A04" w:rsidRDefault="00BD5A42" w:rsidP="00BD5A42">
            <w:pPr>
              <w:spacing w:before="0" w:after="0" w:line="276" w:lineRule="auto"/>
              <w:rPr>
                <w:rFonts w:eastAsia="Times New Roman"/>
                <w:noProof/>
                <w:color w:val="006100"/>
                <w:sz w:val="22"/>
              </w:rPr>
            </w:pPr>
            <w:r>
              <w:rPr>
                <w:noProof/>
                <w:color w:val="006100"/>
                <w:sz w:val="22"/>
              </w:rPr>
              <w:t xml:space="preserve">Začetek veljavnosti novega načrta za obvladovanje poplavne ogroženosti </w:t>
            </w:r>
          </w:p>
        </w:tc>
      </w:tr>
      <w:tr w:rsidR="00BD5A42" w:rsidRPr="00DD6A04" w14:paraId="37CF18B9" w14:textId="77777777">
        <w:trPr>
          <w:trHeight w:val="302"/>
        </w:trPr>
        <w:tc>
          <w:tcPr>
            <w:tcW w:w="1247" w:type="dxa"/>
            <w:shd w:val="clear" w:color="auto" w:fill="C6EFCE"/>
            <w:noWrap/>
          </w:tcPr>
          <w:p w14:paraId="6CCE1129" w14:textId="77777777" w:rsidR="00BD5A42" w:rsidRPr="00DD6A04" w:rsidRDefault="00BD5A42" w:rsidP="00BD5A42">
            <w:pPr>
              <w:spacing w:before="0" w:after="0" w:line="276" w:lineRule="auto"/>
              <w:jc w:val="center"/>
              <w:rPr>
                <w:rFonts w:eastAsia="Times New Roman"/>
                <w:noProof/>
                <w:color w:val="006100"/>
                <w:sz w:val="22"/>
                <w:lang w:val="en-GB" w:eastAsia="en-GB"/>
              </w:rPr>
            </w:pPr>
          </w:p>
          <w:p w14:paraId="38755565" w14:textId="77777777" w:rsidR="00BD5A42" w:rsidRPr="00DD6A04" w:rsidRDefault="00BD5A42" w:rsidP="00BD5A42">
            <w:pPr>
              <w:spacing w:before="0" w:after="0" w:line="276" w:lineRule="auto"/>
              <w:jc w:val="center"/>
              <w:rPr>
                <w:rFonts w:eastAsia="Times New Roman"/>
                <w:noProof/>
                <w:color w:val="006100"/>
                <w:sz w:val="22"/>
              </w:rPr>
            </w:pPr>
            <w:r>
              <w:rPr>
                <w:noProof/>
                <w:color w:val="006100"/>
                <w:sz w:val="22"/>
              </w:rPr>
              <w:t>50</w:t>
            </w:r>
          </w:p>
          <w:p w14:paraId="47AAB71A"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7B3F3AF5" w14:textId="47D9357C" w:rsidR="00BD5A42" w:rsidRPr="00DD6A04" w:rsidRDefault="00BD5A42" w:rsidP="00BD5A42">
            <w:pPr>
              <w:spacing w:before="0" w:after="0" w:line="276" w:lineRule="auto"/>
              <w:rPr>
                <w:rFonts w:eastAsia="Times New Roman"/>
                <w:noProof/>
                <w:color w:val="006100"/>
                <w:sz w:val="22"/>
              </w:rPr>
            </w:pPr>
            <w:r>
              <w:rPr>
                <w:noProof/>
                <w:color w:val="006100"/>
                <w:sz w:val="22"/>
              </w:rPr>
              <w:t>H: Nadaljnji projekti odvajanja in čiščenja komunalne odpadne vode ter njene ponovne rabe</w:t>
            </w:r>
            <w:r w:rsidR="00037751">
              <w:rPr>
                <w:noProof/>
                <w:color w:val="006100"/>
                <w:sz w:val="22"/>
              </w:rPr>
              <w:t xml:space="preserve"> </w:t>
            </w:r>
          </w:p>
        </w:tc>
        <w:tc>
          <w:tcPr>
            <w:tcW w:w="1247" w:type="dxa"/>
            <w:shd w:val="clear" w:color="auto" w:fill="C6EFCE"/>
            <w:noWrap/>
          </w:tcPr>
          <w:p w14:paraId="43C5B307" w14:textId="79528A8F"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1271EE49" w14:textId="2258D38B" w:rsidR="00BD5A42" w:rsidRPr="00DD6A04" w:rsidRDefault="00BD5A42" w:rsidP="00BD5A42">
            <w:pPr>
              <w:spacing w:before="0" w:after="0" w:line="276" w:lineRule="auto"/>
              <w:rPr>
                <w:rFonts w:eastAsia="Times New Roman"/>
                <w:noProof/>
                <w:color w:val="006100"/>
                <w:sz w:val="22"/>
              </w:rPr>
            </w:pPr>
            <w:r>
              <w:rPr>
                <w:noProof/>
                <w:color w:val="006100"/>
                <w:sz w:val="22"/>
              </w:rPr>
              <w:t>Izdaja sklepov o sofinanciranju za projekte odvajanja in čiščenja komunalne odpadne vode</w:t>
            </w:r>
          </w:p>
        </w:tc>
      </w:tr>
      <w:tr w:rsidR="00BD5A42" w:rsidRPr="00DD6A04" w14:paraId="3AB5D8AC" w14:textId="77777777">
        <w:trPr>
          <w:trHeight w:val="302"/>
        </w:trPr>
        <w:tc>
          <w:tcPr>
            <w:tcW w:w="1247" w:type="dxa"/>
            <w:shd w:val="clear" w:color="auto" w:fill="C6EFCE"/>
            <w:noWrap/>
          </w:tcPr>
          <w:p w14:paraId="3AB5B89F" w14:textId="77777777" w:rsidR="00BD5A42" w:rsidRPr="00DD6A04" w:rsidRDefault="00BD5A42" w:rsidP="00BD5A42">
            <w:pPr>
              <w:spacing w:before="0" w:after="0" w:line="276" w:lineRule="auto"/>
              <w:jc w:val="center"/>
              <w:rPr>
                <w:rFonts w:eastAsia="Times New Roman"/>
                <w:noProof/>
                <w:color w:val="006100"/>
                <w:sz w:val="22"/>
                <w:lang w:val="en-GB" w:eastAsia="en-GB"/>
              </w:rPr>
            </w:pPr>
          </w:p>
          <w:p w14:paraId="68788958" w14:textId="77777777" w:rsidR="00BD5A42" w:rsidRPr="00DD6A04" w:rsidRDefault="00BD5A42" w:rsidP="00BD5A42">
            <w:pPr>
              <w:spacing w:before="0" w:after="0" w:line="276" w:lineRule="auto"/>
              <w:jc w:val="center"/>
              <w:rPr>
                <w:rFonts w:eastAsia="Times New Roman"/>
                <w:noProof/>
                <w:color w:val="006100"/>
                <w:sz w:val="22"/>
              </w:rPr>
            </w:pPr>
            <w:r>
              <w:rPr>
                <w:noProof/>
                <w:color w:val="006100"/>
                <w:sz w:val="22"/>
              </w:rPr>
              <w:t>52</w:t>
            </w:r>
          </w:p>
          <w:p w14:paraId="1EF43F82"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1B3530F3" w14:textId="7339F026" w:rsidR="00BD5A42" w:rsidRPr="00DD6A04" w:rsidRDefault="00BD5A42" w:rsidP="00BD5A42">
            <w:pPr>
              <w:spacing w:before="0" w:after="0" w:line="276" w:lineRule="auto"/>
              <w:rPr>
                <w:rFonts w:eastAsia="Times New Roman"/>
                <w:noProof/>
                <w:color w:val="006100"/>
                <w:sz w:val="22"/>
              </w:rPr>
            </w:pPr>
            <w:r>
              <w:rPr>
                <w:noProof/>
                <w:color w:val="006100"/>
                <w:sz w:val="22"/>
              </w:rPr>
              <w:t>I: Nadaljnji projekti oskrbe in varčevanja s pitno vodo</w:t>
            </w:r>
          </w:p>
        </w:tc>
        <w:tc>
          <w:tcPr>
            <w:tcW w:w="1247" w:type="dxa"/>
            <w:shd w:val="clear" w:color="auto" w:fill="C6EFCE"/>
            <w:noWrap/>
          </w:tcPr>
          <w:p w14:paraId="62A3A222" w14:textId="10BED353"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3A8FD39C" w14:textId="44B82D66" w:rsidR="00BD5A42" w:rsidRPr="00DD6A04" w:rsidRDefault="00BD5A42" w:rsidP="00BD5A42">
            <w:pPr>
              <w:spacing w:before="0" w:after="0" w:line="276" w:lineRule="auto"/>
              <w:rPr>
                <w:rFonts w:eastAsia="Times New Roman"/>
                <w:noProof/>
                <w:color w:val="006100"/>
                <w:sz w:val="22"/>
              </w:rPr>
            </w:pPr>
            <w:r>
              <w:rPr>
                <w:noProof/>
                <w:color w:val="006100"/>
                <w:sz w:val="22"/>
              </w:rPr>
              <w:t>Izdaja sklepov o sofinanciranju za projekte oskrbe s pitno vodo</w:t>
            </w:r>
          </w:p>
        </w:tc>
      </w:tr>
      <w:tr w:rsidR="00BD5A42" w:rsidRPr="00DD6A04" w14:paraId="62878236" w14:textId="77777777">
        <w:trPr>
          <w:trHeight w:val="302"/>
        </w:trPr>
        <w:tc>
          <w:tcPr>
            <w:tcW w:w="1247" w:type="dxa"/>
            <w:shd w:val="clear" w:color="auto" w:fill="C6EFCE"/>
            <w:noWrap/>
          </w:tcPr>
          <w:p w14:paraId="242747BF" w14:textId="77777777" w:rsidR="00BD5A42" w:rsidRPr="00DD6A04" w:rsidRDefault="00BD5A42" w:rsidP="00BD5A42">
            <w:pPr>
              <w:spacing w:before="0" w:after="0" w:line="276" w:lineRule="auto"/>
              <w:jc w:val="center"/>
              <w:rPr>
                <w:rFonts w:eastAsia="Times New Roman"/>
                <w:noProof/>
                <w:color w:val="006100"/>
                <w:sz w:val="22"/>
                <w:lang w:val="en-GB" w:eastAsia="en-GB"/>
              </w:rPr>
            </w:pPr>
          </w:p>
          <w:p w14:paraId="11F837CA" w14:textId="77777777" w:rsidR="00BD5A42" w:rsidRPr="00DD6A04" w:rsidRDefault="00BD5A42" w:rsidP="00BD5A42">
            <w:pPr>
              <w:spacing w:before="0" w:after="0" w:line="276" w:lineRule="auto"/>
              <w:jc w:val="center"/>
              <w:rPr>
                <w:rFonts w:eastAsia="Times New Roman"/>
                <w:noProof/>
                <w:color w:val="006100"/>
                <w:sz w:val="22"/>
              </w:rPr>
            </w:pPr>
            <w:r>
              <w:rPr>
                <w:noProof/>
                <w:color w:val="006100"/>
                <w:sz w:val="22"/>
              </w:rPr>
              <w:t>167</w:t>
            </w:r>
          </w:p>
          <w:p w14:paraId="6D45FF85"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16884A2" w14:textId="7A810C35" w:rsidR="00BD5A42" w:rsidRPr="00DD6A04" w:rsidRDefault="00BD5A42" w:rsidP="00BD5A42">
            <w:pPr>
              <w:spacing w:before="0" w:after="0" w:line="276" w:lineRule="auto"/>
              <w:rPr>
                <w:rFonts w:eastAsia="Times New Roman"/>
                <w:noProof/>
                <w:color w:val="006100"/>
                <w:sz w:val="22"/>
              </w:rPr>
            </w:pPr>
            <w:r>
              <w:rPr>
                <w:noProof/>
                <w:color w:val="006100"/>
                <w:sz w:val="22"/>
              </w:rPr>
              <w:t>D: Strategija za ozelenitev izobraževalne in raziskovalne infrastrukture v Sloveniji</w:t>
            </w:r>
          </w:p>
        </w:tc>
        <w:tc>
          <w:tcPr>
            <w:tcW w:w="1247" w:type="dxa"/>
            <w:shd w:val="clear" w:color="auto" w:fill="C6EFCE"/>
            <w:noWrap/>
          </w:tcPr>
          <w:p w14:paraId="11B5034F" w14:textId="43BE4690"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684CB9F9" w14:textId="75A5DF25" w:rsidR="00BD5A42" w:rsidRPr="00DD6A04" w:rsidRDefault="00BD5A42" w:rsidP="00BD5A42">
            <w:pPr>
              <w:spacing w:before="0" w:after="0" w:line="276" w:lineRule="auto"/>
              <w:rPr>
                <w:rFonts w:eastAsia="Times New Roman"/>
                <w:noProof/>
                <w:color w:val="006100"/>
                <w:sz w:val="22"/>
              </w:rPr>
            </w:pPr>
            <w:r>
              <w:rPr>
                <w:noProof/>
                <w:color w:val="006100"/>
                <w:sz w:val="22"/>
              </w:rPr>
              <w:t>Sprejetje Strategije za ozelenitev izobraževalne in raziskovalne infrastrukture</w:t>
            </w:r>
          </w:p>
        </w:tc>
      </w:tr>
      <w:tr w:rsidR="00BD5A42" w:rsidRPr="00DD6A04" w14:paraId="5A7E8881" w14:textId="77777777">
        <w:trPr>
          <w:trHeight w:val="302"/>
        </w:trPr>
        <w:tc>
          <w:tcPr>
            <w:tcW w:w="1247" w:type="dxa"/>
            <w:shd w:val="clear" w:color="auto" w:fill="C6EFCE"/>
            <w:noWrap/>
            <w:vAlign w:val="center"/>
          </w:tcPr>
          <w:p w14:paraId="039B3C05" w14:textId="776E90AA" w:rsidR="00BD5A42" w:rsidRPr="00DD6A04" w:rsidRDefault="00BD5A42" w:rsidP="00BD5A42">
            <w:pPr>
              <w:spacing w:before="0" w:after="0" w:line="276" w:lineRule="auto"/>
              <w:jc w:val="center"/>
              <w:rPr>
                <w:rFonts w:eastAsia="Times New Roman"/>
                <w:noProof/>
                <w:color w:val="006100"/>
                <w:sz w:val="22"/>
              </w:rPr>
            </w:pPr>
            <w:r>
              <w:rPr>
                <w:noProof/>
                <w:color w:val="006100"/>
                <w:sz w:val="22"/>
              </w:rPr>
              <w:t>205</w:t>
            </w:r>
          </w:p>
        </w:tc>
        <w:tc>
          <w:tcPr>
            <w:tcW w:w="3119" w:type="dxa"/>
            <w:shd w:val="clear" w:color="auto" w:fill="C6EFCE"/>
            <w:noWrap/>
          </w:tcPr>
          <w:p w14:paraId="755A3C98" w14:textId="67B0BE45" w:rsidR="00BD5A42" w:rsidRPr="00DD6A04" w:rsidRDefault="00BD5A42" w:rsidP="00BD5A42">
            <w:pPr>
              <w:spacing w:before="0" w:after="0" w:line="276" w:lineRule="auto"/>
              <w:rPr>
                <w:rFonts w:eastAsia="Times New Roman"/>
                <w:noProof/>
                <w:color w:val="006100"/>
                <w:sz w:val="22"/>
              </w:rPr>
            </w:pPr>
            <w:r>
              <w:rPr>
                <w:noProof/>
                <w:color w:val="006100"/>
                <w:sz w:val="22"/>
              </w:rPr>
              <w:t xml:space="preserve">Krepitev fonda javnih najemnih stanovanj </w:t>
            </w:r>
          </w:p>
        </w:tc>
        <w:tc>
          <w:tcPr>
            <w:tcW w:w="1247" w:type="dxa"/>
            <w:shd w:val="clear" w:color="auto" w:fill="C6EFCE"/>
            <w:noWrap/>
          </w:tcPr>
          <w:p w14:paraId="21D37693" w14:textId="0280484B"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4878B9D9" w14:textId="0E6215F4" w:rsidR="00BD5A42" w:rsidRPr="00DD6A04" w:rsidRDefault="00BD5A42" w:rsidP="00BD5A42">
            <w:pPr>
              <w:spacing w:before="0" w:after="0" w:line="276" w:lineRule="auto"/>
              <w:rPr>
                <w:rFonts w:eastAsia="Times New Roman"/>
                <w:noProof/>
                <w:color w:val="006100"/>
                <w:sz w:val="22"/>
              </w:rPr>
            </w:pPr>
            <w:r>
              <w:rPr>
                <w:noProof/>
                <w:color w:val="006100"/>
                <w:sz w:val="22"/>
              </w:rPr>
              <w:t>Začetek veljavnosti sprememb Stanovanjskega zakona</w:t>
            </w:r>
          </w:p>
        </w:tc>
      </w:tr>
      <w:tr w:rsidR="00BD5A42" w:rsidRPr="00DD6A04" w14:paraId="00600A2F" w14:textId="77777777">
        <w:trPr>
          <w:trHeight w:val="302"/>
        </w:trPr>
        <w:tc>
          <w:tcPr>
            <w:tcW w:w="1247" w:type="dxa"/>
            <w:shd w:val="clear" w:color="auto" w:fill="C6EFCE"/>
            <w:noWrap/>
          </w:tcPr>
          <w:p w14:paraId="63F0E7AA" w14:textId="77777777" w:rsidR="00BD5A42" w:rsidRPr="00DD6A04" w:rsidRDefault="00BD5A42" w:rsidP="00BD5A42">
            <w:pPr>
              <w:spacing w:before="0" w:after="0" w:line="276" w:lineRule="auto"/>
              <w:jc w:val="center"/>
              <w:rPr>
                <w:rFonts w:eastAsia="Times New Roman"/>
                <w:noProof/>
                <w:color w:val="006100"/>
                <w:sz w:val="22"/>
                <w:lang w:val="en-GB" w:eastAsia="en-GB"/>
              </w:rPr>
            </w:pPr>
          </w:p>
          <w:p w14:paraId="2BF4542D" w14:textId="77777777" w:rsidR="00BD5A42" w:rsidRPr="00DD6A04" w:rsidRDefault="00BD5A42" w:rsidP="00BD5A42">
            <w:pPr>
              <w:spacing w:before="0" w:after="0" w:line="276" w:lineRule="auto"/>
              <w:jc w:val="center"/>
              <w:rPr>
                <w:rFonts w:eastAsia="Times New Roman"/>
                <w:noProof/>
                <w:color w:val="006100"/>
                <w:sz w:val="22"/>
              </w:rPr>
            </w:pPr>
            <w:r>
              <w:rPr>
                <w:noProof/>
                <w:color w:val="006100"/>
                <w:sz w:val="22"/>
              </w:rPr>
              <w:t>207</w:t>
            </w:r>
          </w:p>
          <w:p w14:paraId="4347B26D"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tcPr>
          <w:p w14:paraId="3094D937" w14:textId="574E2002" w:rsidR="00BD5A42" w:rsidRPr="00DD6A04" w:rsidRDefault="00BD5A42" w:rsidP="00BD5A42">
            <w:pPr>
              <w:spacing w:before="0" w:after="0" w:line="276" w:lineRule="auto"/>
              <w:rPr>
                <w:rFonts w:eastAsia="Times New Roman"/>
                <w:noProof/>
                <w:color w:val="006100"/>
                <w:sz w:val="22"/>
              </w:rPr>
            </w:pPr>
            <w:r>
              <w:rPr>
                <w:noProof/>
                <w:color w:val="006100"/>
                <w:sz w:val="22"/>
              </w:rPr>
              <w:t>Zagotavljanje javnih najemnih stanovanj</w:t>
            </w:r>
          </w:p>
        </w:tc>
        <w:tc>
          <w:tcPr>
            <w:tcW w:w="1247" w:type="dxa"/>
            <w:shd w:val="clear" w:color="auto" w:fill="C6EFCE"/>
            <w:noWrap/>
          </w:tcPr>
          <w:p w14:paraId="595DCFBF" w14:textId="6B2EC883" w:rsidR="00BD5A42" w:rsidRPr="00DD6A04" w:rsidRDefault="00BD5A42" w:rsidP="00BD5A42">
            <w:pPr>
              <w:spacing w:before="0" w:after="0" w:line="276" w:lineRule="auto"/>
              <w:rPr>
                <w:rFonts w:eastAsia="Times New Roman"/>
                <w:noProof/>
                <w:color w:val="006100"/>
                <w:sz w:val="22"/>
              </w:rPr>
            </w:pPr>
            <w:r>
              <w:rPr>
                <w:noProof/>
                <w:color w:val="006100"/>
                <w:sz w:val="22"/>
              </w:rPr>
              <w:t>Mejnik</w:t>
            </w:r>
          </w:p>
        </w:tc>
        <w:tc>
          <w:tcPr>
            <w:tcW w:w="4139" w:type="dxa"/>
            <w:shd w:val="clear" w:color="auto" w:fill="C6EFCE"/>
            <w:noWrap/>
          </w:tcPr>
          <w:p w14:paraId="7EF7B823" w14:textId="68B27AD8" w:rsidR="00BD5A42" w:rsidRPr="00DD6A04" w:rsidRDefault="00BD5A42" w:rsidP="00BD5A42">
            <w:pPr>
              <w:spacing w:before="0" w:after="0" w:line="276" w:lineRule="auto"/>
              <w:rPr>
                <w:rFonts w:eastAsia="Times New Roman"/>
                <w:noProof/>
                <w:color w:val="006100"/>
                <w:sz w:val="22"/>
              </w:rPr>
            </w:pPr>
            <w:r>
              <w:rPr>
                <w:noProof/>
                <w:color w:val="006100"/>
                <w:sz w:val="22"/>
              </w:rPr>
              <w:t>Dodelitev sredstev za zagotavljanje javnih najemnih stanovanj</w:t>
            </w:r>
          </w:p>
        </w:tc>
      </w:tr>
      <w:tr w:rsidR="00BD5A42" w:rsidRPr="00DD6A04" w14:paraId="2D6794D9" w14:textId="77777777">
        <w:trPr>
          <w:trHeight w:val="302"/>
        </w:trPr>
        <w:tc>
          <w:tcPr>
            <w:tcW w:w="1247" w:type="dxa"/>
            <w:shd w:val="clear" w:color="auto" w:fill="C6EFCE"/>
            <w:noWrap/>
            <w:vAlign w:val="bottom"/>
          </w:tcPr>
          <w:p w14:paraId="7F735D1A" w14:textId="77777777" w:rsidR="00BD5A42" w:rsidRPr="00DD6A04" w:rsidRDefault="00BD5A42" w:rsidP="00BD5A42">
            <w:pPr>
              <w:spacing w:before="0" w:after="0" w:line="276" w:lineRule="auto"/>
              <w:jc w:val="center"/>
              <w:rPr>
                <w:rFonts w:eastAsia="Times New Roman"/>
                <w:noProof/>
                <w:color w:val="006100"/>
                <w:sz w:val="22"/>
                <w:lang w:val="en-GB" w:eastAsia="en-GB"/>
              </w:rPr>
            </w:pPr>
          </w:p>
        </w:tc>
        <w:tc>
          <w:tcPr>
            <w:tcW w:w="3119" w:type="dxa"/>
            <w:shd w:val="clear" w:color="auto" w:fill="C6EFCE"/>
            <w:noWrap/>
            <w:vAlign w:val="bottom"/>
          </w:tcPr>
          <w:p w14:paraId="07C798D9" w14:textId="77777777" w:rsidR="00BD5A42" w:rsidRPr="00DD6A04" w:rsidRDefault="00BD5A42" w:rsidP="00BD5A42">
            <w:pPr>
              <w:spacing w:before="0" w:after="0" w:line="276" w:lineRule="auto"/>
              <w:rPr>
                <w:rFonts w:eastAsia="Times New Roman"/>
                <w:noProof/>
                <w:color w:val="006100"/>
                <w:sz w:val="22"/>
                <w:lang w:val="en-GB" w:eastAsia="en-GB"/>
              </w:rPr>
            </w:pPr>
          </w:p>
        </w:tc>
        <w:tc>
          <w:tcPr>
            <w:tcW w:w="1247" w:type="dxa"/>
            <w:shd w:val="clear" w:color="auto" w:fill="C6EFCE"/>
            <w:noWrap/>
            <w:vAlign w:val="bottom"/>
          </w:tcPr>
          <w:p w14:paraId="0F3F7C00" w14:textId="347D42E1" w:rsidR="00BD5A42" w:rsidRPr="00DD6A04" w:rsidRDefault="00BD5A42" w:rsidP="00BD5A42">
            <w:pPr>
              <w:spacing w:before="0" w:after="0" w:line="276" w:lineRule="auto"/>
              <w:rPr>
                <w:rFonts w:eastAsia="Times New Roman"/>
                <w:noProof/>
                <w:color w:val="006100"/>
                <w:sz w:val="22"/>
              </w:rPr>
            </w:pPr>
            <w:r>
              <w:rPr>
                <w:b/>
                <w:noProof/>
                <w:color w:val="006100"/>
                <w:sz w:val="22"/>
              </w:rPr>
              <w:t>Znesek obroka</w:t>
            </w:r>
          </w:p>
        </w:tc>
        <w:tc>
          <w:tcPr>
            <w:tcW w:w="4139" w:type="dxa"/>
            <w:shd w:val="clear" w:color="auto" w:fill="C6EFCE"/>
            <w:noWrap/>
            <w:vAlign w:val="bottom"/>
          </w:tcPr>
          <w:p w14:paraId="1184C433" w14:textId="78A50A70" w:rsidR="00BD5A42" w:rsidRPr="00DD6A04" w:rsidRDefault="00BD5A42" w:rsidP="00BD5A42">
            <w:pPr>
              <w:spacing w:before="0" w:after="0" w:line="276" w:lineRule="auto"/>
              <w:rPr>
                <w:rFonts w:eastAsia="Times New Roman"/>
                <w:noProof/>
                <w:color w:val="006100"/>
                <w:sz w:val="22"/>
              </w:rPr>
            </w:pPr>
            <w:r>
              <w:rPr>
                <w:b/>
                <w:noProof/>
                <w:color w:val="006100"/>
                <w:sz w:val="22"/>
              </w:rPr>
              <w:t>310 091 602 EUR</w:t>
            </w:r>
          </w:p>
        </w:tc>
      </w:tr>
    </w:tbl>
    <w:p w14:paraId="4D195ABA" w14:textId="77777777" w:rsidR="003C6015" w:rsidRPr="00DD6A04" w:rsidRDefault="003C6015" w:rsidP="003C6015">
      <w:pPr>
        <w:spacing w:before="0" w:after="200" w:line="276" w:lineRule="auto"/>
        <w:rPr>
          <w:rFonts w:ascii="Calibri" w:hAnsi="Calibri"/>
          <w:noProof/>
          <w:sz w:val="22"/>
          <w:lang w:val="en-GB"/>
        </w:rPr>
      </w:pPr>
    </w:p>
    <w:p w14:paraId="60BA6B55" w14:textId="77777777" w:rsidR="003C6015" w:rsidRPr="00DD6A04" w:rsidRDefault="003C6015" w:rsidP="00BD7FBD">
      <w:pPr>
        <w:numPr>
          <w:ilvl w:val="1"/>
          <w:numId w:val="19"/>
        </w:numPr>
        <w:spacing w:before="0" w:after="200" w:line="240" w:lineRule="auto"/>
        <w:jc w:val="both"/>
        <w:rPr>
          <w:noProof/>
        </w:rPr>
      </w:pPr>
      <w:r>
        <w:rPr>
          <w:noProof/>
        </w:rPr>
        <w:t xml:space="preserve">Drugi obrok (podpora v obliki posojila): </w:t>
      </w:r>
    </w:p>
    <w:tbl>
      <w:tblPr>
        <w:tblW w:w="9751" w:type="dxa"/>
        <w:tblInd w:w="113" w:type="dxa"/>
        <w:tblLook w:val="04A0" w:firstRow="1" w:lastRow="0" w:firstColumn="1" w:lastColumn="0" w:noHBand="0" w:noVBand="1"/>
      </w:tblPr>
      <w:tblGrid>
        <w:gridCol w:w="1256"/>
        <w:gridCol w:w="3118"/>
        <w:gridCol w:w="1255"/>
        <w:gridCol w:w="4139"/>
      </w:tblGrid>
      <w:tr w:rsidR="003C6015" w:rsidRPr="00DD6A04" w14:paraId="32CA3E4E" w14:textId="77777777" w:rsidTr="00CF5FDB">
        <w:trPr>
          <w:trHeight w:val="906"/>
        </w:trPr>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AB48CF2" w14:textId="77777777" w:rsidR="003C6015" w:rsidRPr="00DD6A04" w:rsidRDefault="003C6015" w:rsidP="003C6015">
            <w:pPr>
              <w:spacing w:before="0" w:after="0" w:line="276" w:lineRule="auto"/>
              <w:jc w:val="center"/>
              <w:rPr>
                <w:rFonts w:eastAsia="Times New Roman"/>
                <w:b/>
                <w:noProof/>
                <w:sz w:val="22"/>
              </w:rPr>
            </w:pPr>
            <w:r>
              <w:rPr>
                <w:b/>
                <w:noProof/>
                <w:sz w:val="22"/>
              </w:rPr>
              <w:t>Zaporedna številka</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B8FFD6D" w14:textId="77777777" w:rsidR="003C6015" w:rsidRPr="00DD6A04" w:rsidRDefault="003C6015" w:rsidP="003C6015">
            <w:pPr>
              <w:spacing w:before="0" w:after="0" w:line="276" w:lineRule="auto"/>
              <w:jc w:val="center"/>
              <w:rPr>
                <w:rFonts w:eastAsia="Times New Roman"/>
                <w:b/>
                <w:noProof/>
                <w:sz w:val="22"/>
              </w:rPr>
            </w:pPr>
            <w:r>
              <w:rPr>
                <w:b/>
                <w:noProof/>
                <w:sz w:val="22"/>
              </w:rPr>
              <w:t>Povezani ukrep (reforma ali naložba)</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DFA0C73" w14:textId="77777777" w:rsidR="003C6015" w:rsidRPr="00DD6A04" w:rsidRDefault="003C6015" w:rsidP="003C6015">
            <w:pPr>
              <w:spacing w:before="0" w:after="0" w:line="276" w:lineRule="auto"/>
              <w:jc w:val="center"/>
              <w:rPr>
                <w:rFonts w:eastAsia="Times New Roman"/>
                <w:b/>
                <w:noProof/>
                <w:sz w:val="22"/>
              </w:rPr>
            </w:pPr>
            <w:r>
              <w:rPr>
                <w:b/>
                <w:noProof/>
                <w:sz w:val="22"/>
              </w:rPr>
              <w:t>Mejnik/cilj</w:t>
            </w:r>
          </w:p>
        </w:tc>
        <w:tc>
          <w:tcPr>
            <w:tcW w:w="4139" w:type="dxa"/>
            <w:vMerge w:val="restart"/>
            <w:tcBorders>
              <w:top w:val="single" w:sz="4" w:space="0" w:color="auto"/>
              <w:left w:val="nil"/>
              <w:bottom w:val="single" w:sz="4" w:space="0" w:color="000000"/>
              <w:right w:val="single" w:sz="4" w:space="0" w:color="auto"/>
            </w:tcBorders>
            <w:shd w:val="clear" w:color="auto" w:fill="BDD7EE"/>
            <w:vAlign w:val="center"/>
            <w:hideMark/>
          </w:tcPr>
          <w:p w14:paraId="0CBC670E" w14:textId="77777777" w:rsidR="003C6015" w:rsidRPr="00DD6A04" w:rsidRDefault="003C6015" w:rsidP="003C6015">
            <w:pPr>
              <w:spacing w:before="0" w:after="0" w:line="276" w:lineRule="auto"/>
              <w:jc w:val="center"/>
              <w:rPr>
                <w:rFonts w:eastAsia="Times New Roman"/>
                <w:b/>
                <w:noProof/>
                <w:sz w:val="22"/>
              </w:rPr>
            </w:pPr>
            <w:r>
              <w:rPr>
                <w:b/>
                <w:noProof/>
                <w:sz w:val="22"/>
              </w:rPr>
              <w:t>Ime</w:t>
            </w:r>
          </w:p>
        </w:tc>
      </w:tr>
      <w:tr w:rsidR="003C6015" w:rsidRPr="00DD6A04" w14:paraId="2B32AAE6" w14:textId="77777777" w:rsidTr="00CF5FDB">
        <w:trPr>
          <w:trHeight w:val="309"/>
        </w:trPr>
        <w:tc>
          <w:tcPr>
            <w:tcW w:w="1247" w:type="dxa"/>
            <w:vMerge/>
            <w:tcBorders>
              <w:top w:val="single" w:sz="4" w:space="0" w:color="auto"/>
              <w:left w:val="single" w:sz="4" w:space="0" w:color="auto"/>
              <w:bottom w:val="single" w:sz="4" w:space="0" w:color="000000"/>
              <w:right w:val="single" w:sz="4" w:space="0" w:color="auto"/>
            </w:tcBorders>
            <w:vAlign w:val="center"/>
            <w:hideMark/>
          </w:tcPr>
          <w:p w14:paraId="13C51559" w14:textId="77777777" w:rsidR="003C6015" w:rsidRPr="00DD6A04" w:rsidRDefault="003C6015" w:rsidP="003C6015">
            <w:pPr>
              <w:spacing w:before="0" w:after="0" w:line="276" w:lineRule="auto"/>
              <w:rPr>
                <w:rFonts w:eastAsia="Times New Roman"/>
                <w:b/>
                <w:noProof/>
                <w:sz w:val="22"/>
                <w:szCs w:val="24"/>
                <w:lang w:val="en-GB" w:eastAsia="en-GB"/>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0AD0B719" w14:textId="77777777" w:rsidR="003C6015" w:rsidRPr="00DD6A04" w:rsidRDefault="003C6015" w:rsidP="003C6015">
            <w:pPr>
              <w:spacing w:before="0" w:after="0" w:line="276" w:lineRule="auto"/>
              <w:rPr>
                <w:rFonts w:eastAsia="Times New Roman"/>
                <w:b/>
                <w:noProof/>
                <w:sz w:val="22"/>
                <w:szCs w:val="24"/>
                <w:lang w:val="en-GB" w:eastAsia="en-GB"/>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040D03AA" w14:textId="77777777" w:rsidR="003C6015" w:rsidRPr="00DD6A04" w:rsidRDefault="003C6015" w:rsidP="003C6015">
            <w:pPr>
              <w:spacing w:before="0" w:after="0" w:line="276" w:lineRule="auto"/>
              <w:rPr>
                <w:rFonts w:eastAsia="Times New Roman"/>
                <w:b/>
                <w:noProof/>
                <w:sz w:val="22"/>
                <w:szCs w:val="24"/>
                <w:lang w:val="en-GB" w:eastAsia="en-GB"/>
              </w:rPr>
            </w:pPr>
          </w:p>
        </w:tc>
        <w:tc>
          <w:tcPr>
            <w:tcW w:w="4139" w:type="dxa"/>
            <w:vMerge/>
            <w:tcBorders>
              <w:top w:val="single" w:sz="4" w:space="0" w:color="auto"/>
              <w:left w:val="nil"/>
              <w:bottom w:val="single" w:sz="4" w:space="0" w:color="000000"/>
              <w:right w:val="single" w:sz="4" w:space="0" w:color="auto"/>
            </w:tcBorders>
            <w:vAlign w:val="center"/>
            <w:hideMark/>
          </w:tcPr>
          <w:p w14:paraId="02525279" w14:textId="77777777" w:rsidR="003C6015" w:rsidRPr="00DD6A04" w:rsidRDefault="003C6015" w:rsidP="003C6015">
            <w:pPr>
              <w:spacing w:before="0" w:after="0" w:line="276" w:lineRule="auto"/>
              <w:rPr>
                <w:rFonts w:eastAsia="Times New Roman"/>
                <w:b/>
                <w:noProof/>
                <w:sz w:val="22"/>
                <w:szCs w:val="24"/>
                <w:lang w:val="en-GB" w:eastAsia="en-GB"/>
              </w:rPr>
            </w:pPr>
          </w:p>
        </w:tc>
      </w:tr>
      <w:tr w:rsidR="00821372" w:rsidRPr="00DD6A04" w14:paraId="44207FC9"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1271F4F6" w14:textId="4CF5B04B" w:rsidR="00821372" w:rsidRPr="00DD6A04" w:rsidRDefault="00821372" w:rsidP="00821372">
            <w:pPr>
              <w:spacing w:before="0" w:after="0" w:line="276" w:lineRule="auto"/>
              <w:jc w:val="center"/>
              <w:rPr>
                <w:rFonts w:eastAsia="Times New Roman"/>
                <w:noProof/>
                <w:color w:val="006100"/>
                <w:sz w:val="22"/>
              </w:rPr>
            </w:pPr>
            <w:r>
              <w:rPr>
                <w:noProof/>
                <w:color w:val="006100"/>
                <w:sz w:val="22"/>
              </w:rPr>
              <w:t>67ter</w:t>
            </w:r>
          </w:p>
        </w:tc>
        <w:tc>
          <w:tcPr>
            <w:tcW w:w="3118" w:type="dxa"/>
            <w:tcBorders>
              <w:top w:val="nil"/>
              <w:left w:val="nil"/>
              <w:bottom w:val="single" w:sz="4" w:space="0" w:color="auto"/>
              <w:right w:val="single" w:sz="4" w:space="0" w:color="auto"/>
            </w:tcBorders>
            <w:shd w:val="clear" w:color="auto" w:fill="C6EFCE"/>
            <w:noWrap/>
          </w:tcPr>
          <w:p w14:paraId="38CF3944" w14:textId="253CF23C" w:rsidR="00821372" w:rsidRPr="00DD6A04" w:rsidRDefault="00821372" w:rsidP="00821372">
            <w:pPr>
              <w:spacing w:before="0" w:after="0" w:line="276" w:lineRule="auto"/>
              <w:rPr>
                <w:noProof/>
                <w:color w:val="006100"/>
              </w:rPr>
            </w:pPr>
            <w:r>
              <w:rPr>
                <w:noProof/>
                <w:color w:val="006100"/>
                <w:sz w:val="22"/>
              </w:rPr>
              <w:t xml:space="preserve">F: Nadgradnja ukrepa spodbujanja vzpostavitve infrastrukture za alternativna goriva </w:t>
            </w:r>
          </w:p>
        </w:tc>
        <w:tc>
          <w:tcPr>
            <w:tcW w:w="1247" w:type="dxa"/>
            <w:tcBorders>
              <w:top w:val="nil"/>
              <w:left w:val="nil"/>
              <w:bottom w:val="single" w:sz="4" w:space="0" w:color="auto"/>
              <w:right w:val="single" w:sz="4" w:space="0" w:color="auto"/>
            </w:tcBorders>
            <w:shd w:val="clear" w:color="auto" w:fill="C6EFCE"/>
            <w:noWrap/>
          </w:tcPr>
          <w:p w14:paraId="00D4AC84" w14:textId="79266006" w:rsidR="00821372" w:rsidRPr="00DD6A04" w:rsidRDefault="00821372" w:rsidP="00821372">
            <w:pPr>
              <w:spacing w:before="0" w:after="0" w:line="276" w:lineRule="auto"/>
              <w:rPr>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77D7EDD5" w14:textId="77777777" w:rsidR="00821372" w:rsidRPr="00DD6A04" w:rsidRDefault="00821372" w:rsidP="00821372">
            <w:pPr>
              <w:spacing w:before="0" w:after="0" w:line="240" w:lineRule="auto"/>
              <w:rPr>
                <w:noProof/>
                <w:color w:val="006100"/>
                <w:sz w:val="22"/>
              </w:rPr>
            </w:pPr>
            <w:r>
              <w:rPr>
                <w:noProof/>
                <w:color w:val="006100"/>
                <w:sz w:val="22"/>
              </w:rPr>
              <w:t xml:space="preserve">Začetek veljavnosti Zakona o infrastrukturi za alternativna goriva in spodbujanju prehoda na alternativna goriva v prometu </w:t>
            </w:r>
          </w:p>
          <w:p w14:paraId="79EAEA03" w14:textId="10005560" w:rsidR="00821372" w:rsidRPr="00DD6A04" w:rsidRDefault="00821372" w:rsidP="00821372">
            <w:pPr>
              <w:spacing w:before="0" w:after="0" w:line="276" w:lineRule="auto"/>
              <w:rPr>
                <w:noProof/>
                <w:color w:val="006100"/>
                <w:sz w:val="22"/>
                <w:lang w:val="en-GB"/>
              </w:rPr>
            </w:pPr>
          </w:p>
        </w:tc>
      </w:tr>
      <w:tr w:rsidR="003C6015" w:rsidRPr="00DD6A04" w14:paraId="31CB1806"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hideMark/>
          </w:tcPr>
          <w:p w14:paraId="51D30336"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272F0E4D"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168</w:t>
            </w:r>
          </w:p>
          <w:p w14:paraId="53447816"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hideMark/>
          </w:tcPr>
          <w:p w14:paraId="04BFD536" w14:textId="4F2DF967" w:rsidR="003C6015" w:rsidRPr="00DD6A04" w:rsidRDefault="00831CF6" w:rsidP="003C6015">
            <w:pPr>
              <w:spacing w:before="0" w:after="0" w:line="276" w:lineRule="auto"/>
              <w:rPr>
                <w:rFonts w:eastAsia="Times New Roman"/>
                <w:noProof/>
                <w:color w:val="006100"/>
                <w:sz w:val="22"/>
              </w:rPr>
            </w:pPr>
            <w:r>
              <w:rPr>
                <w:noProof/>
                <w:color w:val="006100"/>
              </w:rPr>
              <w:t>H</w:t>
            </w:r>
            <w:r>
              <w:rPr>
                <w:noProof/>
                <w:color w:val="006100"/>
                <w:sz w:val="22"/>
              </w:rPr>
              <w:t>: Nadaljnja ozelenitev izobraževalne infrastrukture v Sloveniji</w:t>
            </w:r>
          </w:p>
        </w:tc>
        <w:tc>
          <w:tcPr>
            <w:tcW w:w="1247" w:type="dxa"/>
            <w:tcBorders>
              <w:top w:val="nil"/>
              <w:left w:val="nil"/>
              <w:bottom w:val="single" w:sz="4" w:space="0" w:color="auto"/>
              <w:right w:val="single" w:sz="4" w:space="0" w:color="auto"/>
            </w:tcBorders>
            <w:shd w:val="clear" w:color="auto" w:fill="C6EFCE"/>
            <w:noWrap/>
            <w:hideMark/>
          </w:tcPr>
          <w:p w14:paraId="4E633DB3"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hideMark/>
          </w:tcPr>
          <w:p w14:paraId="5042E800"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Dokončan izbor naložbenih projektov za ozelenitev izobraževalne infrastrukture</w:t>
            </w:r>
          </w:p>
        </w:tc>
      </w:tr>
      <w:tr w:rsidR="003C6015" w:rsidRPr="00DD6A04" w14:paraId="013CB216"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hideMark/>
          </w:tcPr>
          <w:p w14:paraId="576577B8"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6AAEAA01"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203</w:t>
            </w:r>
          </w:p>
        </w:tc>
        <w:tc>
          <w:tcPr>
            <w:tcW w:w="3118" w:type="dxa"/>
            <w:tcBorders>
              <w:top w:val="nil"/>
              <w:left w:val="nil"/>
              <w:bottom w:val="single" w:sz="4" w:space="0" w:color="auto"/>
              <w:right w:val="single" w:sz="4" w:space="0" w:color="auto"/>
            </w:tcBorders>
            <w:shd w:val="clear" w:color="auto" w:fill="C6EFCE"/>
            <w:noWrap/>
            <w:hideMark/>
          </w:tcPr>
          <w:p w14:paraId="49BCD23D"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 Zagotovitev varnega okolja bivanja za osebe, ki so odvisne od pomoči drugih</w:t>
            </w:r>
          </w:p>
        </w:tc>
        <w:tc>
          <w:tcPr>
            <w:tcW w:w="1247" w:type="dxa"/>
            <w:tcBorders>
              <w:top w:val="nil"/>
              <w:left w:val="nil"/>
              <w:bottom w:val="single" w:sz="4" w:space="0" w:color="auto"/>
              <w:right w:val="single" w:sz="4" w:space="0" w:color="auto"/>
            </w:tcBorders>
            <w:shd w:val="clear" w:color="auto" w:fill="C6EFCE"/>
            <w:noWrap/>
            <w:hideMark/>
          </w:tcPr>
          <w:p w14:paraId="6BDA3AE2"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hideMark/>
          </w:tcPr>
          <w:p w14:paraId="2E11F04E" w14:textId="30711A35" w:rsidR="003C6015" w:rsidRPr="00DD6A04" w:rsidRDefault="003C6015" w:rsidP="003C6015">
            <w:pPr>
              <w:spacing w:before="0" w:after="0" w:line="276" w:lineRule="auto"/>
              <w:rPr>
                <w:rFonts w:eastAsia="Times New Roman"/>
                <w:noProof/>
                <w:color w:val="006100"/>
                <w:sz w:val="22"/>
              </w:rPr>
            </w:pPr>
            <w:r>
              <w:rPr>
                <w:noProof/>
                <w:color w:val="006100"/>
                <w:sz w:val="22"/>
              </w:rPr>
              <w:t>Dodelitev sredstev za gradnjo novih ustanov za institucionalno varstvo</w:t>
            </w:r>
          </w:p>
        </w:tc>
      </w:tr>
      <w:tr w:rsidR="003C6015" w:rsidRPr="00DD6A04" w14:paraId="26F63134" w14:textId="77777777" w:rsidTr="00CF5FDB">
        <w:trPr>
          <w:trHeight w:val="302"/>
        </w:trPr>
        <w:tc>
          <w:tcPr>
            <w:tcW w:w="1247"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088AFFD"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66D44703"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1247" w:type="dxa"/>
            <w:tcBorders>
              <w:top w:val="single" w:sz="4" w:space="0" w:color="auto"/>
              <w:left w:val="nil"/>
              <w:bottom w:val="single" w:sz="4" w:space="0" w:color="auto"/>
              <w:right w:val="single" w:sz="4" w:space="0" w:color="auto"/>
            </w:tcBorders>
            <w:shd w:val="clear" w:color="auto" w:fill="C6EFCE"/>
            <w:noWrap/>
            <w:vAlign w:val="bottom"/>
          </w:tcPr>
          <w:p w14:paraId="78B53C14" w14:textId="77777777" w:rsidR="003C6015" w:rsidRPr="00DD6A04" w:rsidRDefault="003C6015" w:rsidP="003C6015">
            <w:pPr>
              <w:spacing w:before="0" w:after="0" w:line="276" w:lineRule="auto"/>
              <w:rPr>
                <w:rFonts w:eastAsia="Times New Roman"/>
                <w:b/>
                <w:noProof/>
                <w:color w:val="006100"/>
                <w:sz w:val="22"/>
              </w:rPr>
            </w:pPr>
            <w:r>
              <w:rPr>
                <w:b/>
                <w:noProof/>
                <w:color w:val="006100"/>
                <w:sz w:val="22"/>
              </w:rPr>
              <w:t>Znesek obroka</w:t>
            </w:r>
          </w:p>
        </w:tc>
        <w:tc>
          <w:tcPr>
            <w:tcW w:w="4139" w:type="dxa"/>
            <w:tcBorders>
              <w:top w:val="single" w:sz="4" w:space="0" w:color="auto"/>
              <w:left w:val="nil"/>
              <w:bottom w:val="single" w:sz="4" w:space="0" w:color="auto"/>
              <w:right w:val="single" w:sz="4" w:space="0" w:color="auto"/>
            </w:tcBorders>
            <w:shd w:val="clear" w:color="auto" w:fill="C6EFCE"/>
            <w:noWrap/>
            <w:vAlign w:val="bottom"/>
          </w:tcPr>
          <w:p w14:paraId="5BCEC8B2" w14:textId="0E22B055" w:rsidR="003C6015" w:rsidRPr="00DD6A04" w:rsidRDefault="003C6015" w:rsidP="003C6015">
            <w:pPr>
              <w:spacing w:before="0" w:after="0" w:line="276" w:lineRule="auto"/>
              <w:rPr>
                <w:rFonts w:eastAsia="Times New Roman"/>
                <w:b/>
                <w:noProof/>
                <w:color w:val="006100"/>
                <w:sz w:val="22"/>
              </w:rPr>
            </w:pPr>
            <w:r>
              <w:rPr>
                <w:b/>
                <w:noProof/>
                <w:color w:val="006100"/>
                <w:sz w:val="22"/>
              </w:rPr>
              <w:t xml:space="preserve">116 127 827 EUR </w:t>
            </w:r>
          </w:p>
        </w:tc>
      </w:tr>
    </w:tbl>
    <w:p w14:paraId="789625A8" w14:textId="1EFAD950" w:rsidR="00974A14" w:rsidRPr="00DD6A04" w:rsidRDefault="00974A14" w:rsidP="003C6015">
      <w:pPr>
        <w:spacing w:before="0" w:after="200" w:line="276" w:lineRule="auto"/>
        <w:rPr>
          <w:rFonts w:ascii="Calibri" w:hAnsi="Calibri"/>
          <w:noProof/>
          <w:sz w:val="22"/>
          <w:lang w:val="en-GB"/>
        </w:rPr>
      </w:pPr>
    </w:p>
    <w:p w14:paraId="70B3F8C5" w14:textId="1EFAD950" w:rsidR="00D95DF9" w:rsidRPr="00DD6A04" w:rsidRDefault="003C6015" w:rsidP="00A0382C">
      <w:pPr>
        <w:numPr>
          <w:ilvl w:val="1"/>
          <w:numId w:val="19"/>
        </w:numPr>
        <w:spacing w:before="0" w:after="200" w:line="240" w:lineRule="auto"/>
        <w:jc w:val="both"/>
        <w:rPr>
          <w:noProof/>
        </w:rPr>
      </w:pPr>
      <w:r>
        <w:rPr>
          <w:noProof/>
        </w:rPr>
        <w:t>Tretji obrok (podpora v obliki posojila):</w:t>
      </w:r>
    </w:p>
    <w:tbl>
      <w:tblPr>
        <w:tblW w:w="9751" w:type="dxa"/>
        <w:tblInd w:w="113" w:type="dxa"/>
        <w:tblLook w:val="04A0" w:firstRow="1" w:lastRow="0" w:firstColumn="1" w:lastColumn="0" w:noHBand="0" w:noVBand="1"/>
      </w:tblPr>
      <w:tblGrid>
        <w:gridCol w:w="1256"/>
        <w:gridCol w:w="3118"/>
        <w:gridCol w:w="1255"/>
        <w:gridCol w:w="4139"/>
      </w:tblGrid>
      <w:tr w:rsidR="00974A14" w:rsidRPr="00DD6A04" w14:paraId="2C2456D5" w14:textId="77777777" w:rsidTr="002E7B11">
        <w:trPr>
          <w:trHeight w:val="906"/>
          <w:tblHeader/>
        </w:trPr>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6B044CF" w14:textId="77777777" w:rsidR="00974A14" w:rsidRPr="00DD6A04" w:rsidRDefault="00974A14">
            <w:pPr>
              <w:spacing w:before="0" w:after="0" w:line="276" w:lineRule="auto"/>
              <w:jc w:val="center"/>
              <w:rPr>
                <w:rFonts w:eastAsia="Times New Roman"/>
                <w:b/>
                <w:noProof/>
                <w:sz w:val="22"/>
              </w:rPr>
            </w:pPr>
            <w:r>
              <w:rPr>
                <w:b/>
                <w:noProof/>
                <w:sz w:val="22"/>
              </w:rPr>
              <w:t>Zaporedna številka</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34C8914" w14:textId="77777777" w:rsidR="00974A14" w:rsidRPr="00DD6A04" w:rsidRDefault="00974A14">
            <w:pPr>
              <w:spacing w:before="0" w:after="0" w:line="276" w:lineRule="auto"/>
              <w:jc w:val="center"/>
              <w:rPr>
                <w:rFonts w:eastAsia="Times New Roman"/>
                <w:b/>
                <w:noProof/>
                <w:sz w:val="22"/>
              </w:rPr>
            </w:pPr>
            <w:r>
              <w:rPr>
                <w:b/>
                <w:noProof/>
                <w:sz w:val="22"/>
              </w:rPr>
              <w:t>Povezani ukrep (reforma ali naložba)</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A336982" w14:textId="77777777" w:rsidR="00974A14" w:rsidRPr="00DD6A04" w:rsidRDefault="00974A14">
            <w:pPr>
              <w:spacing w:before="0" w:after="0" w:line="276" w:lineRule="auto"/>
              <w:jc w:val="center"/>
              <w:rPr>
                <w:rFonts w:eastAsia="Times New Roman"/>
                <w:b/>
                <w:noProof/>
                <w:sz w:val="22"/>
              </w:rPr>
            </w:pPr>
            <w:r>
              <w:rPr>
                <w:b/>
                <w:noProof/>
                <w:sz w:val="22"/>
              </w:rPr>
              <w:t>Mejnik/cilj</w:t>
            </w:r>
          </w:p>
        </w:tc>
        <w:tc>
          <w:tcPr>
            <w:tcW w:w="4139" w:type="dxa"/>
            <w:vMerge w:val="restart"/>
            <w:tcBorders>
              <w:top w:val="single" w:sz="4" w:space="0" w:color="auto"/>
              <w:left w:val="nil"/>
              <w:bottom w:val="single" w:sz="4" w:space="0" w:color="000000"/>
              <w:right w:val="single" w:sz="4" w:space="0" w:color="auto"/>
            </w:tcBorders>
            <w:shd w:val="clear" w:color="auto" w:fill="BDD7EE"/>
            <w:vAlign w:val="center"/>
            <w:hideMark/>
          </w:tcPr>
          <w:p w14:paraId="11635E46" w14:textId="77777777" w:rsidR="00974A14" w:rsidRPr="00DD6A04" w:rsidRDefault="00974A14">
            <w:pPr>
              <w:spacing w:before="0" w:after="0" w:line="276" w:lineRule="auto"/>
              <w:jc w:val="center"/>
              <w:rPr>
                <w:rFonts w:eastAsia="Times New Roman"/>
                <w:b/>
                <w:noProof/>
                <w:sz w:val="22"/>
              </w:rPr>
            </w:pPr>
            <w:r>
              <w:rPr>
                <w:b/>
                <w:noProof/>
                <w:sz w:val="22"/>
              </w:rPr>
              <w:t>Ime</w:t>
            </w:r>
          </w:p>
        </w:tc>
      </w:tr>
      <w:tr w:rsidR="00974A14" w:rsidRPr="00DD6A04" w14:paraId="1C1C86E2" w14:textId="77777777">
        <w:trPr>
          <w:trHeight w:val="309"/>
        </w:trPr>
        <w:tc>
          <w:tcPr>
            <w:tcW w:w="1247" w:type="dxa"/>
            <w:vMerge/>
            <w:tcBorders>
              <w:top w:val="single" w:sz="4" w:space="0" w:color="auto"/>
              <w:left w:val="single" w:sz="4" w:space="0" w:color="auto"/>
              <w:bottom w:val="single" w:sz="4" w:space="0" w:color="000000"/>
              <w:right w:val="single" w:sz="4" w:space="0" w:color="auto"/>
            </w:tcBorders>
            <w:vAlign w:val="center"/>
            <w:hideMark/>
          </w:tcPr>
          <w:p w14:paraId="0923F416" w14:textId="77777777" w:rsidR="00974A14" w:rsidRPr="00DD6A04" w:rsidRDefault="00974A14">
            <w:pPr>
              <w:spacing w:before="0" w:after="0" w:line="276" w:lineRule="auto"/>
              <w:rPr>
                <w:rFonts w:eastAsia="Times New Roman"/>
                <w:b/>
                <w:noProof/>
                <w:sz w:val="22"/>
                <w:szCs w:val="24"/>
                <w:lang w:val="en-GB" w:eastAsia="en-GB"/>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4357A724" w14:textId="77777777" w:rsidR="00974A14" w:rsidRPr="00DD6A04" w:rsidRDefault="00974A14">
            <w:pPr>
              <w:spacing w:before="0" w:after="0" w:line="276" w:lineRule="auto"/>
              <w:rPr>
                <w:rFonts w:eastAsia="Times New Roman"/>
                <w:b/>
                <w:noProof/>
                <w:sz w:val="22"/>
                <w:szCs w:val="24"/>
                <w:lang w:val="en-GB" w:eastAsia="en-GB"/>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14B3DDEE" w14:textId="77777777" w:rsidR="00974A14" w:rsidRPr="00DD6A04" w:rsidRDefault="00974A14">
            <w:pPr>
              <w:spacing w:before="0" w:after="0" w:line="276" w:lineRule="auto"/>
              <w:rPr>
                <w:rFonts w:eastAsia="Times New Roman"/>
                <w:b/>
                <w:noProof/>
                <w:sz w:val="22"/>
                <w:szCs w:val="24"/>
                <w:lang w:val="en-GB" w:eastAsia="en-GB"/>
              </w:rPr>
            </w:pPr>
          </w:p>
        </w:tc>
        <w:tc>
          <w:tcPr>
            <w:tcW w:w="4139" w:type="dxa"/>
            <w:vMerge/>
            <w:tcBorders>
              <w:top w:val="single" w:sz="4" w:space="0" w:color="auto"/>
              <w:left w:val="nil"/>
              <w:bottom w:val="single" w:sz="4" w:space="0" w:color="000000"/>
              <w:right w:val="single" w:sz="4" w:space="0" w:color="auto"/>
            </w:tcBorders>
            <w:vAlign w:val="center"/>
            <w:hideMark/>
          </w:tcPr>
          <w:p w14:paraId="5355C2BC" w14:textId="77777777" w:rsidR="00974A14" w:rsidRPr="00DD6A04" w:rsidRDefault="00974A14">
            <w:pPr>
              <w:spacing w:before="0" w:after="0" w:line="276" w:lineRule="auto"/>
              <w:rPr>
                <w:rFonts w:eastAsia="Times New Roman"/>
                <w:b/>
                <w:noProof/>
                <w:sz w:val="22"/>
                <w:szCs w:val="24"/>
                <w:lang w:val="en-GB" w:eastAsia="en-GB"/>
              </w:rPr>
            </w:pPr>
          </w:p>
        </w:tc>
      </w:tr>
      <w:tr w:rsidR="00974A14" w:rsidRPr="00DD6A04" w14:paraId="230B56A4" w14:textId="77777777">
        <w:trPr>
          <w:trHeight w:val="302"/>
        </w:trPr>
        <w:tc>
          <w:tcPr>
            <w:tcW w:w="1247" w:type="dxa"/>
            <w:tcBorders>
              <w:top w:val="nil"/>
              <w:left w:val="single" w:sz="4" w:space="0" w:color="auto"/>
              <w:bottom w:val="single" w:sz="4" w:space="0" w:color="auto"/>
              <w:right w:val="single" w:sz="4" w:space="0" w:color="auto"/>
            </w:tcBorders>
            <w:shd w:val="clear" w:color="auto" w:fill="C6EFCE"/>
            <w:noWrap/>
            <w:hideMark/>
          </w:tcPr>
          <w:p w14:paraId="0D6F44C0" w14:textId="77777777" w:rsidR="00974A14" w:rsidRPr="00DD6A04" w:rsidRDefault="00974A14">
            <w:pPr>
              <w:spacing w:before="0" w:after="0" w:line="276" w:lineRule="auto"/>
              <w:jc w:val="center"/>
              <w:rPr>
                <w:rFonts w:eastAsia="Times New Roman"/>
                <w:noProof/>
                <w:color w:val="006100"/>
                <w:sz w:val="22"/>
                <w:lang w:val="en-GB" w:eastAsia="en-GB"/>
              </w:rPr>
            </w:pPr>
          </w:p>
          <w:p w14:paraId="1AD8105F" w14:textId="77777777" w:rsidR="00974A14" w:rsidRPr="00DD6A04" w:rsidRDefault="00974A14" w:rsidP="00974A14">
            <w:pPr>
              <w:spacing w:before="0" w:after="0" w:line="276" w:lineRule="auto"/>
              <w:jc w:val="center"/>
              <w:rPr>
                <w:rFonts w:eastAsia="Times New Roman"/>
                <w:noProof/>
                <w:color w:val="006100"/>
                <w:sz w:val="22"/>
              </w:rPr>
            </w:pPr>
            <w:r>
              <w:rPr>
                <w:noProof/>
                <w:color w:val="006100"/>
                <w:sz w:val="22"/>
              </w:rPr>
              <w:t>49</w:t>
            </w:r>
          </w:p>
          <w:p w14:paraId="10844689" w14:textId="77777777" w:rsidR="00974A14" w:rsidRPr="00DD6A04" w:rsidRDefault="00974A14">
            <w:pPr>
              <w:spacing w:before="0" w:after="0" w:line="276" w:lineRule="auto"/>
              <w:jc w:val="center"/>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hideMark/>
          </w:tcPr>
          <w:p w14:paraId="3D92B77C" w14:textId="2961A2C1" w:rsidR="00974A14" w:rsidRPr="00DD6A04" w:rsidRDefault="00974A14">
            <w:pPr>
              <w:spacing w:before="0" w:after="0" w:line="276" w:lineRule="auto"/>
              <w:rPr>
                <w:rFonts w:eastAsia="Times New Roman"/>
                <w:noProof/>
                <w:color w:val="006100"/>
                <w:sz w:val="22"/>
              </w:rPr>
            </w:pPr>
            <w:r>
              <w:rPr>
                <w:noProof/>
                <w:color w:val="006100"/>
                <w:sz w:val="22"/>
              </w:rPr>
              <w:t>D: Povečanje učinkovitosti delovanja javnih služb varstva okolja</w:t>
            </w:r>
          </w:p>
        </w:tc>
        <w:tc>
          <w:tcPr>
            <w:tcW w:w="1247" w:type="dxa"/>
            <w:tcBorders>
              <w:top w:val="nil"/>
              <w:left w:val="nil"/>
              <w:bottom w:val="single" w:sz="4" w:space="0" w:color="auto"/>
              <w:right w:val="single" w:sz="4" w:space="0" w:color="auto"/>
            </w:tcBorders>
            <w:shd w:val="clear" w:color="auto" w:fill="C6EFCE"/>
            <w:noWrap/>
            <w:hideMark/>
          </w:tcPr>
          <w:p w14:paraId="4095DA7D" w14:textId="02626630" w:rsidR="00974A14" w:rsidRPr="00DD6A04" w:rsidRDefault="00974A14">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hideMark/>
          </w:tcPr>
          <w:p w14:paraId="229C802F" w14:textId="77777777" w:rsidR="00974A14" w:rsidRPr="00DD6A04" w:rsidRDefault="00974A14" w:rsidP="00974A14">
            <w:pPr>
              <w:spacing w:before="0" w:after="0" w:line="276" w:lineRule="auto"/>
              <w:rPr>
                <w:rFonts w:eastAsia="Times New Roman"/>
                <w:noProof/>
                <w:color w:val="006100"/>
                <w:sz w:val="22"/>
              </w:rPr>
            </w:pPr>
            <w:r>
              <w:rPr>
                <w:noProof/>
                <w:color w:val="006100"/>
                <w:sz w:val="22"/>
              </w:rPr>
              <w:t>Začetek veljavnosti Zakona o gospodarskih javnih službah varstva okolja</w:t>
            </w:r>
          </w:p>
          <w:p w14:paraId="4FEBC5AD" w14:textId="14191DE4" w:rsidR="00974A14" w:rsidRPr="00DD6A04" w:rsidRDefault="00974A14">
            <w:pPr>
              <w:spacing w:before="0" w:after="0" w:line="276" w:lineRule="auto"/>
              <w:rPr>
                <w:rFonts w:eastAsia="Times New Roman"/>
                <w:noProof/>
                <w:color w:val="006100"/>
                <w:sz w:val="22"/>
                <w:lang w:val="en-GB" w:eastAsia="en-GB"/>
              </w:rPr>
            </w:pPr>
          </w:p>
        </w:tc>
      </w:tr>
      <w:tr w:rsidR="00974A14" w:rsidRPr="00DD6A04" w14:paraId="608B1E4A" w14:textId="77777777">
        <w:trPr>
          <w:trHeight w:val="302"/>
        </w:trPr>
        <w:tc>
          <w:tcPr>
            <w:tcW w:w="1247"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CE326C" w14:textId="77777777" w:rsidR="00974A14" w:rsidRPr="00DD6A04" w:rsidRDefault="00974A14" w:rsidP="00974A14">
            <w:pPr>
              <w:spacing w:before="0" w:after="0" w:line="276" w:lineRule="auto"/>
              <w:jc w:val="center"/>
              <w:rPr>
                <w:rFonts w:eastAsia="Times New Roman"/>
                <w:noProof/>
                <w:color w:val="006100"/>
                <w:sz w:val="22"/>
                <w:lang w:val="en-GB" w:eastAsia="en-GB"/>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7C712B6D" w14:textId="77777777" w:rsidR="00974A14" w:rsidRPr="00DD6A04" w:rsidRDefault="00974A14" w:rsidP="00974A14">
            <w:pPr>
              <w:spacing w:before="0" w:after="0" w:line="276" w:lineRule="auto"/>
              <w:rPr>
                <w:rFonts w:eastAsia="Times New Roman"/>
                <w:noProof/>
                <w:color w:val="006100"/>
                <w:sz w:val="22"/>
                <w:lang w:val="en-GB" w:eastAsia="en-GB"/>
              </w:rPr>
            </w:pPr>
          </w:p>
        </w:tc>
        <w:tc>
          <w:tcPr>
            <w:tcW w:w="1247" w:type="dxa"/>
            <w:tcBorders>
              <w:top w:val="single" w:sz="4" w:space="0" w:color="auto"/>
              <w:left w:val="nil"/>
              <w:bottom w:val="single" w:sz="4" w:space="0" w:color="auto"/>
              <w:right w:val="single" w:sz="4" w:space="0" w:color="auto"/>
            </w:tcBorders>
            <w:shd w:val="clear" w:color="auto" w:fill="C6EFCE"/>
            <w:noWrap/>
            <w:vAlign w:val="bottom"/>
          </w:tcPr>
          <w:p w14:paraId="1C9BFEC5" w14:textId="02BE6DC5" w:rsidR="00974A14" w:rsidRPr="00DD6A04" w:rsidRDefault="00974A14" w:rsidP="00974A14">
            <w:pPr>
              <w:spacing w:before="0" w:after="0" w:line="276" w:lineRule="auto"/>
              <w:rPr>
                <w:rFonts w:eastAsia="Times New Roman"/>
                <w:b/>
                <w:noProof/>
                <w:color w:val="006100"/>
                <w:sz w:val="22"/>
              </w:rPr>
            </w:pPr>
            <w:r>
              <w:rPr>
                <w:b/>
                <w:noProof/>
                <w:color w:val="006100"/>
                <w:sz w:val="22"/>
              </w:rPr>
              <w:t xml:space="preserve">Znesek </w:t>
            </w:r>
            <w:r>
              <w:rPr>
                <w:b/>
                <w:noProof/>
                <w:color w:val="006100"/>
                <w:sz w:val="22"/>
                <w:u w:val="single"/>
              </w:rPr>
              <w:t>obroka</w:t>
            </w:r>
          </w:p>
        </w:tc>
        <w:tc>
          <w:tcPr>
            <w:tcW w:w="4139" w:type="dxa"/>
            <w:tcBorders>
              <w:top w:val="single" w:sz="4" w:space="0" w:color="auto"/>
              <w:left w:val="nil"/>
              <w:bottom w:val="single" w:sz="4" w:space="0" w:color="auto"/>
              <w:right w:val="single" w:sz="4" w:space="0" w:color="auto"/>
            </w:tcBorders>
            <w:shd w:val="clear" w:color="auto" w:fill="C6EFCE"/>
            <w:noWrap/>
            <w:vAlign w:val="bottom"/>
          </w:tcPr>
          <w:p w14:paraId="27897CF2" w14:textId="663B2E86" w:rsidR="00974A14" w:rsidRPr="00DD6A04" w:rsidRDefault="00974A14" w:rsidP="00974A14">
            <w:pPr>
              <w:spacing w:before="0" w:after="0" w:line="276" w:lineRule="auto"/>
              <w:rPr>
                <w:rFonts w:eastAsia="Times New Roman"/>
                <w:b/>
                <w:noProof/>
                <w:color w:val="006100"/>
                <w:sz w:val="22"/>
              </w:rPr>
            </w:pPr>
            <w:r>
              <w:rPr>
                <w:b/>
                <w:noProof/>
                <w:color w:val="006100"/>
                <w:sz w:val="22"/>
              </w:rPr>
              <w:t>49 104 702 EUR</w:t>
            </w:r>
          </w:p>
        </w:tc>
      </w:tr>
    </w:tbl>
    <w:p w14:paraId="7ADE2E6F" w14:textId="1EFAD950" w:rsidR="003C6015" w:rsidRPr="00DD6A04" w:rsidRDefault="003C6015" w:rsidP="00A0382C">
      <w:pPr>
        <w:spacing w:line="240" w:lineRule="auto"/>
        <w:jc w:val="both"/>
        <w:rPr>
          <w:rFonts w:eastAsia="Times New Roman"/>
          <w:b/>
          <w:i/>
          <w:noProof/>
          <w:color w:val="4F81BD"/>
          <w:lang w:val="en-GB"/>
        </w:rPr>
      </w:pPr>
    </w:p>
    <w:p w14:paraId="2CA0F78B" w14:textId="4E3C3F31" w:rsidR="003C6015" w:rsidRPr="00DD6A04" w:rsidRDefault="003C6015" w:rsidP="00BD7FBD">
      <w:pPr>
        <w:numPr>
          <w:ilvl w:val="1"/>
          <w:numId w:val="19"/>
        </w:numPr>
        <w:spacing w:before="0" w:after="200" w:line="240" w:lineRule="auto"/>
        <w:jc w:val="both"/>
        <w:rPr>
          <w:b/>
          <w:noProof/>
        </w:rPr>
      </w:pPr>
      <w:r>
        <w:rPr>
          <w:noProof/>
        </w:rPr>
        <w:t>Četrti obrok (podpora v obliki posojila):</w:t>
      </w:r>
    </w:p>
    <w:tbl>
      <w:tblPr>
        <w:tblW w:w="9751" w:type="dxa"/>
        <w:tblInd w:w="113" w:type="dxa"/>
        <w:tblLook w:val="04A0" w:firstRow="1" w:lastRow="0" w:firstColumn="1" w:lastColumn="0" w:noHBand="0" w:noVBand="1"/>
      </w:tblPr>
      <w:tblGrid>
        <w:gridCol w:w="1256"/>
        <w:gridCol w:w="3118"/>
        <w:gridCol w:w="1255"/>
        <w:gridCol w:w="4139"/>
      </w:tblGrid>
      <w:tr w:rsidR="003C6015" w:rsidRPr="00DD6A04" w14:paraId="5F71EB28" w14:textId="77777777" w:rsidTr="00CF5FDB">
        <w:trPr>
          <w:trHeight w:val="906"/>
        </w:trPr>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64559C0" w14:textId="77777777" w:rsidR="003C6015" w:rsidRPr="00DD6A04" w:rsidRDefault="003C6015" w:rsidP="003C6015">
            <w:pPr>
              <w:spacing w:before="0" w:after="0" w:line="276" w:lineRule="auto"/>
              <w:jc w:val="center"/>
              <w:rPr>
                <w:rFonts w:eastAsia="Times New Roman"/>
                <w:b/>
                <w:noProof/>
                <w:sz w:val="22"/>
              </w:rPr>
            </w:pPr>
            <w:r>
              <w:rPr>
                <w:b/>
                <w:noProof/>
                <w:sz w:val="22"/>
              </w:rPr>
              <w:t>Zaporedna številka</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D90F4D1" w14:textId="77777777" w:rsidR="003C6015" w:rsidRPr="00DD6A04" w:rsidRDefault="003C6015" w:rsidP="003C6015">
            <w:pPr>
              <w:spacing w:before="0" w:after="0" w:line="276" w:lineRule="auto"/>
              <w:jc w:val="center"/>
              <w:rPr>
                <w:rFonts w:eastAsia="Times New Roman"/>
                <w:b/>
                <w:noProof/>
                <w:sz w:val="22"/>
              </w:rPr>
            </w:pPr>
            <w:r>
              <w:rPr>
                <w:b/>
                <w:noProof/>
                <w:sz w:val="22"/>
              </w:rPr>
              <w:t>Povezani ukrep (reforma ali naložba)</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D0CB623" w14:textId="77777777" w:rsidR="003C6015" w:rsidRPr="00DD6A04" w:rsidRDefault="003C6015" w:rsidP="003C6015">
            <w:pPr>
              <w:spacing w:before="0" w:after="0" w:line="276" w:lineRule="auto"/>
              <w:jc w:val="center"/>
              <w:rPr>
                <w:rFonts w:eastAsia="Times New Roman"/>
                <w:b/>
                <w:noProof/>
                <w:sz w:val="22"/>
              </w:rPr>
            </w:pPr>
            <w:r>
              <w:rPr>
                <w:b/>
                <w:noProof/>
                <w:sz w:val="22"/>
              </w:rPr>
              <w:t>Mejnik/cilj</w:t>
            </w:r>
          </w:p>
        </w:tc>
        <w:tc>
          <w:tcPr>
            <w:tcW w:w="4139" w:type="dxa"/>
            <w:vMerge w:val="restart"/>
            <w:tcBorders>
              <w:top w:val="single" w:sz="4" w:space="0" w:color="auto"/>
              <w:left w:val="nil"/>
              <w:bottom w:val="single" w:sz="4" w:space="0" w:color="000000"/>
              <w:right w:val="single" w:sz="4" w:space="0" w:color="auto"/>
            </w:tcBorders>
            <w:shd w:val="clear" w:color="auto" w:fill="BDD7EE"/>
            <w:vAlign w:val="center"/>
            <w:hideMark/>
          </w:tcPr>
          <w:p w14:paraId="4BB4501B" w14:textId="77777777" w:rsidR="003C6015" w:rsidRPr="00DD6A04" w:rsidRDefault="003C6015" w:rsidP="003C6015">
            <w:pPr>
              <w:spacing w:before="0" w:after="0" w:line="276" w:lineRule="auto"/>
              <w:jc w:val="center"/>
              <w:rPr>
                <w:rFonts w:eastAsia="Times New Roman"/>
                <w:b/>
                <w:noProof/>
                <w:sz w:val="22"/>
              </w:rPr>
            </w:pPr>
            <w:r>
              <w:rPr>
                <w:b/>
                <w:noProof/>
                <w:sz w:val="22"/>
              </w:rPr>
              <w:t>Ime</w:t>
            </w:r>
          </w:p>
        </w:tc>
      </w:tr>
      <w:tr w:rsidR="003C6015" w:rsidRPr="00DD6A04" w14:paraId="6F29B0C8" w14:textId="77777777" w:rsidTr="00CF5FDB">
        <w:trPr>
          <w:trHeight w:val="309"/>
        </w:trPr>
        <w:tc>
          <w:tcPr>
            <w:tcW w:w="1247" w:type="dxa"/>
            <w:vMerge/>
            <w:tcBorders>
              <w:top w:val="single" w:sz="4" w:space="0" w:color="auto"/>
              <w:left w:val="single" w:sz="4" w:space="0" w:color="auto"/>
              <w:bottom w:val="single" w:sz="4" w:space="0" w:color="000000"/>
              <w:right w:val="single" w:sz="4" w:space="0" w:color="auto"/>
            </w:tcBorders>
            <w:vAlign w:val="center"/>
            <w:hideMark/>
          </w:tcPr>
          <w:p w14:paraId="30574515" w14:textId="77777777" w:rsidR="003C6015" w:rsidRPr="00DD6A04" w:rsidRDefault="003C6015" w:rsidP="003C6015">
            <w:pPr>
              <w:spacing w:before="0" w:after="0" w:line="276" w:lineRule="auto"/>
              <w:rPr>
                <w:rFonts w:eastAsia="Times New Roman"/>
                <w:b/>
                <w:noProof/>
                <w:sz w:val="22"/>
                <w:szCs w:val="24"/>
                <w:lang w:val="en-GB" w:eastAsia="en-GB"/>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1F021185" w14:textId="77777777" w:rsidR="003C6015" w:rsidRPr="00DD6A04" w:rsidRDefault="003C6015" w:rsidP="003C6015">
            <w:pPr>
              <w:spacing w:before="0" w:after="0" w:line="276" w:lineRule="auto"/>
              <w:rPr>
                <w:rFonts w:eastAsia="Times New Roman"/>
                <w:b/>
                <w:noProof/>
                <w:sz w:val="22"/>
                <w:szCs w:val="24"/>
                <w:lang w:val="en-GB" w:eastAsia="en-GB"/>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2D66DB75" w14:textId="77777777" w:rsidR="003C6015" w:rsidRPr="00DD6A04" w:rsidRDefault="003C6015" w:rsidP="003C6015">
            <w:pPr>
              <w:spacing w:before="0" w:after="0" w:line="276" w:lineRule="auto"/>
              <w:rPr>
                <w:rFonts w:eastAsia="Times New Roman"/>
                <w:b/>
                <w:noProof/>
                <w:sz w:val="22"/>
                <w:szCs w:val="24"/>
                <w:lang w:val="en-GB" w:eastAsia="en-GB"/>
              </w:rPr>
            </w:pPr>
          </w:p>
        </w:tc>
        <w:tc>
          <w:tcPr>
            <w:tcW w:w="4139" w:type="dxa"/>
            <w:vMerge/>
            <w:tcBorders>
              <w:top w:val="single" w:sz="4" w:space="0" w:color="auto"/>
              <w:left w:val="nil"/>
              <w:bottom w:val="single" w:sz="4" w:space="0" w:color="000000"/>
              <w:right w:val="single" w:sz="4" w:space="0" w:color="auto"/>
            </w:tcBorders>
            <w:vAlign w:val="center"/>
            <w:hideMark/>
          </w:tcPr>
          <w:p w14:paraId="5DFDDD8F" w14:textId="77777777" w:rsidR="003C6015" w:rsidRPr="00DD6A04" w:rsidRDefault="003C6015" w:rsidP="003C6015">
            <w:pPr>
              <w:spacing w:before="0" w:after="0" w:line="276" w:lineRule="auto"/>
              <w:rPr>
                <w:rFonts w:eastAsia="Times New Roman"/>
                <w:b/>
                <w:noProof/>
                <w:sz w:val="22"/>
                <w:szCs w:val="24"/>
                <w:lang w:val="en-GB" w:eastAsia="en-GB"/>
              </w:rPr>
            </w:pPr>
          </w:p>
        </w:tc>
      </w:tr>
      <w:tr w:rsidR="001D732A" w:rsidRPr="00DD6A04" w14:paraId="6BDFDD2A" w14:textId="77777777" w:rsidTr="00E1678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6CFC2A4B" w14:textId="77777777" w:rsidR="00BE21D2" w:rsidRPr="00DD6A04" w:rsidRDefault="00BE21D2" w:rsidP="00BE21D2">
            <w:pPr>
              <w:spacing w:before="0" w:after="0" w:line="276" w:lineRule="auto"/>
              <w:jc w:val="center"/>
              <w:rPr>
                <w:rFonts w:eastAsia="Times New Roman"/>
                <w:noProof/>
                <w:color w:val="006100"/>
                <w:sz w:val="22"/>
                <w:lang w:val="en-GB" w:eastAsia="en-GB"/>
              </w:rPr>
            </w:pPr>
          </w:p>
          <w:p w14:paraId="20EF5EDB" w14:textId="77777777" w:rsidR="00BE21D2" w:rsidRPr="00DD6A04" w:rsidRDefault="00BE21D2" w:rsidP="00BE21D2">
            <w:pPr>
              <w:spacing w:before="0" w:after="0" w:line="276" w:lineRule="auto"/>
              <w:jc w:val="center"/>
              <w:rPr>
                <w:rFonts w:eastAsia="Times New Roman"/>
                <w:noProof/>
                <w:color w:val="006100"/>
                <w:sz w:val="22"/>
              </w:rPr>
            </w:pPr>
            <w:r>
              <w:rPr>
                <w:noProof/>
                <w:color w:val="006100"/>
                <w:sz w:val="22"/>
              </w:rPr>
              <w:t>15</w:t>
            </w:r>
          </w:p>
          <w:p w14:paraId="7164B127" w14:textId="77777777" w:rsidR="00BE21D2" w:rsidRPr="00DD6A04" w:rsidRDefault="00BE21D2" w:rsidP="00BE21D2">
            <w:pPr>
              <w:spacing w:before="0" w:after="0" w:line="276" w:lineRule="auto"/>
              <w:jc w:val="center"/>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3EED2658" w14:textId="1A16C8B5" w:rsidR="00BE21D2" w:rsidRPr="00DD6A04" w:rsidRDefault="00BE21D2" w:rsidP="00BE21D2">
            <w:pPr>
              <w:spacing w:before="0" w:after="0" w:line="276" w:lineRule="auto"/>
              <w:rPr>
                <w:rFonts w:eastAsia="Times New Roman"/>
                <w:noProof/>
                <w:color w:val="006100"/>
                <w:u w:val="single"/>
              </w:rPr>
            </w:pPr>
            <w:r>
              <w:rPr>
                <w:noProof/>
                <w:color w:val="006100"/>
                <w:sz w:val="22"/>
              </w:rPr>
              <w:t>E: Proizvodnja elektrike iz obnovljivih virov energije</w:t>
            </w:r>
          </w:p>
        </w:tc>
        <w:tc>
          <w:tcPr>
            <w:tcW w:w="1247" w:type="dxa"/>
            <w:tcBorders>
              <w:top w:val="nil"/>
              <w:left w:val="nil"/>
              <w:bottom w:val="single" w:sz="4" w:space="0" w:color="auto"/>
              <w:right w:val="single" w:sz="4" w:space="0" w:color="auto"/>
            </w:tcBorders>
            <w:shd w:val="clear" w:color="auto" w:fill="C6EFCE"/>
            <w:noWrap/>
          </w:tcPr>
          <w:p w14:paraId="2AE4DD81" w14:textId="771E96BA" w:rsidR="00BE21D2" w:rsidRPr="00DD6A04" w:rsidRDefault="00BE21D2" w:rsidP="00BE21D2">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2912680B" w14:textId="6B8948A4" w:rsidR="00BE21D2" w:rsidRPr="00DD6A04" w:rsidRDefault="00BE21D2" w:rsidP="00BE21D2">
            <w:pPr>
              <w:spacing w:before="0" w:after="0" w:line="256" w:lineRule="auto"/>
              <w:rPr>
                <w:rFonts w:eastAsia="Times New Roman"/>
                <w:noProof/>
                <w:color w:val="006100"/>
                <w:sz w:val="22"/>
              </w:rPr>
            </w:pPr>
            <w:r>
              <w:rPr>
                <w:noProof/>
                <w:color w:val="006100"/>
                <w:sz w:val="22"/>
              </w:rPr>
              <w:t>Oddaja naročil za nove proizvodne naprave na obnovljive vire energije</w:t>
            </w:r>
          </w:p>
        </w:tc>
      </w:tr>
      <w:tr w:rsidR="00ED7698" w:rsidRPr="00DD6A04" w14:paraId="579A0681" w14:textId="77777777" w:rsidTr="00E1678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12AC24F2" w14:textId="751DBE8E" w:rsidR="00ED7698" w:rsidRPr="00DD6A04" w:rsidRDefault="00ED7698" w:rsidP="00ED7698">
            <w:pPr>
              <w:spacing w:before="0" w:after="0" w:line="276" w:lineRule="auto"/>
              <w:jc w:val="center"/>
              <w:rPr>
                <w:rFonts w:eastAsia="Times New Roman"/>
                <w:noProof/>
                <w:color w:val="006100"/>
                <w:sz w:val="22"/>
              </w:rPr>
            </w:pPr>
            <w:r>
              <w:rPr>
                <w:noProof/>
                <w:color w:val="006100"/>
                <w:sz w:val="22"/>
              </w:rPr>
              <w:t>47bis</w:t>
            </w:r>
          </w:p>
        </w:tc>
        <w:tc>
          <w:tcPr>
            <w:tcW w:w="3118" w:type="dxa"/>
            <w:tcBorders>
              <w:top w:val="nil"/>
              <w:left w:val="nil"/>
              <w:bottom w:val="single" w:sz="4" w:space="0" w:color="auto"/>
              <w:right w:val="single" w:sz="4" w:space="0" w:color="auto"/>
            </w:tcBorders>
            <w:shd w:val="clear" w:color="auto" w:fill="C6EFCE"/>
            <w:noWrap/>
          </w:tcPr>
          <w:p w14:paraId="7112064B" w14:textId="112449D2" w:rsidR="00ED7698" w:rsidRPr="00DD6A04" w:rsidRDefault="00ED7698" w:rsidP="00ED7698">
            <w:pPr>
              <w:spacing w:before="0" w:after="0" w:line="276" w:lineRule="auto"/>
              <w:rPr>
                <w:rFonts w:eastAsia="Times New Roman"/>
                <w:noProof/>
                <w:color w:val="006100"/>
                <w:sz w:val="22"/>
              </w:rPr>
            </w:pPr>
            <w:r>
              <w:rPr>
                <w:noProof/>
                <w:color w:val="006100"/>
                <w:sz w:val="22"/>
              </w:rPr>
              <w:t>F: Nadaljnje zmanjševanje poplavne ogroženosti ter zmanjševanje tveganja za druge podnebno pogojene nesreče</w:t>
            </w:r>
          </w:p>
        </w:tc>
        <w:tc>
          <w:tcPr>
            <w:tcW w:w="1247" w:type="dxa"/>
            <w:tcBorders>
              <w:top w:val="nil"/>
              <w:left w:val="nil"/>
              <w:bottom w:val="single" w:sz="4" w:space="0" w:color="auto"/>
              <w:right w:val="single" w:sz="4" w:space="0" w:color="auto"/>
            </w:tcBorders>
            <w:shd w:val="clear" w:color="auto" w:fill="C6EFCE"/>
            <w:noWrap/>
          </w:tcPr>
          <w:p w14:paraId="5B8855CB" w14:textId="3830B70F" w:rsidR="00ED7698" w:rsidRPr="00DD6A04" w:rsidRDefault="00ED7698" w:rsidP="00ED7698">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185031FA" w14:textId="3FEB9603" w:rsidR="00ED7698" w:rsidRPr="00DD6A04" w:rsidRDefault="00ED7698" w:rsidP="00ED7698">
            <w:pPr>
              <w:spacing w:before="0" w:after="0" w:line="256" w:lineRule="auto"/>
              <w:rPr>
                <w:rFonts w:eastAsia="Times New Roman"/>
                <w:noProof/>
                <w:color w:val="006100"/>
                <w:sz w:val="22"/>
              </w:rPr>
            </w:pPr>
            <w:r>
              <w:rPr>
                <w:noProof/>
                <w:color w:val="006100"/>
                <w:sz w:val="22"/>
              </w:rPr>
              <w:t>Oddaja naročil za investicije v protipoplavno varnost</w:t>
            </w:r>
          </w:p>
        </w:tc>
      </w:tr>
      <w:tr w:rsidR="00272393" w:rsidRPr="00DD6A04" w14:paraId="6E11B85D" w14:textId="77777777" w:rsidTr="00E1678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40FE67F0" w14:textId="4B8B9520" w:rsidR="00272393" w:rsidRPr="00DD6A04" w:rsidRDefault="00272393" w:rsidP="00272393">
            <w:pPr>
              <w:spacing w:before="0" w:after="0" w:line="276" w:lineRule="auto"/>
              <w:jc w:val="center"/>
              <w:rPr>
                <w:rFonts w:eastAsia="Times New Roman"/>
                <w:noProof/>
                <w:color w:val="006100"/>
                <w:sz w:val="22"/>
              </w:rPr>
            </w:pPr>
            <w:r>
              <w:rPr>
                <w:noProof/>
                <w:color w:val="006100"/>
                <w:sz w:val="22"/>
              </w:rPr>
              <w:t>67</w:t>
            </w:r>
          </w:p>
        </w:tc>
        <w:tc>
          <w:tcPr>
            <w:tcW w:w="3118" w:type="dxa"/>
            <w:tcBorders>
              <w:top w:val="nil"/>
              <w:left w:val="nil"/>
              <w:bottom w:val="single" w:sz="4" w:space="0" w:color="auto"/>
              <w:right w:val="single" w:sz="4" w:space="0" w:color="auto"/>
            </w:tcBorders>
            <w:shd w:val="clear" w:color="auto" w:fill="C6EFCE"/>
            <w:noWrap/>
          </w:tcPr>
          <w:p w14:paraId="7AE63368" w14:textId="44E4BB87" w:rsidR="00272393" w:rsidRPr="00DD6A04" w:rsidRDefault="00272393" w:rsidP="00272393">
            <w:pPr>
              <w:spacing w:before="0" w:after="0" w:line="276" w:lineRule="auto"/>
              <w:rPr>
                <w:rFonts w:eastAsia="Times New Roman"/>
                <w:noProof/>
                <w:color w:val="006100"/>
                <w:sz w:val="22"/>
              </w:rPr>
            </w:pPr>
            <w:r>
              <w:rPr>
                <w:noProof/>
                <w:color w:val="006100"/>
              </w:rPr>
              <w:t xml:space="preserve">C: </w:t>
            </w:r>
            <w:r>
              <w:rPr>
                <w:noProof/>
                <w:color w:val="006100"/>
                <w:sz w:val="22"/>
              </w:rPr>
              <w:t>Dodatno povečanje zmogljivosti železniške infrastrukture</w:t>
            </w:r>
          </w:p>
        </w:tc>
        <w:tc>
          <w:tcPr>
            <w:tcW w:w="1247" w:type="dxa"/>
            <w:tcBorders>
              <w:top w:val="nil"/>
              <w:left w:val="nil"/>
              <w:bottom w:val="single" w:sz="4" w:space="0" w:color="auto"/>
              <w:right w:val="single" w:sz="4" w:space="0" w:color="auto"/>
            </w:tcBorders>
            <w:shd w:val="clear" w:color="auto" w:fill="C6EFCE"/>
            <w:noWrap/>
          </w:tcPr>
          <w:p w14:paraId="6C4F1916" w14:textId="15FAFECA" w:rsidR="00272393" w:rsidRPr="00DD6A04" w:rsidRDefault="00272393" w:rsidP="00272393">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47DFC15B" w14:textId="77777777" w:rsidR="00272393" w:rsidRPr="00DD6A04" w:rsidRDefault="00272393" w:rsidP="00272393">
            <w:pPr>
              <w:spacing w:before="0" w:after="0" w:line="256" w:lineRule="auto"/>
              <w:rPr>
                <w:rFonts w:eastAsia="Times New Roman"/>
                <w:noProof/>
                <w:color w:val="006100"/>
                <w:sz w:val="22"/>
              </w:rPr>
            </w:pPr>
            <w:r>
              <w:rPr>
                <w:noProof/>
                <w:color w:val="006100"/>
                <w:sz w:val="22"/>
              </w:rPr>
              <w:t>Oddaja naročil za nadgradnjo železniških postaj Ljubljana in Nova Gorica</w:t>
            </w:r>
          </w:p>
          <w:p w14:paraId="31824805" w14:textId="062155A8" w:rsidR="00002FA6" w:rsidRPr="00DD6A04" w:rsidRDefault="00002FA6" w:rsidP="00272393">
            <w:pPr>
              <w:spacing w:before="0" w:after="0" w:line="256" w:lineRule="auto"/>
              <w:rPr>
                <w:rFonts w:eastAsia="Times New Roman"/>
                <w:noProof/>
                <w:color w:val="006100"/>
                <w:sz w:val="22"/>
                <w:lang w:val="en-GB" w:eastAsia="en-GB"/>
              </w:rPr>
            </w:pPr>
          </w:p>
        </w:tc>
      </w:tr>
      <w:tr w:rsidR="003C6015" w:rsidRPr="00DD6A04" w14:paraId="4FB5A54B"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hideMark/>
          </w:tcPr>
          <w:p w14:paraId="2D6FCFD5"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208</w:t>
            </w:r>
          </w:p>
        </w:tc>
        <w:tc>
          <w:tcPr>
            <w:tcW w:w="3118" w:type="dxa"/>
            <w:tcBorders>
              <w:top w:val="nil"/>
              <w:left w:val="nil"/>
              <w:bottom w:val="single" w:sz="4" w:space="0" w:color="auto"/>
              <w:right w:val="single" w:sz="4" w:space="0" w:color="auto"/>
            </w:tcBorders>
            <w:shd w:val="clear" w:color="auto" w:fill="C6EFCE"/>
            <w:noWrap/>
            <w:hideMark/>
          </w:tcPr>
          <w:p w14:paraId="3584FCDD" w14:textId="77777777" w:rsidR="003C6015" w:rsidRPr="00DD6A04" w:rsidRDefault="00831CF6" w:rsidP="003C6015">
            <w:pPr>
              <w:spacing w:before="0" w:after="0" w:line="276" w:lineRule="auto"/>
              <w:rPr>
                <w:rFonts w:eastAsia="Times New Roman"/>
                <w:noProof/>
                <w:color w:val="006100"/>
                <w:sz w:val="22"/>
              </w:rPr>
            </w:pPr>
            <w:r>
              <w:rPr>
                <w:noProof/>
                <w:color w:val="006100"/>
              </w:rPr>
              <w:t xml:space="preserve">B: </w:t>
            </w:r>
            <w:r>
              <w:rPr>
                <w:noProof/>
                <w:color w:val="006100"/>
                <w:sz w:val="22"/>
              </w:rPr>
              <w:t>Zagotavljanje javnih najemnih stanovanj</w:t>
            </w:r>
          </w:p>
        </w:tc>
        <w:tc>
          <w:tcPr>
            <w:tcW w:w="1247" w:type="dxa"/>
            <w:tcBorders>
              <w:top w:val="nil"/>
              <w:left w:val="nil"/>
              <w:bottom w:val="single" w:sz="4" w:space="0" w:color="auto"/>
              <w:right w:val="single" w:sz="4" w:space="0" w:color="auto"/>
            </w:tcBorders>
            <w:shd w:val="clear" w:color="auto" w:fill="C6EFCE"/>
            <w:noWrap/>
            <w:hideMark/>
          </w:tcPr>
          <w:p w14:paraId="49E585FF"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hideMark/>
          </w:tcPr>
          <w:p w14:paraId="05526E1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Dodatna javna najemna stanovanja </w:t>
            </w:r>
          </w:p>
          <w:p w14:paraId="46554144" w14:textId="77777777" w:rsidR="003C6015" w:rsidRPr="00DD6A04" w:rsidRDefault="003C6015" w:rsidP="003C6015">
            <w:pPr>
              <w:spacing w:before="0" w:after="0" w:line="276" w:lineRule="auto"/>
              <w:rPr>
                <w:rFonts w:eastAsia="Times New Roman"/>
                <w:noProof/>
                <w:color w:val="006100"/>
                <w:sz w:val="22"/>
                <w:lang w:val="en-GB" w:eastAsia="en-GB"/>
              </w:rPr>
            </w:pPr>
          </w:p>
        </w:tc>
      </w:tr>
      <w:tr w:rsidR="003C6015" w:rsidRPr="00DD6A04" w14:paraId="3F104D7F" w14:textId="77777777" w:rsidTr="00CF5FDB">
        <w:trPr>
          <w:trHeight w:val="302"/>
        </w:trPr>
        <w:tc>
          <w:tcPr>
            <w:tcW w:w="1247"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0693150D"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539B4F4A"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1247" w:type="dxa"/>
            <w:tcBorders>
              <w:top w:val="single" w:sz="4" w:space="0" w:color="auto"/>
              <w:left w:val="nil"/>
              <w:bottom w:val="single" w:sz="4" w:space="0" w:color="auto"/>
              <w:right w:val="single" w:sz="4" w:space="0" w:color="auto"/>
            </w:tcBorders>
            <w:shd w:val="clear" w:color="auto" w:fill="C6EFCE"/>
            <w:noWrap/>
            <w:vAlign w:val="bottom"/>
          </w:tcPr>
          <w:p w14:paraId="083DB33C" w14:textId="77777777" w:rsidR="003C6015" w:rsidRPr="00DD6A04" w:rsidRDefault="003C6015" w:rsidP="003C6015">
            <w:pPr>
              <w:spacing w:before="0" w:after="0" w:line="276" w:lineRule="auto"/>
              <w:rPr>
                <w:rFonts w:eastAsia="Times New Roman"/>
                <w:b/>
                <w:noProof/>
                <w:color w:val="006100"/>
                <w:sz w:val="22"/>
              </w:rPr>
            </w:pPr>
            <w:r>
              <w:rPr>
                <w:b/>
                <w:noProof/>
                <w:color w:val="006100"/>
                <w:sz w:val="22"/>
              </w:rPr>
              <w:t>Znesek obroka</w:t>
            </w:r>
          </w:p>
        </w:tc>
        <w:tc>
          <w:tcPr>
            <w:tcW w:w="4139" w:type="dxa"/>
            <w:tcBorders>
              <w:top w:val="single" w:sz="4" w:space="0" w:color="auto"/>
              <w:left w:val="nil"/>
              <w:bottom w:val="single" w:sz="4" w:space="0" w:color="auto"/>
              <w:right w:val="single" w:sz="4" w:space="0" w:color="auto"/>
            </w:tcBorders>
            <w:shd w:val="clear" w:color="auto" w:fill="C6EFCE"/>
            <w:noWrap/>
            <w:vAlign w:val="bottom"/>
          </w:tcPr>
          <w:p w14:paraId="4211C71C" w14:textId="78629426" w:rsidR="003C6015" w:rsidRPr="00DD6A04" w:rsidRDefault="003C6015" w:rsidP="003C6015">
            <w:pPr>
              <w:spacing w:before="0" w:after="0" w:line="276" w:lineRule="auto"/>
              <w:rPr>
                <w:rFonts w:eastAsia="Times New Roman"/>
                <w:b/>
                <w:noProof/>
                <w:color w:val="006100"/>
                <w:sz w:val="22"/>
              </w:rPr>
            </w:pPr>
            <w:r>
              <w:rPr>
                <w:b/>
                <w:noProof/>
                <w:color w:val="006100"/>
                <w:sz w:val="22"/>
              </w:rPr>
              <w:t>232 526 852 EUR</w:t>
            </w:r>
          </w:p>
        </w:tc>
      </w:tr>
    </w:tbl>
    <w:p w14:paraId="6F79D02F" w14:textId="77777777" w:rsidR="003C6015" w:rsidRPr="00DD6A04" w:rsidRDefault="003C6015" w:rsidP="003C6015">
      <w:pPr>
        <w:spacing w:line="240" w:lineRule="auto"/>
        <w:jc w:val="both"/>
        <w:rPr>
          <w:b/>
          <w:noProof/>
          <w:lang w:val="en-GB"/>
        </w:rPr>
      </w:pPr>
    </w:p>
    <w:p w14:paraId="2F348D1E" w14:textId="78511E9A" w:rsidR="003C6015" w:rsidRPr="00DD6A04" w:rsidRDefault="003C6015" w:rsidP="00BD7FBD">
      <w:pPr>
        <w:numPr>
          <w:ilvl w:val="1"/>
          <w:numId w:val="19"/>
        </w:numPr>
        <w:spacing w:before="0" w:after="200" w:line="240" w:lineRule="auto"/>
        <w:jc w:val="both"/>
        <w:rPr>
          <w:b/>
          <w:noProof/>
        </w:rPr>
      </w:pPr>
      <w:r>
        <w:rPr>
          <w:noProof/>
        </w:rPr>
        <w:t xml:space="preserve">Peti obrok (podpora v obliki posojila): </w:t>
      </w:r>
    </w:p>
    <w:tbl>
      <w:tblPr>
        <w:tblW w:w="9751" w:type="dxa"/>
        <w:tblInd w:w="113" w:type="dxa"/>
        <w:tblLook w:val="04A0" w:firstRow="1" w:lastRow="0" w:firstColumn="1" w:lastColumn="0" w:noHBand="0" w:noVBand="1"/>
      </w:tblPr>
      <w:tblGrid>
        <w:gridCol w:w="1256"/>
        <w:gridCol w:w="3118"/>
        <w:gridCol w:w="1255"/>
        <w:gridCol w:w="4139"/>
      </w:tblGrid>
      <w:tr w:rsidR="003C6015" w:rsidRPr="00DD6A04" w14:paraId="5E1C2327" w14:textId="77777777" w:rsidTr="00465F13">
        <w:trPr>
          <w:trHeight w:val="1247"/>
        </w:trPr>
        <w:tc>
          <w:tcPr>
            <w:tcW w:w="1247" w:type="dxa"/>
            <w:vMerge w:val="restart"/>
            <w:tcBorders>
              <w:top w:val="single" w:sz="4" w:space="0" w:color="auto"/>
              <w:left w:val="single" w:sz="4" w:space="0" w:color="auto"/>
              <w:right w:val="single" w:sz="4" w:space="0" w:color="auto"/>
            </w:tcBorders>
            <w:shd w:val="clear" w:color="auto" w:fill="BDD7EE"/>
            <w:vAlign w:val="center"/>
            <w:hideMark/>
          </w:tcPr>
          <w:p w14:paraId="0E167D10" w14:textId="77777777" w:rsidR="003C6015" w:rsidRPr="00DD6A04" w:rsidRDefault="003C6015" w:rsidP="003C6015">
            <w:pPr>
              <w:spacing w:before="0" w:after="0" w:line="276" w:lineRule="auto"/>
              <w:jc w:val="center"/>
              <w:rPr>
                <w:rFonts w:eastAsia="Times New Roman"/>
                <w:b/>
                <w:noProof/>
                <w:sz w:val="22"/>
              </w:rPr>
            </w:pPr>
            <w:r>
              <w:rPr>
                <w:b/>
                <w:noProof/>
                <w:sz w:val="22"/>
              </w:rPr>
              <w:t>Zaporedna številka</w:t>
            </w:r>
          </w:p>
        </w:tc>
        <w:tc>
          <w:tcPr>
            <w:tcW w:w="3118" w:type="dxa"/>
            <w:vMerge w:val="restart"/>
            <w:tcBorders>
              <w:top w:val="single" w:sz="4" w:space="0" w:color="auto"/>
              <w:left w:val="single" w:sz="4" w:space="0" w:color="auto"/>
              <w:right w:val="single" w:sz="4" w:space="0" w:color="auto"/>
            </w:tcBorders>
            <w:shd w:val="clear" w:color="auto" w:fill="BDD7EE"/>
            <w:vAlign w:val="center"/>
            <w:hideMark/>
          </w:tcPr>
          <w:p w14:paraId="0FC87507" w14:textId="77777777" w:rsidR="003C6015" w:rsidRPr="00DD6A04" w:rsidRDefault="003C6015" w:rsidP="003C6015">
            <w:pPr>
              <w:spacing w:before="0" w:after="0" w:line="276" w:lineRule="auto"/>
              <w:jc w:val="center"/>
              <w:rPr>
                <w:rFonts w:eastAsia="Times New Roman"/>
                <w:b/>
                <w:noProof/>
                <w:sz w:val="22"/>
              </w:rPr>
            </w:pPr>
            <w:r>
              <w:rPr>
                <w:b/>
                <w:noProof/>
                <w:sz w:val="22"/>
              </w:rPr>
              <w:t>Povezani ukrep (reforma ali naložba)</w:t>
            </w:r>
          </w:p>
        </w:tc>
        <w:tc>
          <w:tcPr>
            <w:tcW w:w="1247" w:type="dxa"/>
            <w:vMerge w:val="restart"/>
            <w:tcBorders>
              <w:top w:val="single" w:sz="4" w:space="0" w:color="auto"/>
              <w:left w:val="single" w:sz="4" w:space="0" w:color="auto"/>
              <w:right w:val="single" w:sz="4" w:space="0" w:color="auto"/>
            </w:tcBorders>
            <w:shd w:val="clear" w:color="auto" w:fill="BDD7EE"/>
            <w:vAlign w:val="center"/>
            <w:hideMark/>
          </w:tcPr>
          <w:p w14:paraId="183E5973" w14:textId="77777777" w:rsidR="003C6015" w:rsidRPr="00DD6A04" w:rsidRDefault="003C6015" w:rsidP="003C6015">
            <w:pPr>
              <w:spacing w:before="0" w:after="0" w:line="276" w:lineRule="auto"/>
              <w:jc w:val="center"/>
              <w:rPr>
                <w:rFonts w:eastAsia="Times New Roman"/>
                <w:b/>
                <w:noProof/>
                <w:sz w:val="22"/>
              </w:rPr>
            </w:pPr>
            <w:r>
              <w:rPr>
                <w:b/>
                <w:noProof/>
                <w:sz w:val="22"/>
              </w:rPr>
              <w:t>Mejnik/cilj</w:t>
            </w:r>
          </w:p>
        </w:tc>
        <w:tc>
          <w:tcPr>
            <w:tcW w:w="4139" w:type="dxa"/>
            <w:vMerge w:val="restart"/>
            <w:tcBorders>
              <w:top w:val="single" w:sz="4" w:space="0" w:color="auto"/>
              <w:left w:val="nil"/>
              <w:right w:val="single" w:sz="4" w:space="0" w:color="auto"/>
            </w:tcBorders>
            <w:shd w:val="clear" w:color="auto" w:fill="BDD7EE"/>
            <w:vAlign w:val="center"/>
            <w:hideMark/>
          </w:tcPr>
          <w:p w14:paraId="2AFA4454" w14:textId="77777777" w:rsidR="003C6015" w:rsidRPr="00DD6A04" w:rsidRDefault="003C6015" w:rsidP="003C6015">
            <w:pPr>
              <w:spacing w:before="0" w:after="0" w:line="276" w:lineRule="auto"/>
              <w:jc w:val="center"/>
              <w:rPr>
                <w:rFonts w:eastAsia="Times New Roman"/>
                <w:b/>
                <w:noProof/>
                <w:sz w:val="22"/>
              </w:rPr>
            </w:pPr>
            <w:r>
              <w:rPr>
                <w:b/>
                <w:noProof/>
                <w:sz w:val="22"/>
              </w:rPr>
              <w:t>Ime</w:t>
            </w:r>
          </w:p>
        </w:tc>
      </w:tr>
      <w:tr w:rsidR="003C6015" w:rsidRPr="00DD6A04" w14:paraId="60D8C3A4" w14:textId="77777777" w:rsidTr="00465F13">
        <w:trPr>
          <w:trHeight w:val="309"/>
        </w:trPr>
        <w:tc>
          <w:tcPr>
            <w:tcW w:w="1247" w:type="dxa"/>
            <w:vMerge/>
            <w:tcBorders>
              <w:top w:val="single" w:sz="4" w:space="0" w:color="000000" w:themeColor="text1"/>
              <w:left w:val="single" w:sz="4" w:space="0" w:color="auto"/>
              <w:bottom w:val="single" w:sz="4" w:space="0" w:color="auto"/>
              <w:right w:val="single" w:sz="4" w:space="0" w:color="auto"/>
            </w:tcBorders>
            <w:vAlign w:val="center"/>
            <w:hideMark/>
          </w:tcPr>
          <w:p w14:paraId="787D8ACC" w14:textId="77777777" w:rsidR="003C6015" w:rsidRPr="00DD6A04" w:rsidRDefault="003C6015" w:rsidP="003C6015">
            <w:pPr>
              <w:spacing w:before="0" w:after="0" w:line="276" w:lineRule="auto"/>
              <w:rPr>
                <w:rFonts w:eastAsia="Times New Roman"/>
                <w:b/>
                <w:noProof/>
                <w:sz w:val="22"/>
                <w:szCs w:val="24"/>
                <w:lang w:val="en-GB" w:eastAsia="en-GB"/>
              </w:rPr>
            </w:pPr>
          </w:p>
        </w:tc>
        <w:tc>
          <w:tcPr>
            <w:tcW w:w="3118" w:type="dxa"/>
            <w:vMerge/>
            <w:tcBorders>
              <w:top w:val="single" w:sz="4" w:space="0" w:color="000000" w:themeColor="text1"/>
              <w:left w:val="single" w:sz="4" w:space="0" w:color="auto"/>
              <w:bottom w:val="single" w:sz="4" w:space="0" w:color="auto"/>
              <w:right w:val="single" w:sz="4" w:space="0" w:color="auto"/>
            </w:tcBorders>
            <w:vAlign w:val="center"/>
            <w:hideMark/>
          </w:tcPr>
          <w:p w14:paraId="0342A914" w14:textId="77777777" w:rsidR="003C6015" w:rsidRPr="00DD6A04" w:rsidRDefault="003C6015" w:rsidP="003C6015">
            <w:pPr>
              <w:spacing w:before="0" w:after="0" w:line="276" w:lineRule="auto"/>
              <w:rPr>
                <w:rFonts w:eastAsia="Times New Roman"/>
                <w:b/>
                <w:noProof/>
                <w:sz w:val="22"/>
                <w:szCs w:val="24"/>
                <w:lang w:val="en-GB" w:eastAsia="en-GB"/>
              </w:rPr>
            </w:pPr>
          </w:p>
        </w:tc>
        <w:tc>
          <w:tcPr>
            <w:tcW w:w="1247" w:type="dxa"/>
            <w:vMerge/>
            <w:tcBorders>
              <w:top w:val="single" w:sz="4" w:space="0" w:color="000000" w:themeColor="text1"/>
              <w:left w:val="single" w:sz="4" w:space="0" w:color="auto"/>
              <w:bottom w:val="single" w:sz="4" w:space="0" w:color="auto"/>
              <w:right w:val="single" w:sz="4" w:space="0" w:color="auto"/>
            </w:tcBorders>
            <w:vAlign w:val="center"/>
            <w:hideMark/>
          </w:tcPr>
          <w:p w14:paraId="2F5D0636" w14:textId="77777777" w:rsidR="003C6015" w:rsidRPr="00DD6A04" w:rsidRDefault="003C6015" w:rsidP="003C6015">
            <w:pPr>
              <w:spacing w:before="0" w:after="0" w:line="276" w:lineRule="auto"/>
              <w:rPr>
                <w:rFonts w:eastAsia="Times New Roman"/>
                <w:b/>
                <w:noProof/>
                <w:sz w:val="22"/>
                <w:szCs w:val="24"/>
                <w:lang w:val="en-GB" w:eastAsia="en-GB"/>
              </w:rPr>
            </w:pPr>
          </w:p>
        </w:tc>
        <w:tc>
          <w:tcPr>
            <w:tcW w:w="4139" w:type="dxa"/>
            <w:vMerge/>
            <w:tcBorders>
              <w:top w:val="single" w:sz="4" w:space="0" w:color="000000" w:themeColor="text1"/>
              <w:left w:val="single" w:sz="4" w:space="0" w:color="auto"/>
              <w:bottom w:val="single" w:sz="4" w:space="0" w:color="auto"/>
              <w:right w:val="single" w:sz="4" w:space="0" w:color="auto"/>
            </w:tcBorders>
            <w:vAlign w:val="center"/>
            <w:hideMark/>
          </w:tcPr>
          <w:p w14:paraId="1EC403F6" w14:textId="77777777" w:rsidR="003C6015" w:rsidRPr="00DD6A04" w:rsidRDefault="003C6015" w:rsidP="003C6015">
            <w:pPr>
              <w:spacing w:before="0" w:after="0" w:line="276" w:lineRule="auto"/>
              <w:rPr>
                <w:rFonts w:eastAsia="Times New Roman"/>
                <w:b/>
                <w:noProof/>
                <w:sz w:val="22"/>
                <w:szCs w:val="24"/>
                <w:lang w:val="en-GB" w:eastAsia="en-GB"/>
              </w:rPr>
            </w:pPr>
          </w:p>
        </w:tc>
      </w:tr>
      <w:tr w:rsidR="003C6015" w:rsidRPr="00DD6A04" w14:paraId="7E6A18AA" w14:textId="77777777" w:rsidTr="00465F13">
        <w:trPr>
          <w:trHeight w:val="302"/>
        </w:trPr>
        <w:tc>
          <w:tcPr>
            <w:tcW w:w="1247" w:type="dxa"/>
            <w:tcBorders>
              <w:top w:val="single" w:sz="4" w:space="0" w:color="auto"/>
              <w:left w:val="single" w:sz="4" w:space="0" w:color="auto"/>
              <w:bottom w:val="single" w:sz="4" w:space="0" w:color="auto"/>
              <w:right w:val="single" w:sz="4" w:space="0" w:color="auto"/>
            </w:tcBorders>
            <w:shd w:val="clear" w:color="auto" w:fill="C6EFCE"/>
            <w:noWrap/>
            <w:hideMark/>
          </w:tcPr>
          <w:p w14:paraId="5BA565A4"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73393498"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14</w:t>
            </w:r>
          </w:p>
          <w:p w14:paraId="74A39A42"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single" w:sz="4" w:space="0" w:color="auto"/>
              <w:left w:val="nil"/>
              <w:bottom w:val="single" w:sz="4" w:space="0" w:color="auto"/>
              <w:right w:val="single" w:sz="4" w:space="0" w:color="auto"/>
            </w:tcBorders>
            <w:shd w:val="clear" w:color="auto" w:fill="C6EFCE"/>
            <w:noWrap/>
            <w:hideMark/>
          </w:tcPr>
          <w:p w14:paraId="4361DDAC"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B: Reforma oskrbe z električno energijo za potrebe spodbujanja obnovljivih virov energije</w:t>
            </w:r>
          </w:p>
        </w:tc>
        <w:tc>
          <w:tcPr>
            <w:tcW w:w="1247" w:type="dxa"/>
            <w:tcBorders>
              <w:top w:val="single" w:sz="4" w:space="0" w:color="auto"/>
              <w:left w:val="nil"/>
              <w:bottom w:val="single" w:sz="4" w:space="0" w:color="auto"/>
              <w:right w:val="single" w:sz="4" w:space="0" w:color="auto"/>
            </w:tcBorders>
            <w:shd w:val="clear" w:color="auto" w:fill="C6EFCE"/>
            <w:noWrap/>
            <w:hideMark/>
          </w:tcPr>
          <w:p w14:paraId="1C81E787"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tcBorders>
              <w:top w:val="single" w:sz="4" w:space="0" w:color="auto"/>
              <w:left w:val="nil"/>
              <w:bottom w:val="single" w:sz="4" w:space="0" w:color="auto"/>
              <w:right w:val="single" w:sz="4" w:space="0" w:color="auto"/>
            </w:tcBorders>
            <w:shd w:val="clear" w:color="auto" w:fill="C6EFCE"/>
            <w:noWrap/>
            <w:hideMark/>
          </w:tcPr>
          <w:p w14:paraId="3E9BE9EE"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Dodatna zmogljivost priključenih in delujočih novih proizvodnih naprav za samooskrbo na obnovljive vire energije</w:t>
            </w:r>
          </w:p>
        </w:tc>
      </w:tr>
      <w:tr w:rsidR="00EC4A38" w:rsidRPr="00DD6A04" w14:paraId="1E223813" w14:textId="77777777" w:rsidTr="00087ED4">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402420BA" w14:textId="31C87F49" w:rsidR="00EC4A38" w:rsidRPr="00DD6A04" w:rsidRDefault="00124B5F" w:rsidP="00EC4A38">
            <w:pPr>
              <w:spacing w:before="0" w:after="0" w:line="276" w:lineRule="auto"/>
              <w:jc w:val="center"/>
              <w:rPr>
                <w:rFonts w:eastAsia="Times New Roman"/>
                <w:noProof/>
                <w:color w:val="006100"/>
                <w:sz w:val="22"/>
              </w:rPr>
            </w:pPr>
            <w:r>
              <w:rPr>
                <w:noProof/>
                <w:color w:val="006100"/>
                <w:sz w:val="22"/>
              </w:rPr>
              <w:t>67bis</w:t>
            </w:r>
          </w:p>
        </w:tc>
        <w:tc>
          <w:tcPr>
            <w:tcW w:w="3118" w:type="dxa"/>
            <w:tcBorders>
              <w:top w:val="nil"/>
              <w:left w:val="nil"/>
              <w:bottom w:val="single" w:sz="4" w:space="0" w:color="auto"/>
              <w:right w:val="single" w:sz="4" w:space="0" w:color="auto"/>
            </w:tcBorders>
            <w:shd w:val="clear" w:color="auto" w:fill="C6EFCE"/>
            <w:noWrap/>
          </w:tcPr>
          <w:p w14:paraId="450849AD" w14:textId="05A43A6D" w:rsidR="00EC4A38" w:rsidRPr="00DD6A04" w:rsidRDefault="00EC4A38" w:rsidP="00EC4A38">
            <w:pPr>
              <w:spacing w:before="0" w:after="0" w:line="276" w:lineRule="auto"/>
              <w:rPr>
                <w:rFonts w:eastAsia="Times New Roman"/>
                <w:noProof/>
                <w:color w:val="006100"/>
              </w:rPr>
            </w:pPr>
            <w:r>
              <w:rPr>
                <w:noProof/>
                <w:color w:val="006100"/>
                <w:sz w:val="22"/>
              </w:rPr>
              <w:t>C: Dodatno povečanje zmogljivosti železniške infrastrukture</w:t>
            </w:r>
          </w:p>
        </w:tc>
        <w:tc>
          <w:tcPr>
            <w:tcW w:w="1247" w:type="dxa"/>
            <w:tcBorders>
              <w:top w:val="nil"/>
              <w:left w:val="nil"/>
              <w:bottom w:val="single" w:sz="4" w:space="0" w:color="auto"/>
              <w:right w:val="single" w:sz="4" w:space="0" w:color="auto"/>
            </w:tcBorders>
            <w:shd w:val="clear" w:color="auto" w:fill="C6EFCE"/>
            <w:noWrap/>
          </w:tcPr>
          <w:p w14:paraId="69FF3DF9" w14:textId="5776B944" w:rsidR="00EC4A38" w:rsidRPr="00DD6A04" w:rsidRDefault="00124B5F" w:rsidP="00EC4A38">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7FF96846" w14:textId="6F2979B0" w:rsidR="00EC4A38" w:rsidRPr="00DD6A04" w:rsidRDefault="00124B5F" w:rsidP="00EC4A38">
            <w:pPr>
              <w:spacing w:before="0" w:after="0" w:line="256" w:lineRule="auto"/>
              <w:rPr>
                <w:rFonts w:eastAsia="Times New Roman"/>
                <w:noProof/>
                <w:color w:val="006100"/>
                <w:sz w:val="22"/>
              </w:rPr>
            </w:pPr>
            <w:r>
              <w:rPr>
                <w:noProof/>
                <w:color w:val="006100"/>
                <w:sz w:val="22"/>
              </w:rPr>
              <w:t>Oddaja naročil za nadgradnjo odsekov železniške proge</w:t>
            </w:r>
            <w:r w:rsidR="00037751">
              <w:rPr>
                <w:noProof/>
                <w:color w:val="006100"/>
                <w:sz w:val="22"/>
              </w:rPr>
              <w:t xml:space="preserve"> </w:t>
            </w:r>
          </w:p>
        </w:tc>
      </w:tr>
      <w:tr w:rsidR="003C6015" w:rsidRPr="00DD6A04" w14:paraId="5AC1FE79"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vAlign w:val="center"/>
          </w:tcPr>
          <w:p w14:paraId="47411D5B"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209</w:t>
            </w:r>
          </w:p>
        </w:tc>
        <w:tc>
          <w:tcPr>
            <w:tcW w:w="3118" w:type="dxa"/>
            <w:tcBorders>
              <w:top w:val="nil"/>
              <w:left w:val="nil"/>
              <w:bottom w:val="single" w:sz="4" w:space="0" w:color="auto"/>
              <w:right w:val="single" w:sz="4" w:space="0" w:color="auto"/>
            </w:tcBorders>
            <w:shd w:val="clear" w:color="auto" w:fill="C6EFCE"/>
            <w:noWrap/>
          </w:tcPr>
          <w:p w14:paraId="280FFF9B" w14:textId="17FB6A27" w:rsidR="003C6015" w:rsidRPr="00DD6A04" w:rsidRDefault="00831CF6" w:rsidP="003C6015">
            <w:pPr>
              <w:spacing w:before="0" w:after="0" w:line="276" w:lineRule="auto"/>
              <w:rPr>
                <w:rFonts w:eastAsia="Times New Roman"/>
                <w:noProof/>
                <w:color w:val="006100"/>
                <w:sz w:val="22"/>
              </w:rPr>
            </w:pPr>
            <w:r>
              <w:rPr>
                <w:noProof/>
                <w:color w:val="006100"/>
              </w:rPr>
              <w:t xml:space="preserve">B: </w:t>
            </w:r>
            <w:r>
              <w:rPr>
                <w:noProof/>
                <w:color w:val="006100"/>
                <w:sz w:val="22"/>
              </w:rPr>
              <w:t>Zagotavljanje javnih najemnih stanovanj</w:t>
            </w:r>
          </w:p>
        </w:tc>
        <w:tc>
          <w:tcPr>
            <w:tcW w:w="1247" w:type="dxa"/>
            <w:tcBorders>
              <w:top w:val="nil"/>
              <w:left w:val="nil"/>
              <w:bottom w:val="single" w:sz="4" w:space="0" w:color="auto"/>
              <w:right w:val="single" w:sz="4" w:space="0" w:color="auto"/>
            </w:tcBorders>
            <w:shd w:val="clear" w:color="auto" w:fill="C6EFCE"/>
            <w:noWrap/>
          </w:tcPr>
          <w:p w14:paraId="08CDA518"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54433DA5"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 xml:space="preserve">Dodatna javna najemna stanovanja </w:t>
            </w:r>
          </w:p>
          <w:p w14:paraId="32A0B810" w14:textId="77777777" w:rsidR="003C6015" w:rsidRPr="00DD6A04" w:rsidRDefault="003C6015" w:rsidP="003C6015">
            <w:pPr>
              <w:spacing w:before="0" w:after="0" w:line="276" w:lineRule="auto"/>
              <w:rPr>
                <w:rFonts w:eastAsia="Times New Roman"/>
                <w:noProof/>
                <w:color w:val="006100"/>
                <w:sz w:val="22"/>
                <w:lang w:val="en-GB" w:eastAsia="en-GB"/>
              </w:rPr>
            </w:pPr>
          </w:p>
        </w:tc>
      </w:tr>
      <w:tr w:rsidR="003C6015" w:rsidRPr="00DD6A04" w14:paraId="60B4AE0B" w14:textId="77777777" w:rsidTr="00CF5FDB">
        <w:trPr>
          <w:trHeight w:val="302"/>
        </w:trPr>
        <w:tc>
          <w:tcPr>
            <w:tcW w:w="1247"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F4C5ECB"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0FDD6EBC"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1247" w:type="dxa"/>
            <w:tcBorders>
              <w:top w:val="single" w:sz="4" w:space="0" w:color="auto"/>
              <w:left w:val="nil"/>
              <w:bottom w:val="single" w:sz="4" w:space="0" w:color="auto"/>
              <w:right w:val="single" w:sz="4" w:space="0" w:color="auto"/>
            </w:tcBorders>
            <w:shd w:val="clear" w:color="auto" w:fill="C6EFCE"/>
            <w:noWrap/>
            <w:vAlign w:val="bottom"/>
          </w:tcPr>
          <w:p w14:paraId="3CEDE5BC" w14:textId="77777777" w:rsidR="003C6015" w:rsidRPr="00DD6A04" w:rsidRDefault="003C6015" w:rsidP="003C6015">
            <w:pPr>
              <w:spacing w:before="0" w:after="0" w:line="276" w:lineRule="auto"/>
              <w:rPr>
                <w:rFonts w:eastAsia="Times New Roman"/>
                <w:b/>
                <w:noProof/>
                <w:color w:val="006100"/>
                <w:sz w:val="22"/>
              </w:rPr>
            </w:pPr>
            <w:r>
              <w:rPr>
                <w:b/>
                <w:noProof/>
                <w:color w:val="006100"/>
                <w:sz w:val="22"/>
              </w:rPr>
              <w:t>Znesek obroka</w:t>
            </w:r>
          </w:p>
        </w:tc>
        <w:tc>
          <w:tcPr>
            <w:tcW w:w="4139" w:type="dxa"/>
            <w:tcBorders>
              <w:top w:val="single" w:sz="4" w:space="0" w:color="auto"/>
              <w:left w:val="nil"/>
              <w:bottom w:val="single" w:sz="4" w:space="0" w:color="auto"/>
              <w:right w:val="single" w:sz="4" w:space="0" w:color="auto"/>
            </w:tcBorders>
            <w:shd w:val="clear" w:color="auto" w:fill="C6EFCE"/>
            <w:noWrap/>
            <w:vAlign w:val="bottom"/>
          </w:tcPr>
          <w:p w14:paraId="0D93230F" w14:textId="78DA6824" w:rsidR="003C6015" w:rsidRPr="00DD6A04" w:rsidRDefault="003C6015" w:rsidP="003C6015">
            <w:pPr>
              <w:spacing w:before="0" w:after="0" w:line="276" w:lineRule="auto"/>
              <w:rPr>
                <w:rFonts w:eastAsia="Times New Roman"/>
                <w:b/>
                <w:noProof/>
                <w:color w:val="006100"/>
                <w:sz w:val="22"/>
              </w:rPr>
            </w:pPr>
            <w:r>
              <w:rPr>
                <w:b/>
                <w:noProof/>
                <w:color w:val="006100"/>
                <w:sz w:val="22"/>
              </w:rPr>
              <w:t>131 992 165 EUR</w:t>
            </w:r>
          </w:p>
        </w:tc>
      </w:tr>
    </w:tbl>
    <w:p w14:paraId="0E85D3A9" w14:textId="3AB4F6A1" w:rsidR="003C6015" w:rsidRPr="00DD6A04" w:rsidRDefault="003C6015" w:rsidP="003C6015">
      <w:pPr>
        <w:spacing w:line="240" w:lineRule="auto"/>
        <w:ind w:left="850"/>
        <w:jc w:val="both"/>
        <w:rPr>
          <w:noProof/>
          <w:lang w:val="en-GB"/>
        </w:rPr>
      </w:pPr>
    </w:p>
    <w:p w14:paraId="3F15B0F1" w14:textId="5B0FF80C" w:rsidR="003C6015" w:rsidRPr="00DD6A04" w:rsidRDefault="003C6015" w:rsidP="00BD7FBD">
      <w:pPr>
        <w:numPr>
          <w:ilvl w:val="1"/>
          <w:numId w:val="19"/>
        </w:numPr>
        <w:spacing w:before="0" w:after="200" w:line="240" w:lineRule="auto"/>
        <w:jc w:val="both"/>
        <w:rPr>
          <w:b/>
          <w:noProof/>
        </w:rPr>
      </w:pPr>
      <w:r>
        <w:rPr>
          <w:noProof/>
        </w:rPr>
        <w:t>Šesti obrok (podpora v obliki posojila):</w:t>
      </w:r>
    </w:p>
    <w:tbl>
      <w:tblPr>
        <w:tblW w:w="9751" w:type="dxa"/>
        <w:tblInd w:w="113" w:type="dxa"/>
        <w:tblLook w:val="04A0" w:firstRow="1" w:lastRow="0" w:firstColumn="1" w:lastColumn="0" w:noHBand="0" w:noVBand="1"/>
      </w:tblPr>
      <w:tblGrid>
        <w:gridCol w:w="1256"/>
        <w:gridCol w:w="3118"/>
        <w:gridCol w:w="1255"/>
        <w:gridCol w:w="4139"/>
      </w:tblGrid>
      <w:tr w:rsidR="003C6015" w:rsidRPr="00DD6A04" w14:paraId="1510679F" w14:textId="77777777" w:rsidTr="00CF5FDB">
        <w:trPr>
          <w:trHeight w:val="906"/>
        </w:trPr>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E31F062" w14:textId="77777777" w:rsidR="003C6015" w:rsidRPr="00DD6A04" w:rsidRDefault="003C6015" w:rsidP="003C6015">
            <w:pPr>
              <w:spacing w:before="0" w:after="0" w:line="276" w:lineRule="auto"/>
              <w:jc w:val="center"/>
              <w:rPr>
                <w:rFonts w:eastAsia="Times New Roman"/>
                <w:b/>
                <w:noProof/>
                <w:sz w:val="22"/>
              </w:rPr>
            </w:pPr>
            <w:r>
              <w:rPr>
                <w:b/>
                <w:noProof/>
                <w:sz w:val="22"/>
              </w:rPr>
              <w:t>Zaporedna številka</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CDFA97C" w14:textId="77777777" w:rsidR="003C6015" w:rsidRPr="00DD6A04" w:rsidRDefault="003C6015" w:rsidP="003C6015">
            <w:pPr>
              <w:spacing w:before="0" w:after="0" w:line="276" w:lineRule="auto"/>
              <w:jc w:val="center"/>
              <w:rPr>
                <w:rFonts w:eastAsia="Times New Roman"/>
                <w:b/>
                <w:noProof/>
                <w:sz w:val="22"/>
              </w:rPr>
            </w:pPr>
            <w:r>
              <w:rPr>
                <w:b/>
                <w:noProof/>
                <w:sz w:val="22"/>
              </w:rPr>
              <w:t>Povezani ukrep (reforma ali naložba)</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B75B145" w14:textId="77777777" w:rsidR="003C6015" w:rsidRPr="00DD6A04" w:rsidRDefault="003C6015" w:rsidP="003C6015">
            <w:pPr>
              <w:spacing w:before="0" w:after="0" w:line="276" w:lineRule="auto"/>
              <w:jc w:val="center"/>
              <w:rPr>
                <w:rFonts w:eastAsia="Times New Roman"/>
                <w:b/>
                <w:noProof/>
                <w:sz w:val="22"/>
              </w:rPr>
            </w:pPr>
            <w:r>
              <w:rPr>
                <w:b/>
                <w:noProof/>
                <w:sz w:val="22"/>
              </w:rPr>
              <w:t>Mejnik/cilj</w:t>
            </w:r>
          </w:p>
        </w:tc>
        <w:tc>
          <w:tcPr>
            <w:tcW w:w="4139" w:type="dxa"/>
            <w:vMerge w:val="restart"/>
            <w:tcBorders>
              <w:top w:val="single" w:sz="4" w:space="0" w:color="auto"/>
              <w:left w:val="nil"/>
              <w:bottom w:val="single" w:sz="4" w:space="0" w:color="000000"/>
              <w:right w:val="single" w:sz="4" w:space="0" w:color="auto"/>
            </w:tcBorders>
            <w:shd w:val="clear" w:color="auto" w:fill="BDD7EE"/>
            <w:vAlign w:val="center"/>
            <w:hideMark/>
          </w:tcPr>
          <w:p w14:paraId="7D1E78E2" w14:textId="77777777" w:rsidR="003C6015" w:rsidRPr="00DD6A04" w:rsidRDefault="003C6015" w:rsidP="003C6015">
            <w:pPr>
              <w:spacing w:before="0" w:after="0" w:line="276" w:lineRule="auto"/>
              <w:jc w:val="center"/>
              <w:rPr>
                <w:rFonts w:eastAsia="Times New Roman"/>
                <w:b/>
                <w:noProof/>
                <w:sz w:val="22"/>
              </w:rPr>
            </w:pPr>
            <w:r>
              <w:rPr>
                <w:b/>
                <w:noProof/>
                <w:sz w:val="22"/>
              </w:rPr>
              <w:t>Ime</w:t>
            </w:r>
          </w:p>
        </w:tc>
      </w:tr>
      <w:tr w:rsidR="003C6015" w:rsidRPr="00DD6A04" w14:paraId="43D460EC" w14:textId="77777777" w:rsidTr="00CF5FDB">
        <w:trPr>
          <w:trHeight w:val="309"/>
        </w:trPr>
        <w:tc>
          <w:tcPr>
            <w:tcW w:w="1247" w:type="dxa"/>
            <w:vMerge/>
            <w:tcBorders>
              <w:top w:val="single" w:sz="4" w:space="0" w:color="auto"/>
              <w:left w:val="single" w:sz="4" w:space="0" w:color="auto"/>
              <w:bottom w:val="single" w:sz="4" w:space="0" w:color="000000"/>
              <w:right w:val="single" w:sz="4" w:space="0" w:color="auto"/>
            </w:tcBorders>
            <w:vAlign w:val="center"/>
            <w:hideMark/>
          </w:tcPr>
          <w:p w14:paraId="3163F96F" w14:textId="77777777" w:rsidR="003C6015" w:rsidRPr="00DD6A04" w:rsidRDefault="003C6015" w:rsidP="003C6015">
            <w:pPr>
              <w:spacing w:before="0" w:after="0" w:line="276" w:lineRule="auto"/>
              <w:rPr>
                <w:rFonts w:eastAsia="Times New Roman"/>
                <w:b/>
                <w:noProof/>
                <w:sz w:val="22"/>
                <w:szCs w:val="24"/>
                <w:lang w:val="en-GB" w:eastAsia="en-GB"/>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6364D36A" w14:textId="77777777" w:rsidR="003C6015" w:rsidRPr="00DD6A04" w:rsidRDefault="003C6015" w:rsidP="003C6015">
            <w:pPr>
              <w:spacing w:before="0" w:after="0" w:line="276" w:lineRule="auto"/>
              <w:rPr>
                <w:rFonts w:eastAsia="Times New Roman"/>
                <w:b/>
                <w:noProof/>
                <w:sz w:val="22"/>
                <w:szCs w:val="24"/>
                <w:lang w:val="en-GB" w:eastAsia="en-GB"/>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14:paraId="2E0F7D46" w14:textId="77777777" w:rsidR="003C6015" w:rsidRPr="00DD6A04" w:rsidRDefault="003C6015" w:rsidP="003C6015">
            <w:pPr>
              <w:spacing w:before="0" w:after="0" w:line="276" w:lineRule="auto"/>
              <w:rPr>
                <w:rFonts w:eastAsia="Times New Roman"/>
                <w:b/>
                <w:noProof/>
                <w:sz w:val="22"/>
                <w:szCs w:val="24"/>
                <w:lang w:val="en-GB" w:eastAsia="en-GB"/>
              </w:rPr>
            </w:pPr>
          </w:p>
        </w:tc>
        <w:tc>
          <w:tcPr>
            <w:tcW w:w="4139" w:type="dxa"/>
            <w:vMerge/>
            <w:tcBorders>
              <w:top w:val="single" w:sz="4" w:space="0" w:color="auto"/>
              <w:left w:val="nil"/>
              <w:bottom w:val="single" w:sz="4" w:space="0" w:color="000000"/>
              <w:right w:val="single" w:sz="4" w:space="0" w:color="auto"/>
            </w:tcBorders>
            <w:vAlign w:val="center"/>
            <w:hideMark/>
          </w:tcPr>
          <w:p w14:paraId="2345B242" w14:textId="77777777" w:rsidR="003C6015" w:rsidRPr="00DD6A04" w:rsidRDefault="003C6015" w:rsidP="003C6015">
            <w:pPr>
              <w:spacing w:before="0" w:after="0" w:line="276" w:lineRule="auto"/>
              <w:rPr>
                <w:rFonts w:eastAsia="Times New Roman"/>
                <w:b/>
                <w:noProof/>
                <w:sz w:val="22"/>
                <w:szCs w:val="24"/>
                <w:lang w:val="en-GB" w:eastAsia="en-GB"/>
              </w:rPr>
            </w:pPr>
          </w:p>
        </w:tc>
      </w:tr>
      <w:tr w:rsidR="003C6015" w:rsidRPr="00DD6A04" w14:paraId="5E440BA0"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hideMark/>
          </w:tcPr>
          <w:p w14:paraId="45971A7F"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50E04F08"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16</w:t>
            </w:r>
          </w:p>
          <w:p w14:paraId="4844B807" w14:textId="77777777" w:rsidR="003C6015" w:rsidRPr="00DD6A04" w:rsidRDefault="003C6015" w:rsidP="003C6015">
            <w:pPr>
              <w:spacing w:before="0" w:after="0" w:line="276" w:lineRule="auto"/>
              <w:rPr>
                <w:rFonts w:eastAsia="Times New Roman"/>
                <w:noProof/>
                <w:color w:val="006100"/>
                <w:sz w:val="22"/>
                <w:highlight w:val="yellow"/>
                <w:lang w:val="en-GB" w:eastAsia="en-GB"/>
              </w:rPr>
            </w:pPr>
          </w:p>
        </w:tc>
        <w:tc>
          <w:tcPr>
            <w:tcW w:w="3118" w:type="dxa"/>
            <w:tcBorders>
              <w:top w:val="nil"/>
              <w:left w:val="nil"/>
              <w:bottom w:val="single" w:sz="4" w:space="0" w:color="auto"/>
              <w:right w:val="single" w:sz="4" w:space="0" w:color="auto"/>
            </w:tcBorders>
            <w:shd w:val="clear" w:color="auto" w:fill="C6EFCE"/>
            <w:noWrap/>
            <w:hideMark/>
          </w:tcPr>
          <w:p w14:paraId="0F54C162"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E: Proizvodnja elektrike iz obnovljivih virov energije</w:t>
            </w:r>
          </w:p>
        </w:tc>
        <w:tc>
          <w:tcPr>
            <w:tcW w:w="1247" w:type="dxa"/>
            <w:tcBorders>
              <w:top w:val="nil"/>
              <w:left w:val="nil"/>
              <w:bottom w:val="single" w:sz="4" w:space="0" w:color="auto"/>
              <w:right w:val="single" w:sz="4" w:space="0" w:color="auto"/>
            </w:tcBorders>
            <w:shd w:val="clear" w:color="auto" w:fill="C6EFCE"/>
            <w:noWrap/>
            <w:hideMark/>
          </w:tcPr>
          <w:p w14:paraId="418B821A"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hideMark/>
          </w:tcPr>
          <w:p w14:paraId="200AED73"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Dodatna zmogljivost novih naprav za proizvodnjo električne energije iz obnovljivih virov</w:t>
            </w:r>
            <w:r>
              <w:rPr>
                <w:noProof/>
                <w:sz w:val="22"/>
              </w:rPr>
              <w:br/>
            </w:r>
          </w:p>
        </w:tc>
      </w:tr>
      <w:tr w:rsidR="003C6015" w:rsidRPr="00DD6A04" w14:paraId="5C93FE04"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737ED176"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6336A1FD"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18</w:t>
            </w:r>
          </w:p>
          <w:p w14:paraId="41F14625" w14:textId="77777777" w:rsidR="003C6015" w:rsidRPr="00DD6A04" w:rsidRDefault="003C6015" w:rsidP="003C6015">
            <w:pPr>
              <w:spacing w:before="0" w:after="0" w:line="276" w:lineRule="auto"/>
              <w:rPr>
                <w:rFonts w:eastAsia="Times New Roman"/>
                <w:noProof/>
                <w:color w:val="006100"/>
                <w:sz w:val="22"/>
                <w:highlight w:val="yellow"/>
                <w:lang w:val="en-GB" w:eastAsia="en-GB"/>
              </w:rPr>
            </w:pPr>
          </w:p>
        </w:tc>
        <w:tc>
          <w:tcPr>
            <w:tcW w:w="3118" w:type="dxa"/>
            <w:tcBorders>
              <w:top w:val="nil"/>
              <w:left w:val="nil"/>
              <w:bottom w:val="single" w:sz="4" w:space="0" w:color="auto"/>
              <w:right w:val="single" w:sz="4" w:space="0" w:color="auto"/>
            </w:tcBorders>
            <w:shd w:val="clear" w:color="auto" w:fill="C6EFCE"/>
            <w:noWrap/>
          </w:tcPr>
          <w:p w14:paraId="601CCE1C"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F: Nadaljnja krepitev distribucijskega omrežja električne energije</w:t>
            </w:r>
          </w:p>
        </w:tc>
        <w:tc>
          <w:tcPr>
            <w:tcW w:w="1247" w:type="dxa"/>
            <w:tcBorders>
              <w:top w:val="nil"/>
              <w:left w:val="nil"/>
              <w:bottom w:val="single" w:sz="4" w:space="0" w:color="auto"/>
              <w:right w:val="single" w:sz="4" w:space="0" w:color="auto"/>
            </w:tcBorders>
            <w:shd w:val="clear" w:color="auto" w:fill="C6EFCE"/>
            <w:noWrap/>
          </w:tcPr>
          <w:p w14:paraId="4C1BEBC0"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66300DF3" w14:textId="77777777" w:rsidR="003C6015" w:rsidRPr="00DD6A04" w:rsidRDefault="003C6015" w:rsidP="003C6015">
            <w:pPr>
              <w:spacing w:before="0" w:after="0" w:line="276" w:lineRule="auto"/>
              <w:rPr>
                <w:rFonts w:eastAsia="Times New Roman"/>
                <w:noProof/>
                <w:color w:val="006100"/>
                <w:sz w:val="22"/>
                <w:highlight w:val="yellow"/>
              </w:rPr>
            </w:pPr>
            <w:r>
              <w:rPr>
                <w:noProof/>
                <w:color w:val="006100"/>
                <w:sz w:val="22"/>
              </w:rPr>
              <w:t xml:space="preserve">Dolžina novega operativnega distribucijskega omrežja </w:t>
            </w:r>
            <w:r>
              <w:rPr>
                <w:noProof/>
                <w:sz w:val="22"/>
              </w:rPr>
              <w:br/>
            </w:r>
          </w:p>
        </w:tc>
      </w:tr>
      <w:tr w:rsidR="00870EF6" w:rsidRPr="00DD6A04" w14:paraId="753BDBEE"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1A3DF05E" w14:textId="7006D085" w:rsidR="008676A9" w:rsidRPr="00DD6A04" w:rsidRDefault="008676A9" w:rsidP="008676A9">
            <w:pPr>
              <w:spacing w:before="0" w:after="0" w:line="276" w:lineRule="auto"/>
              <w:jc w:val="center"/>
              <w:rPr>
                <w:rFonts w:eastAsia="Times New Roman"/>
                <w:noProof/>
                <w:color w:val="006100"/>
                <w:sz w:val="22"/>
              </w:rPr>
            </w:pPr>
            <w:r>
              <w:rPr>
                <w:noProof/>
                <w:color w:val="006100"/>
                <w:sz w:val="22"/>
              </w:rPr>
              <w:t>27bis</w:t>
            </w:r>
          </w:p>
        </w:tc>
        <w:tc>
          <w:tcPr>
            <w:tcW w:w="3118" w:type="dxa"/>
            <w:tcBorders>
              <w:top w:val="nil"/>
              <w:left w:val="nil"/>
              <w:bottom w:val="single" w:sz="4" w:space="0" w:color="auto"/>
              <w:right w:val="single" w:sz="4" w:space="0" w:color="auto"/>
            </w:tcBorders>
            <w:shd w:val="clear" w:color="auto" w:fill="C6EFCE"/>
            <w:noWrap/>
          </w:tcPr>
          <w:p w14:paraId="553B1785" w14:textId="32C08444" w:rsidR="008676A9" w:rsidRPr="00DD6A04" w:rsidRDefault="008676A9" w:rsidP="008676A9">
            <w:pPr>
              <w:spacing w:before="0" w:after="0" w:line="276" w:lineRule="auto"/>
              <w:rPr>
                <w:rFonts w:eastAsia="Times New Roman"/>
                <w:noProof/>
                <w:color w:val="006100"/>
                <w:sz w:val="22"/>
              </w:rPr>
            </w:pPr>
            <w:r>
              <w:rPr>
                <w:noProof/>
                <w:color w:val="006100"/>
                <w:sz w:val="22"/>
              </w:rPr>
              <w:t>B: Nadaljevanje trajnostne prenove stavb</w:t>
            </w:r>
          </w:p>
        </w:tc>
        <w:tc>
          <w:tcPr>
            <w:tcW w:w="1247" w:type="dxa"/>
            <w:tcBorders>
              <w:top w:val="nil"/>
              <w:left w:val="nil"/>
              <w:bottom w:val="single" w:sz="4" w:space="0" w:color="auto"/>
              <w:right w:val="single" w:sz="4" w:space="0" w:color="auto"/>
            </w:tcBorders>
            <w:shd w:val="clear" w:color="auto" w:fill="C6EFCE"/>
            <w:noWrap/>
          </w:tcPr>
          <w:p w14:paraId="57022D32" w14:textId="1E9EE4FE" w:rsidR="008676A9" w:rsidRPr="00DD6A04" w:rsidRDefault="008676A9" w:rsidP="008676A9">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098CB5E1" w14:textId="50C3B844" w:rsidR="008676A9" w:rsidRPr="00DD6A04" w:rsidRDefault="008676A9" w:rsidP="008676A9">
            <w:pPr>
              <w:spacing w:before="0" w:after="0" w:line="276" w:lineRule="auto"/>
              <w:rPr>
                <w:rFonts w:eastAsia="Times New Roman"/>
                <w:noProof/>
                <w:color w:val="006100"/>
                <w:sz w:val="22"/>
              </w:rPr>
            </w:pPr>
            <w:r>
              <w:rPr>
                <w:noProof/>
                <w:color w:val="006100"/>
                <w:sz w:val="22"/>
              </w:rPr>
              <w:t>Dokončane energetske in trajnostne prenove stavb velikega upravnega in družbenega pomena</w:t>
            </w:r>
          </w:p>
        </w:tc>
      </w:tr>
      <w:tr w:rsidR="00870EF6" w:rsidRPr="00DD6A04" w14:paraId="1283197F"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6BA9662F" w14:textId="6EEDFB2D" w:rsidR="008676A9" w:rsidRPr="00DD6A04" w:rsidRDefault="008676A9" w:rsidP="008676A9">
            <w:pPr>
              <w:spacing w:before="0" w:after="0" w:line="276" w:lineRule="auto"/>
              <w:jc w:val="center"/>
              <w:rPr>
                <w:rFonts w:eastAsia="Times New Roman"/>
                <w:noProof/>
                <w:color w:val="006100"/>
                <w:sz w:val="22"/>
              </w:rPr>
            </w:pPr>
            <w:r>
              <w:rPr>
                <w:noProof/>
                <w:color w:val="006100"/>
                <w:sz w:val="22"/>
              </w:rPr>
              <w:t>27ter</w:t>
            </w:r>
          </w:p>
        </w:tc>
        <w:tc>
          <w:tcPr>
            <w:tcW w:w="3118" w:type="dxa"/>
            <w:tcBorders>
              <w:top w:val="nil"/>
              <w:left w:val="nil"/>
              <w:bottom w:val="single" w:sz="4" w:space="0" w:color="auto"/>
              <w:right w:val="single" w:sz="4" w:space="0" w:color="auto"/>
            </w:tcBorders>
            <w:shd w:val="clear" w:color="auto" w:fill="C6EFCE"/>
            <w:noWrap/>
          </w:tcPr>
          <w:p w14:paraId="5CC20379" w14:textId="120EF72D" w:rsidR="008676A9" w:rsidRPr="00DD6A04" w:rsidRDefault="008676A9" w:rsidP="008676A9">
            <w:pPr>
              <w:spacing w:before="0" w:after="0" w:line="276" w:lineRule="auto"/>
              <w:rPr>
                <w:rFonts w:eastAsia="Times New Roman"/>
                <w:noProof/>
                <w:color w:val="006100"/>
                <w:sz w:val="22"/>
              </w:rPr>
            </w:pPr>
            <w:r>
              <w:rPr>
                <w:noProof/>
                <w:color w:val="006100"/>
                <w:sz w:val="22"/>
              </w:rPr>
              <w:t>B: Nadaljevanje trajnostne prenove stavb</w:t>
            </w:r>
          </w:p>
        </w:tc>
        <w:tc>
          <w:tcPr>
            <w:tcW w:w="1247" w:type="dxa"/>
            <w:tcBorders>
              <w:top w:val="nil"/>
              <w:left w:val="nil"/>
              <w:bottom w:val="single" w:sz="4" w:space="0" w:color="auto"/>
              <w:right w:val="single" w:sz="4" w:space="0" w:color="auto"/>
            </w:tcBorders>
            <w:shd w:val="clear" w:color="auto" w:fill="C6EFCE"/>
            <w:noWrap/>
          </w:tcPr>
          <w:p w14:paraId="1A0C1E7D" w14:textId="632D2A6D" w:rsidR="008676A9" w:rsidRPr="00DD6A04" w:rsidRDefault="008676A9" w:rsidP="008676A9">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5DFA599B" w14:textId="56C17076" w:rsidR="008676A9" w:rsidRPr="00DD6A04" w:rsidRDefault="008676A9" w:rsidP="008676A9">
            <w:pPr>
              <w:spacing w:before="0" w:after="0" w:line="276" w:lineRule="auto"/>
              <w:rPr>
                <w:rFonts w:eastAsia="Times New Roman"/>
                <w:noProof/>
                <w:color w:val="006100"/>
                <w:sz w:val="22"/>
              </w:rPr>
            </w:pPr>
            <w:r>
              <w:rPr>
                <w:noProof/>
                <w:color w:val="006100"/>
                <w:sz w:val="22"/>
              </w:rPr>
              <w:t xml:space="preserve">Dokončana energetska in trajnostna prenova stavb s posameznimi nadgradnjami tehničnih stavbnih sistemov </w:t>
            </w:r>
          </w:p>
        </w:tc>
      </w:tr>
      <w:tr w:rsidR="003C6015" w:rsidRPr="00DD6A04" w14:paraId="6D32B7D5"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3484B805"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6294661D"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 xml:space="preserve">47 </w:t>
            </w:r>
          </w:p>
          <w:p w14:paraId="721E5F9E"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12471E9F"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F: Nadaljnje zmanjševanje poplavne ogroženosti ter zmanjševanje tveganja za druge podnebno pogojene nesreče </w:t>
            </w:r>
          </w:p>
        </w:tc>
        <w:tc>
          <w:tcPr>
            <w:tcW w:w="1247" w:type="dxa"/>
            <w:tcBorders>
              <w:top w:val="nil"/>
              <w:left w:val="nil"/>
              <w:bottom w:val="single" w:sz="4" w:space="0" w:color="auto"/>
              <w:right w:val="single" w:sz="4" w:space="0" w:color="auto"/>
            </w:tcBorders>
            <w:shd w:val="clear" w:color="auto" w:fill="C6EFCE"/>
            <w:noWrap/>
          </w:tcPr>
          <w:p w14:paraId="4D6E74BB"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218101E7"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Prebivalci, ki imajo koristi od projektov v zvezi s protipoplavno varnostjo</w:t>
            </w:r>
          </w:p>
        </w:tc>
      </w:tr>
      <w:tr w:rsidR="003C6015" w:rsidRPr="00DD6A04" w14:paraId="2E27B392"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4DC35A11"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5A632966"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48</w:t>
            </w:r>
          </w:p>
        </w:tc>
        <w:tc>
          <w:tcPr>
            <w:tcW w:w="3118" w:type="dxa"/>
            <w:tcBorders>
              <w:top w:val="nil"/>
              <w:left w:val="nil"/>
              <w:bottom w:val="single" w:sz="4" w:space="0" w:color="auto"/>
              <w:right w:val="single" w:sz="4" w:space="0" w:color="auto"/>
            </w:tcBorders>
            <w:shd w:val="clear" w:color="auto" w:fill="C6EFCE"/>
            <w:noWrap/>
          </w:tcPr>
          <w:p w14:paraId="29380520"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F: Nadaljnje zmanjševanje poplavne ogroženosti ter zmanjševanje tveganja za druge podnebno pogojene nesreče </w:t>
            </w:r>
          </w:p>
        </w:tc>
        <w:tc>
          <w:tcPr>
            <w:tcW w:w="1247" w:type="dxa"/>
            <w:tcBorders>
              <w:top w:val="nil"/>
              <w:left w:val="nil"/>
              <w:bottom w:val="single" w:sz="4" w:space="0" w:color="auto"/>
              <w:right w:val="single" w:sz="4" w:space="0" w:color="auto"/>
            </w:tcBorders>
            <w:shd w:val="clear" w:color="auto" w:fill="C6EFCE"/>
            <w:noWrap/>
          </w:tcPr>
          <w:p w14:paraId="652952A5"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7D5482B7"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Število dokončanih projektov za zmanjšanje poplav in plazov, ki čim bolj dajejo prednost rešitvam, ki temeljijo na naravi, in zelenim infrastrukturam</w:t>
            </w:r>
          </w:p>
        </w:tc>
      </w:tr>
      <w:tr w:rsidR="003C6015" w:rsidRPr="00DD6A04" w14:paraId="27BDC9B1"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4420C314"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37E8A457"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51</w:t>
            </w:r>
          </w:p>
          <w:p w14:paraId="72F581C8"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4F80D03D"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H: Nadaljnji projekti odvajanja in čiščenja komunalne odpadne vode ter njene ponovne rabe</w:t>
            </w:r>
          </w:p>
        </w:tc>
        <w:tc>
          <w:tcPr>
            <w:tcW w:w="1247" w:type="dxa"/>
            <w:tcBorders>
              <w:top w:val="nil"/>
              <w:left w:val="nil"/>
              <w:bottom w:val="single" w:sz="4" w:space="0" w:color="auto"/>
              <w:right w:val="single" w:sz="4" w:space="0" w:color="auto"/>
            </w:tcBorders>
            <w:shd w:val="clear" w:color="auto" w:fill="C6EFCE"/>
            <w:noWrap/>
          </w:tcPr>
          <w:p w14:paraId="1BC1944C"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6C62DCCE"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Število dokončanih projektov odvajanja in čiščenja komunalne odpadne vode </w:t>
            </w:r>
          </w:p>
        </w:tc>
      </w:tr>
      <w:tr w:rsidR="003C6015" w:rsidRPr="00DD6A04" w14:paraId="012482C5"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36EF52B5"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1644C791"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53</w:t>
            </w:r>
          </w:p>
          <w:p w14:paraId="67A8C909"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5135436C"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I: Nadaljnji projekti oskrbe in varčevanja s pitno vodo</w:t>
            </w:r>
          </w:p>
        </w:tc>
        <w:tc>
          <w:tcPr>
            <w:tcW w:w="1247" w:type="dxa"/>
            <w:tcBorders>
              <w:top w:val="nil"/>
              <w:left w:val="nil"/>
              <w:bottom w:val="single" w:sz="4" w:space="0" w:color="auto"/>
              <w:right w:val="single" w:sz="4" w:space="0" w:color="auto"/>
            </w:tcBorders>
            <w:shd w:val="clear" w:color="auto" w:fill="C6EFCE"/>
            <w:noWrap/>
          </w:tcPr>
          <w:p w14:paraId="03686852"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5776BC59"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Število dokončanih projektov oskrbe s pitno vodo </w:t>
            </w:r>
          </w:p>
        </w:tc>
      </w:tr>
      <w:tr w:rsidR="003C6015" w:rsidRPr="00DD6A04" w14:paraId="23E77CCE"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70B96A46"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142EEDCE"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68</w:t>
            </w:r>
          </w:p>
          <w:p w14:paraId="6765A5EA"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419AF70C" w14:textId="19029698" w:rsidR="003C6015" w:rsidRPr="00DD6A04" w:rsidRDefault="00831CF6" w:rsidP="003C6015">
            <w:pPr>
              <w:spacing w:before="0" w:after="0" w:line="276" w:lineRule="auto"/>
              <w:rPr>
                <w:rFonts w:eastAsia="Times New Roman"/>
                <w:noProof/>
                <w:color w:val="006100"/>
                <w:sz w:val="22"/>
              </w:rPr>
            </w:pPr>
            <w:r>
              <w:rPr>
                <w:noProof/>
                <w:color w:val="006100"/>
              </w:rPr>
              <w:t xml:space="preserve">C: </w:t>
            </w:r>
            <w:r>
              <w:rPr>
                <w:noProof/>
                <w:color w:val="006100"/>
                <w:sz w:val="22"/>
              </w:rPr>
              <w:t>Dodatno povečanje zmogljivosti železniške infrastrukture</w:t>
            </w:r>
          </w:p>
        </w:tc>
        <w:tc>
          <w:tcPr>
            <w:tcW w:w="1247" w:type="dxa"/>
            <w:tcBorders>
              <w:top w:val="nil"/>
              <w:left w:val="nil"/>
              <w:bottom w:val="single" w:sz="4" w:space="0" w:color="auto"/>
              <w:right w:val="single" w:sz="4" w:space="0" w:color="auto"/>
            </w:tcBorders>
            <w:shd w:val="clear" w:color="auto" w:fill="C6EFCE"/>
            <w:noWrap/>
          </w:tcPr>
          <w:p w14:paraId="4E798590"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Mejnik</w:t>
            </w:r>
          </w:p>
        </w:tc>
        <w:tc>
          <w:tcPr>
            <w:tcW w:w="4139" w:type="dxa"/>
            <w:tcBorders>
              <w:top w:val="nil"/>
              <w:left w:val="nil"/>
              <w:bottom w:val="single" w:sz="4" w:space="0" w:color="auto"/>
              <w:right w:val="single" w:sz="4" w:space="0" w:color="auto"/>
            </w:tcBorders>
            <w:shd w:val="clear" w:color="auto" w:fill="C6EFCE"/>
            <w:noWrap/>
          </w:tcPr>
          <w:p w14:paraId="2705C872" w14:textId="7D91C49C" w:rsidR="00D9351B" w:rsidRPr="00DD6A04" w:rsidRDefault="00D9351B" w:rsidP="003C6015">
            <w:pPr>
              <w:spacing w:before="0" w:after="0" w:line="276" w:lineRule="auto"/>
              <w:rPr>
                <w:rFonts w:eastAsia="Times New Roman"/>
                <w:noProof/>
                <w:color w:val="006100"/>
                <w:sz w:val="22"/>
              </w:rPr>
            </w:pPr>
            <w:r>
              <w:rPr>
                <w:noProof/>
                <w:color w:val="006100"/>
                <w:sz w:val="22"/>
              </w:rPr>
              <w:t>Nadgrajeni železniški postaji Ljubljana in Nova Gorica</w:t>
            </w:r>
          </w:p>
        </w:tc>
      </w:tr>
      <w:tr w:rsidR="003A007B" w:rsidRPr="00DD6A04" w14:paraId="760FAEE4"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3630140E" w14:textId="7BE30190" w:rsidR="003A007B" w:rsidRPr="00DD6A04" w:rsidRDefault="003A007B" w:rsidP="003A007B">
            <w:pPr>
              <w:spacing w:before="0" w:after="0" w:line="276" w:lineRule="auto"/>
              <w:jc w:val="center"/>
              <w:rPr>
                <w:rFonts w:eastAsia="Times New Roman"/>
                <w:noProof/>
                <w:color w:val="006100"/>
                <w:sz w:val="22"/>
              </w:rPr>
            </w:pPr>
            <w:r>
              <w:rPr>
                <w:noProof/>
                <w:color w:val="006100"/>
                <w:sz w:val="22"/>
              </w:rPr>
              <w:t>68bis</w:t>
            </w:r>
          </w:p>
        </w:tc>
        <w:tc>
          <w:tcPr>
            <w:tcW w:w="3118" w:type="dxa"/>
            <w:tcBorders>
              <w:top w:val="nil"/>
              <w:left w:val="nil"/>
              <w:bottom w:val="single" w:sz="4" w:space="0" w:color="auto"/>
              <w:right w:val="single" w:sz="4" w:space="0" w:color="auto"/>
            </w:tcBorders>
            <w:shd w:val="clear" w:color="auto" w:fill="C6EFCE"/>
            <w:noWrap/>
          </w:tcPr>
          <w:p w14:paraId="6D7E2863" w14:textId="24D91E42" w:rsidR="003A007B" w:rsidRPr="00DD6A04" w:rsidRDefault="003A007B" w:rsidP="003A007B">
            <w:pPr>
              <w:spacing w:before="0" w:after="0" w:line="276" w:lineRule="auto"/>
              <w:rPr>
                <w:rFonts w:eastAsia="Times New Roman"/>
                <w:noProof/>
                <w:color w:val="006100"/>
              </w:rPr>
            </w:pPr>
            <w:r>
              <w:rPr>
                <w:noProof/>
                <w:color w:val="006100"/>
                <w:sz w:val="22"/>
              </w:rPr>
              <w:t>C: Dodatno povečanje zmogljivosti železniške infrastrukture</w:t>
            </w:r>
          </w:p>
        </w:tc>
        <w:tc>
          <w:tcPr>
            <w:tcW w:w="1247" w:type="dxa"/>
            <w:tcBorders>
              <w:top w:val="nil"/>
              <w:left w:val="nil"/>
              <w:bottom w:val="single" w:sz="4" w:space="0" w:color="auto"/>
              <w:right w:val="single" w:sz="4" w:space="0" w:color="auto"/>
            </w:tcBorders>
            <w:shd w:val="clear" w:color="auto" w:fill="C6EFCE"/>
            <w:noWrap/>
          </w:tcPr>
          <w:p w14:paraId="1BE04CDC" w14:textId="386A94AE" w:rsidR="003A007B" w:rsidRPr="00DD6A04" w:rsidRDefault="003A007B" w:rsidP="003A007B">
            <w:pPr>
              <w:spacing w:before="0" w:after="0" w:line="25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06F1672C" w14:textId="6BD6B4B8" w:rsidR="003A007B" w:rsidRPr="00DD6A04" w:rsidRDefault="003A007B" w:rsidP="003A007B">
            <w:pPr>
              <w:spacing w:before="0" w:after="0" w:line="276" w:lineRule="auto"/>
              <w:rPr>
                <w:rFonts w:eastAsia="Times New Roman"/>
                <w:noProof/>
                <w:color w:val="006100"/>
                <w:sz w:val="22"/>
              </w:rPr>
            </w:pPr>
            <w:r>
              <w:rPr>
                <w:noProof/>
                <w:color w:val="006100"/>
                <w:sz w:val="22"/>
              </w:rPr>
              <w:t xml:space="preserve">Dolžina nadgrajenih železniških prog </w:t>
            </w:r>
          </w:p>
        </w:tc>
      </w:tr>
      <w:tr w:rsidR="003C6015" w:rsidRPr="00DD6A04" w14:paraId="41036122"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02ABB7F1"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10BC4882"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170</w:t>
            </w:r>
          </w:p>
          <w:p w14:paraId="2236604C"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1B190F84" w14:textId="14595414" w:rsidR="003C6015" w:rsidRPr="00DD6A04" w:rsidRDefault="00831CF6" w:rsidP="003C6015">
            <w:pPr>
              <w:spacing w:before="0" w:after="0" w:line="276" w:lineRule="auto"/>
              <w:rPr>
                <w:rFonts w:eastAsia="Times New Roman"/>
                <w:noProof/>
                <w:color w:val="006100"/>
                <w:sz w:val="22"/>
              </w:rPr>
            </w:pPr>
            <w:r>
              <w:rPr>
                <w:noProof/>
                <w:color w:val="006100"/>
              </w:rPr>
              <w:t>H</w:t>
            </w:r>
            <w:r>
              <w:rPr>
                <w:noProof/>
                <w:color w:val="006100"/>
                <w:sz w:val="22"/>
              </w:rPr>
              <w:t>: Nadaljnja ozelenitev izobraževalne infrastrukture v Sloveniji</w:t>
            </w:r>
          </w:p>
        </w:tc>
        <w:tc>
          <w:tcPr>
            <w:tcW w:w="1247" w:type="dxa"/>
            <w:tcBorders>
              <w:top w:val="nil"/>
              <w:left w:val="nil"/>
              <w:bottom w:val="single" w:sz="4" w:space="0" w:color="auto"/>
              <w:right w:val="single" w:sz="4" w:space="0" w:color="auto"/>
            </w:tcBorders>
            <w:shd w:val="clear" w:color="auto" w:fill="C6EFCE"/>
            <w:noWrap/>
          </w:tcPr>
          <w:p w14:paraId="2B74EE81"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3FEEA381"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Površina novih izobraževalnih ustanov </w:t>
            </w:r>
          </w:p>
        </w:tc>
      </w:tr>
      <w:tr w:rsidR="003C6015" w:rsidRPr="00DD6A04" w14:paraId="2B06C13A"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4AD7E491"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5768716E"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204</w:t>
            </w:r>
          </w:p>
          <w:p w14:paraId="5CD4723C"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5D2F4980"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C: Zagotovitev varnega okolja bivanja za osebe, ki so odvisne od pomoči drugih</w:t>
            </w:r>
          </w:p>
        </w:tc>
        <w:tc>
          <w:tcPr>
            <w:tcW w:w="1247" w:type="dxa"/>
            <w:tcBorders>
              <w:top w:val="nil"/>
              <w:left w:val="nil"/>
              <w:bottom w:val="single" w:sz="4" w:space="0" w:color="auto"/>
              <w:right w:val="single" w:sz="4" w:space="0" w:color="auto"/>
            </w:tcBorders>
            <w:shd w:val="clear" w:color="auto" w:fill="C6EFCE"/>
            <w:noWrap/>
          </w:tcPr>
          <w:p w14:paraId="7A23AE4E"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45E2DB60"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 xml:space="preserve">Dodatna razpoložljiva mesta v ustanovah za institucionalno varstvo </w:t>
            </w:r>
          </w:p>
        </w:tc>
      </w:tr>
      <w:tr w:rsidR="003C6015" w:rsidRPr="00DD6A04" w14:paraId="1849CB30" w14:textId="77777777" w:rsidTr="00CF5FDB">
        <w:trPr>
          <w:trHeight w:val="302"/>
        </w:trPr>
        <w:tc>
          <w:tcPr>
            <w:tcW w:w="1247" w:type="dxa"/>
            <w:tcBorders>
              <w:top w:val="nil"/>
              <w:left w:val="single" w:sz="4" w:space="0" w:color="auto"/>
              <w:bottom w:val="single" w:sz="4" w:space="0" w:color="auto"/>
              <w:right w:val="single" w:sz="4" w:space="0" w:color="auto"/>
            </w:tcBorders>
            <w:shd w:val="clear" w:color="auto" w:fill="C6EFCE"/>
            <w:noWrap/>
          </w:tcPr>
          <w:p w14:paraId="3D2F8F42" w14:textId="77777777" w:rsidR="003C6015" w:rsidRPr="00DD6A04" w:rsidRDefault="003C6015" w:rsidP="003C6015">
            <w:pPr>
              <w:spacing w:before="0" w:after="0" w:line="276" w:lineRule="auto"/>
              <w:jc w:val="center"/>
              <w:rPr>
                <w:rFonts w:eastAsia="Times New Roman"/>
                <w:noProof/>
                <w:color w:val="006100"/>
                <w:sz w:val="22"/>
                <w:lang w:val="en-GB" w:eastAsia="en-GB"/>
              </w:rPr>
            </w:pPr>
          </w:p>
          <w:p w14:paraId="6497B1DD" w14:textId="77777777" w:rsidR="003C6015" w:rsidRPr="00DD6A04" w:rsidRDefault="003C6015" w:rsidP="003C6015">
            <w:pPr>
              <w:spacing w:before="0" w:after="0" w:line="276" w:lineRule="auto"/>
              <w:jc w:val="center"/>
              <w:rPr>
                <w:rFonts w:eastAsia="Times New Roman"/>
                <w:noProof/>
                <w:color w:val="006100"/>
                <w:sz w:val="22"/>
              </w:rPr>
            </w:pPr>
            <w:r>
              <w:rPr>
                <w:noProof/>
                <w:color w:val="006100"/>
                <w:sz w:val="22"/>
              </w:rPr>
              <w:t>206</w:t>
            </w:r>
          </w:p>
          <w:p w14:paraId="2A8F51CA"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3118" w:type="dxa"/>
            <w:tcBorders>
              <w:top w:val="nil"/>
              <w:left w:val="nil"/>
              <w:bottom w:val="single" w:sz="4" w:space="0" w:color="auto"/>
              <w:right w:val="single" w:sz="4" w:space="0" w:color="auto"/>
            </w:tcBorders>
            <w:shd w:val="clear" w:color="auto" w:fill="C6EFCE"/>
            <w:noWrap/>
          </w:tcPr>
          <w:p w14:paraId="57417871" w14:textId="07320B60" w:rsidR="003C6015" w:rsidRPr="00DD6A04" w:rsidRDefault="00831CF6" w:rsidP="003C6015">
            <w:pPr>
              <w:spacing w:before="0" w:after="0" w:line="276" w:lineRule="auto"/>
              <w:rPr>
                <w:rFonts w:eastAsia="Times New Roman"/>
                <w:noProof/>
                <w:color w:val="006100"/>
                <w:sz w:val="22"/>
              </w:rPr>
            </w:pPr>
            <w:r>
              <w:rPr>
                <w:noProof/>
                <w:color w:val="006100"/>
              </w:rPr>
              <w:t xml:space="preserve">A: </w:t>
            </w:r>
            <w:r>
              <w:rPr>
                <w:noProof/>
                <w:color w:val="006100"/>
                <w:sz w:val="22"/>
              </w:rPr>
              <w:t xml:space="preserve">Krepitev fonda javnih najemnih stanovanj </w:t>
            </w:r>
          </w:p>
        </w:tc>
        <w:tc>
          <w:tcPr>
            <w:tcW w:w="1247" w:type="dxa"/>
            <w:tcBorders>
              <w:top w:val="nil"/>
              <w:left w:val="nil"/>
              <w:bottom w:val="single" w:sz="4" w:space="0" w:color="auto"/>
              <w:right w:val="single" w:sz="4" w:space="0" w:color="auto"/>
            </w:tcBorders>
            <w:shd w:val="clear" w:color="auto" w:fill="C6EFCE"/>
            <w:noWrap/>
          </w:tcPr>
          <w:p w14:paraId="05B65A86" w14:textId="77777777" w:rsidR="003C6015" w:rsidRPr="00DD6A04" w:rsidRDefault="003C6015" w:rsidP="003C6015">
            <w:pPr>
              <w:spacing w:before="0" w:after="0" w:line="256" w:lineRule="auto"/>
              <w:rPr>
                <w:rFonts w:eastAsia="Times New Roman"/>
                <w:noProof/>
                <w:color w:val="006100"/>
                <w:sz w:val="22"/>
              </w:rPr>
            </w:pPr>
            <w:r>
              <w:rPr>
                <w:noProof/>
                <w:color w:val="006100"/>
                <w:sz w:val="22"/>
              </w:rPr>
              <w:t>Cilj</w:t>
            </w:r>
          </w:p>
        </w:tc>
        <w:tc>
          <w:tcPr>
            <w:tcW w:w="4139" w:type="dxa"/>
            <w:tcBorders>
              <w:top w:val="nil"/>
              <w:left w:val="nil"/>
              <w:bottom w:val="single" w:sz="4" w:space="0" w:color="auto"/>
              <w:right w:val="single" w:sz="4" w:space="0" w:color="auto"/>
            </w:tcBorders>
            <w:shd w:val="clear" w:color="auto" w:fill="C6EFCE"/>
            <w:noWrap/>
          </w:tcPr>
          <w:p w14:paraId="3FBB877E" w14:textId="77777777" w:rsidR="003C6015" w:rsidRPr="00DD6A04" w:rsidRDefault="003C6015" w:rsidP="003C6015">
            <w:pPr>
              <w:spacing w:before="0" w:after="0" w:line="276" w:lineRule="auto"/>
              <w:rPr>
                <w:rFonts w:eastAsia="Times New Roman"/>
                <w:noProof/>
                <w:color w:val="006100"/>
                <w:sz w:val="22"/>
              </w:rPr>
            </w:pPr>
            <w:r>
              <w:rPr>
                <w:noProof/>
                <w:color w:val="006100"/>
                <w:sz w:val="22"/>
              </w:rPr>
              <w:t>Dodatna javna najemna stanovanja</w:t>
            </w:r>
          </w:p>
        </w:tc>
      </w:tr>
      <w:tr w:rsidR="003C6015" w:rsidRPr="00DD6A04" w14:paraId="239811A6" w14:textId="77777777" w:rsidTr="00CF5FDB">
        <w:trPr>
          <w:trHeight w:val="302"/>
        </w:trPr>
        <w:tc>
          <w:tcPr>
            <w:tcW w:w="1247"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2049ED1" w14:textId="77777777" w:rsidR="003C6015" w:rsidRPr="00DD6A04" w:rsidRDefault="003C6015" w:rsidP="003C6015">
            <w:pPr>
              <w:spacing w:before="0" w:after="0" w:line="276" w:lineRule="auto"/>
              <w:jc w:val="center"/>
              <w:rPr>
                <w:rFonts w:eastAsia="Times New Roman"/>
                <w:noProof/>
                <w:color w:val="006100"/>
                <w:sz w:val="22"/>
                <w:lang w:val="en-GB" w:eastAsia="en-GB"/>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664DA279" w14:textId="77777777" w:rsidR="003C6015" w:rsidRPr="00DD6A04" w:rsidRDefault="003C6015" w:rsidP="003C6015">
            <w:pPr>
              <w:spacing w:before="0" w:after="0" w:line="276" w:lineRule="auto"/>
              <w:rPr>
                <w:rFonts w:eastAsia="Times New Roman"/>
                <w:noProof/>
                <w:color w:val="006100"/>
                <w:sz w:val="22"/>
                <w:lang w:val="en-GB" w:eastAsia="en-GB"/>
              </w:rPr>
            </w:pPr>
          </w:p>
        </w:tc>
        <w:tc>
          <w:tcPr>
            <w:tcW w:w="1247" w:type="dxa"/>
            <w:tcBorders>
              <w:top w:val="single" w:sz="4" w:space="0" w:color="auto"/>
              <w:left w:val="nil"/>
              <w:bottom w:val="single" w:sz="4" w:space="0" w:color="auto"/>
              <w:right w:val="single" w:sz="4" w:space="0" w:color="auto"/>
            </w:tcBorders>
            <w:shd w:val="clear" w:color="auto" w:fill="C6EFCE"/>
            <w:noWrap/>
            <w:vAlign w:val="bottom"/>
          </w:tcPr>
          <w:p w14:paraId="4B5EE109" w14:textId="77777777" w:rsidR="003C6015" w:rsidRPr="00DD6A04" w:rsidRDefault="003C6015" w:rsidP="003C6015">
            <w:pPr>
              <w:spacing w:before="0" w:after="0" w:line="276" w:lineRule="auto"/>
              <w:rPr>
                <w:rFonts w:eastAsia="Times New Roman"/>
                <w:b/>
                <w:noProof/>
                <w:color w:val="006100"/>
                <w:sz w:val="22"/>
              </w:rPr>
            </w:pPr>
            <w:r>
              <w:rPr>
                <w:b/>
                <w:noProof/>
                <w:color w:val="006100"/>
                <w:sz w:val="22"/>
              </w:rPr>
              <w:t>Znesek obroka</w:t>
            </w:r>
          </w:p>
        </w:tc>
        <w:tc>
          <w:tcPr>
            <w:tcW w:w="4139" w:type="dxa"/>
            <w:tcBorders>
              <w:top w:val="single" w:sz="4" w:space="0" w:color="auto"/>
              <w:left w:val="nil"/>
              <w:bottom w:val="single" w:sz="4" w:space="0" w:color="auto"/>
              <w:right w:val="single" w:sz="4" w:space="0" w:color="auto"/>
            </w:tcBorders>
            <w:shd w:val="clear" w:color="auto" w:fill="C6EFCE"/>
            <w:noWrap/>
            <w:vAlign w:val="bottom"/>
          </w:tcPr>
          <w:p w14:paraId="11EBF163" w14:textId="6DDA3479" w:rsidR="003C6015" w:rsidRPr="00DD6A04" w:rsidRDefault="003C6015" w:rsidP="003C6015">
            <w:pPr>
              <w:spacing w:before="0" w:after="0" w:line="276" w:lineRule="auto"/>
              <w:rPr>
                <w:rFonts w:eastAsia="Times New Roman"/>
                <w:b/>
                <w:noProof/>
                <w:color w:val="006100"/>
                <w:sz w:val="22"/>
              </w:rPr>
            </w:pPr>
            <w:r>
              <w:rPr>
                <w:b/>
                <w:noProof/>
                <w:color w:val="006100"/>
                <w:sz w:val="22"/>
              </w:rPr>
              <w:t>232 526 852 EUR</w:t>
            </w:r>
          </w:p>
        </w:tc>
      </w:tr>
    </w:tbl>
    <w:p w14:paraId="1BE9C701" w14:textId="77777777" w:rsidR="003C6015" w:rsidRPr="00DD6A04" w:rsidRDefault="003C6015" w:rsidP="003C6015">
      <w:pPr>
        <w:spacing w:line="240" w:lineRule="auto"/>
        <w:jc w:val="both"/>
        <w:rPr>
          <w:noProof/>
          <w:lang w:val="en-GB"/>
        </w:rPr>
      </w:pPr>
    </w:p>
    <w:p w14:paraId="51BCE6D4" w14:textId="77777777" w:rsidR="003C6015" w:rsidRPr="00DD6A04" w:rsidRDefault="003C6015" w:rsidP="003C6015">
      <w:pPr>
        <w:spacing w:before="0" w:after="200" w:line="276" w:lineRule="auto"/>
        <w:rPr>
          <w:b/>
          <w:noProof/>
        </w:rPr>
      </w:pPr>
      <w:r>
        <w:rPr>
          <w:b/>
          <w:noProof/>
        </w:rPr>
        <w:t xml:space="preserve">ODDELEK 3: DODATNE UREDITVE </w:t>
      </w:r>
    </w:p>
    <w:p w14:paraId="56F04056" w14:textId="014FFA0D" w:rsidR="003C6015" w:rsidRPr="00DD6A04" w:rsidRDefault="003C6015" w:rsidP="003C6015">
      <w:pPr>
        <w:numPr>
          <w:ilvl w:val="0"/>
          <w:numId w:val="9"/>
        </w:numPr>
        <w:spacing w:before="0" w:after="200" w:line="240" w:lineRule="auto"/>
        <w:jc w:val="both"/>
        <w:rPr>
          <w:b/>
          <w:noProof/>
        </w:rPr>
      </w:pPr>
      <w:r>
        <w:rPr>
          <w:b/>
          <w:noProof/>
        </w:rPr>
        <w:t>Ureditve za spremljanje in izvajanje načrta za okrevanje in odpornost</w:t>
      </w:r>
    </w:p>
    <w:p w14:paraId="59E0FD9B" w14:textId="77777777" w:rsidR="003C6015" w:rsidRPr="00DD6A04" w:rsidRDefault="003C6015" w:rsidP="003C6015">
      <w:pPr>
        <w:spacing w:line="240" w:lineRule="auto"/>
        <w:jc w:val="both"/>
        <w:rPr>
          <w:noProof/>
        </w:rPr>
      </w:pPr>
      <w:r>
        <w:rPr>
          <w:noProof/>
        </w:rPr>
        <w:t xml:space="preserve">Spremljanje in izvajanje načrta za okrevanje in odpornost Slovenije bosta potekala v skladu z naslednjimi ureditvami: </w:t>
      </w:r>
    </w:p>
    <w:p w14:paraId="276DFF66" w14:textId="6D9E4D31" w:rsidR="003C6015" w:rsidRPr="00DD6A04" w:rsidRDefault="003C6015" w:rsidP="00BD7FBD">
      <w:pPr>
        <w:numPr>
          <w:ilvl w:val="0"/>
          <w:numId w:val="34"/>
        </w:numPr>
        <w:spacing w:before="0" w:after="200" w:line="240" w:lineRule="auto"/>
        <w:ind w:left="360"/>
        <w:jc w:val="both"/>
        <w:rPr>
          <w:noProof/>
        </w:rPr>
      </w:pPr>
      <w:r>
        <w:rPr>
          <w:noProof/>
        </w:rPr>
        <w:t>Urad za izvajanje načrta za okrevanje in odpornost pri Ministrstvu za finance bo deloval kot usklajevalni organ ter bo imel splošno pristojnost za spremljanje in izvajanje načrta kot celote. Spremljal, preverjal in potrjeval bo doseganje mejnikov in ciljev ter pripravil in podpisal izjavo o upravljanju. Odgovoren bo za izplačila na nacionalni ravni ter pripravo in predložitev zahtevkov za izplačilo Evropski komisiji</w:t>
      </w:r>
      <w:r w:rsidR="00167246">
        <w:rPr>
          <w:noProof/>
        </w:rPr>
        <w:t>;</w:t>
      </w:r>
    </w:p>
    <w:p w14:paraId="41EBA899" w14:textId="05013645" w:rsidR="003C6015" w:rsidRPr="00DD6A04" w:rsidRDefault="00167246" w:rsidP="00BD7FBD">
      <w:pPr>
        <w:numPr>
          <w:ilvl w:val="0"/>
          <w:numId w:val="34"/>
        </w:numPr>
        <w:spacing w:before="0" w:after="200" w:line="240" w:lineRule="auto"/>
        <w:ind w:left="360"/>
        <w:jc w:val="both"/>
        <w:rPr>
          <w:noProof/>
        </w:rPr>
      </w:pPr>
      <w:r>
        <w:rPr>
          <w:noProof/>
        </w:rPr>
        <w:t>z</w:t>
      </w:r>
      <w:r w:rsidR="003C6015">
        <w:rPr>
          <w:noProof/>
        </w:rPr>
        <w:t>a izvajanje posameznih komponent načrta za okrevanje in odpornost Slovenije bodo pristojna resorna ministrstva. Usklajevalnemu organu bodo poročala o napredku pri izvajanju ter doseganju mejnikov in ciljev</w:t>
      </w:r>
      <w:r>
        <w:rPr>
          <w:noProof/>
        </w:rPr>
        <w:t>;</w:t>
      </w:r>
    </w:p>
    <w:p w14:paraId="08AFC66F" w14:textId="10A568F0" w:rsidR="003C6015" w:rsidRPr="00DD6A04" w:rsidRDefault="00167246" w:rsidP="00BD7FBD">
      <w:pPr>
        <w:numPr>
          <w:ilvl w:val="0"/>
          <w:numId w:val="34"/>
        </w:numPr>
        <w:spacing w:before="0" w:after="200" w:line="240" w:lineRule="auto"/>
        <w:ind w:left="360"/>
        <w:jc w:val="both"/>
        <w:rPr>
          <w:noProof/>
        </w:rPr>
      </w:pPr>
      <w:r>
        <w:rPr>
          <w:noProof/>
        </w:rPr>
        <w:t>n</w:t>
      </w:r>
      <w:r w:rsidR="003C6015">
        <w:rPr>
          <w:noProof/>
        </w:rPr>
        <w:t>acionalni stroškovni koordinator bo Služba za upravljanje s sredstvi EU pri Ministrstvu za finance, ki bo odgovoren za predhodni pregled in potrditev ocene stroškov ukrepov v primeru sprememb načrta</w:t>
      </w:r>
      <w:r>
        <w:rPr>
          <w:noProof/>
        </w:rPr>
        <w:t>;</w:t>
      </w:r>
      <w:r w:rsidR="003C6015">
        <w:rPr>
          <w:noProof/>
        </w:rPr>
        <w:t xml:space="preserve"> </w:t>
      </w:r>
    </w:p>
    <w:p w14:paraId="5A5C436D" w14:textId="130736B8" w:rsidR="003C6015" w:rsidRPr="00DD6A04" w:rsidRDefault="00167246" w:rsidP="00BD7FBD">
      <w:pPr>
        <w:numPr>
          <w:ilvl w:val="0"/>
          <w:numId w:val="34"/>
        </w:numPr>
        <w:spacing w:before="0" w:after="200" w:line="240" w:lineRule="auto"/>
        <w:ind w:left="360"/>
        <w:jc w:val="both"/>
        <w:rPr>
          <w:noProof/>
        </w:rPr>
      </w:pPr>
      <w:r>
        <w:rPr>
          <w:noProof/>
        </w:rPr>
        <w:t>z</w:t>
      </w:r>
      <w:r w:rsidR="003C6015">
        <w:rPr>
          <w:noProof/>
        </w:rPr>
        <w:t xml:space="preserve">a izvajanje revizij in pripravo povzetka revizij bo v vlogi nacionalnega revizijskega koordinatorja odgovoren Urad za nadzor proračuna pri Ministrstvu za finance. </w:t>
      </w:r>
    </w:p>
    <w:p w14:paraId="209381CB" w14:textId="77777777" w:rsidR="003C6015" w:rsidRPr="00DD6A04" w:rsidRDefault="003C6015" w:rsidP="003C6015">
      <w:pPr>
        <w:spacing w:line="240" w:lineRule="auto"/>
        <w:jc w:val="both"/>
        <w:rPr>
          <w:noProof/>
          <w:lang w:val="en-GB"/>
        </w:rPr>
      </w:pPr>
    </w:p>
    <w:p w14:paraId="55E71060" w14:textId="77777777" w:rsidR="003C6015" w:rsidRPr="00DD6A04" w:rsidRDefault="003C6015" w:rsidP="003C6015">
      <w:pPr>
        <w:numPr>
          <w:ilvl w:val="0"/>
          <w:numId w:val="9"/>
        </w:numPr>
        <w:spacing w:before="0" w:after="200" w:line="240" w:lineRule="auto"/>
        <w:jc w:val="both"/>
        <w:rPr>
          <w:b/>
          <w:noProof/>
        </w:rPr>
      </w:pPr>
      <w:r>
        <w:rPr>
          <w:b/>
          <w:noProof/>
        </w:rPr>
        <w:t>Ureditve za zagotavljanje popolnega dostopa Komisije do osnovnih podatkov</w:t>
      </w:r>
    </w:p>
    <w:p w14:paraId="1C6C2598" w14:textId="77777777" w:rsidR="003C6015" w:rsidRPr="00DD6A04" w:rsidRDefault="003C6015" w:rsidP="003C6015">
      <w:pPr>
        <w:spacing w:line="240" w:lineRule="auto"/>
        <w:jc w:val="both"/>
        <w:rPr>
          <w:noProof/>
        </w:rPr>
      </w:pPr>
      <w:r>
        <w:rPr>
          <w:noProof/>
        </w:rPr>
        <w:t>Da se Komisiji zagotovi popoln dostop do zadevnih osnovnih podatkov, bo imela Slovenija vzpostavljene naslednje ureditve:</w:t>
      </w:r>
    </w:p>
    <w:p w14:paraId="7BEAEF36" w14:textId="77777777" w:rsidR="003C6015" w:rsidRPr="00DD6A04" w:rsidRDefault="003C6015" w:rsidP="003C6015">
      <w:pPr>
        <w:spacing w:line="240" w:lineRule="auto"/>
        <w:jc w:val="both"/>
        <w:rPr>
          <w:noProof/>
        </w:rPr>
      </w:pPr>
      <w:r>
        <w:rPr>
          <w:noProof/>
        </w:rPr>
        <w:t>Za splošno usklajevanje in spremljanje načrta za okrevanje in odpornost bo odgovoren Urad za izvajanje načrta za okrevanje in odpornost pri Ministrstvu za finance kot osrednji usklajevalni organ za načrt za okrevanje in odpornost Republike Slovenije in njegovo izvajanje. Deloval bo zlasti kot usklajevalni organ za spremljanje napredka pri mejnikih in ciljih. Kontrole bodo izvajali usklajevalni organ in resorna ministrstva, za revizije pa bo pristojen nacionalni revizijski koordinator. Slednji bo usklajeval poročanje o mejnikih in ciljih, vseh ustreznih kazalnikih, pa tudi kvalitativnih finančnih informacijah in drugih podatkih, na primer o končnih prejemnikih. Kodiranje podatkov bo potekalo v okviru informacijskega sistema Ministrstva za finance (MFERAC).</w:t>
      </w:r>
    </w:p>
    <w:p w14:paraId="7EE7F741" w14:textId="38BACB2C" w:rsidR="003C6015" w:rsidRPr="00DD6A04" w:rsidRDefault="003C6015" w:rsidP="00751020">
      <w:pPr>
        <w:spacing w:line="240" w:lineRule="auto"/>
        <w:jc w:val="both"/>
        <w:rPr>
          <w:noProof/>
        </w:rPr>
      </w:pPr>
      <w:r>
        <w:rPr>
          <w:noProof/>
        </w:rPr>
        <w:t>V skladu s členom 24(2) Uredbe (EU) 2021/241 bo Slovenija po izpolnitvi zadevnih dogovorjenih mejnikov in ciljev iz oddelka 2.1 te priloge Komisiji predložila ustrezno utemeljen zahtevek za izplačilo finančnega prispevka in, če je ustrezno, posojila. Slovenija bo zagotovila, da ima Komisija na zahtevo popoln dostop do zadevnih osnovnih podatkov, ki podpirajo ustrezno utemeljitev zahtevka za izplačilo, in sicer tako za oceno zahtevka za izplačilo v skladu s členom 24(3) Uredbe (EU) 2021/241 kot tudi za namene revizije in kontrole.“.</w:t>
      </w:r>
    </w:p>
    <w:sectPr w:rsidR="003C6015" w:rsidRPr="00DD6A04" w:rsidSect="00073927">
      <w:headerReference w:type="even" r:id="rId312"/>
      <w:headerReference w:type="default" r:id="rId313"/>
      <w:footerReference w:type="even" r:id="rId314"/>
      <w:footerReference w:type="default" r:id="rId315"/>
      <w:headerReference w:type="first" r:id="rId316"/>
      <w:footerReference w:type="first" r:id="rId317"/>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0C57" w14:textId="77777777" w:rsidR="00B02E79" w:rsidRDefault="00B02E79" w:rsidP="004B6FB1">
      <w:pPr>
        <w:spacing w:before="0" w:after="0" w:line="240" w:lineRule="auto"/>
      </w:pPr>
      <w:r>
        <w:separator/>
      </w:r>
    </w:p>
  </w:endnote>
  <w:endnote w:type="continuationSeparator" w:id="0">
    <w:p w14:paraId="4A606ABB" w14:textId="77777777" w:rsidR="00B02E79" w:rsidRDefault="00B02E79" w:rsidP="004B6FB1">
      <w:pPr>
        <w:spacing w:before="0" w:after="0" w:line="240" w:lineRule="auto"/>
      </w:pPr>
      <w:r>
        <w:continuationSeparator/>
      </w:r>
    </w:p>
  </w:endnote>
  <w:endnote w:type="continuationNotice" w:id="1">
    <w:p w14:paraId="3717F7D0" w14:textId="77777777" w:rsidR="00B02E79" w:rsidRDefault="00B02E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1E57" w14:textId="1CAB0BF6" w:rsidR="00037751" w:rsidRPr="007A00FB" w:rsidRDefault="00037751" w:rsidP="007A00F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7CAE" w14:textId="77777777" w:rsidR="007505DA" w:rsidRPr="00842956" w:rsidRDefault="007505DA" w:rsidP="00842956">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D2F4" w14:textId="77777777" w:rsidR="007505DA" w:rsidRPr="00842956" w:rsidRDefault="007505DA" w:rsidP="00842956">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826"/>
      <w:docPartObj>
        <w:docPartGallery w:val="Page Numbers (Bottom of Page)"/>
        <w:docPartUnique/>
      </w:docPartObj>
    </w:sdtPr>
    <w:sdtEndPr>
      <w:rPr>
        <w:noProof/>
      </w:rPr>
    </w:sdtEndPr>
    <w:sdtContent>
      <w:p w14:paraId="3D0C8160" w14:textId="2B981D94" w:rsidR="004A506C" w:rsidRDefault="004A506C">
        <w:pPr>
          <w:pStyle w:val="Footer"/>
          <w:jc w:val="center"/>
        </w:pPr>
        <w:r>
          <w:fldChar w:fldCharType="begin"/>
        </w:r>
        <w:r>
          <w:instrText xml:space="preserve"> PAGE   \* MERGEFORMAT </w:instrText>
        </w:r>
        <w:r>
          <w:fldChar w:fldCharType="separate"/>
        </w:r>
        <w:r w:rsidR="00C05114">
          <w:t>116</w:t>
        </w:r>
        <w:r>
          <w:fldChar w:fldCharType="end"/>
        </w:r>
      </w:p>
    </w:sdtContent>
  </w:sdt>
  <w:p w14:paraId="4A0D7BC5" w14:textId="77777777" w:rsidR="007505DA" w:rsidRPr="00842956" w:rsidRDefault="007505DA" w:rsidP="00842956">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A604" w14:textId="77777777" w:rsidR="007505DA" w:rsidRPr="00842956" w:rsidRDefault="007505DA" w:rsidP="00842956">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92F1" w14:textId="77777777" w:rsidR="007505DA" w:rsidRPr="00842956" w:rsidRDefault="007505DA" w:rsidP="00842956">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57308"/>
      <w:docPartObj>
        <w:docPartGallery w:val="Page Numbers (Bottom of Page)"/>
        <w:docPartUnique/>
      </w:docPartObj>
    </w:sdtPr>
    <w:sdtEndPr>
      <w:rPr>
        <w:noProof/>
      </w:rPr>
    </w:sdtEndPr>
    <w:sdtContent>
      <w:p w14:paraId="7117B336" w14:textId="467F580C" w:rsidR="004A506C" w:rsidRDefault="004A506C">
        <w:pPr>
          <w:pStyle w:val="Footer"/>
          <w:jc w:val="center"/>
        </w:pPr>
        <w:r>
          <w:fldChar w:fldCharType="begin"/>
        </w:r>
        <w:r>
          <w:instrText xml:space="preserve"> PAGE   \* MERGEFORMAT </w:instrText>
        </w:r>
        <w:r>
          <w:fldChar w:fldCharType="separate"/>
        </w:r>
        <w:r w:rsidR="00C05114">
          <w:t>117</w:t>
        </w:r>
        <w:r>
          <w:fldChar w:fldCharType="end"/>
        </w:r>
      </w:p>
    </w:sdtContent>
  </w:sdt>
  <w:p w14:paraId="6092FF68" w14:textId="77777777" w:rsidR="007505DA" w:rsidRPr="00842956" w:rsidRDefault="007505DA" w:rsidP="00842956">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E8CB" w14:textId="77777777" w:rsidR="007505DA" w:rsidRPr="00842956" w:rsidRDefault="007505DA" w:rsidP="00842956">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FDBB" w14:textId="77777777" w:rsidR="007505DA" w:rsidRPr="00842956" w:rsidRDefault="007505DA" w:rsidP="00842956">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17922"/>
      <w:docPartObj>
        <w:docPartGallery w:val="Page Numbers (Bottom of Page)"/>
        <w:docPartUnique/>
      </w:docPartObj>
    </w:sdtPr>
    <w:sdtEndPr>
      <w:rPr>
        <w:noProof/>
      </w:rPr>
    </w:sdtEndPr>
    <w:sdtContent>
      <w:p w14:paraId="40B231D0" w14:textId="2BC25616" w:rsidR="004A506C" w:rsidRDefault="004A506C">
        <w:pPr>
          <w:pStyle w:val="Footer"/>
          <w:jc w:val="center"/>
        </w:pPr>
        <w:r>
          <w:fldChar w:fldCharType="begin"/>
        </w:r>
        <w:r>
          <w:instrText xml:space="preserve"> PAGE   \* MERGEFORMAT </w:instrText>
        </w:r>
        <w:r>
          <w:fldChar w:fldCharType="separate"/>
        </w:r>
        <w:r w:rsidR="004F4033">
          <w:t>119</w:t>
        </w:r>
        <w:r>
          <w:fldChar w:fldCharType="end"/>
        </w:r>
      </w:p>
    </w:sdtContent>
  </w:sdt>
  <w:p w14:paraId="74B14816" w14:textId="77777777" w:rsidR="007505DA" w:rsidRPr="00842956" w:rsidRDefault="007505DA" w:rsidP="00842956">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C27C" w14:textId="77777777" w:rsidR="007505DA" w:rsidRPr="00842956" w:rsidRDefault="007505DA" w:rsidP="00842956">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C361" w14:textId="77777777" w:rsidR="007505DA" w:rsidRPr="00842956" w:rsidRDefault="007505DA" w:rsidP="008429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210867"/>
      <w:docPartObj>
        <w:docPartGallery w:val="Page Numbers (Bottom of Page)"/>
        <w:docPartUnique/>
      </w:docPartObj>
    </w:sdtPr>
    <w:sdtEndPr>
      <w:rPr>
        <w:noProof/>
      </w:rPr>
    </w:sdtEndPr>
    <w:sdtContent>
      <w:p w14:paraId="552C73BD" w14:textId="589AA27C" w:rsidR="004A506C" w:rsidRDefault="004A506C">
        <w:pPr>
          <w:pStyle w:val="Footer"/>
          <w:jc w:val="center"/>
        </w:pPr>
        <w:r>
          <w:fldChar w:fldCharType="begin"/>
        </w:r>
        <w:r>
          <w:instrText xml:space="preserve"> PAGE   \* MERGEFORMAT </w:instrText>
        </w:r>
        <w:r>
          <w:fldChar w:fldCharType="separate"/>
        </w:r>
        <w:r w:rsidR="007A00FB">
          <w:rPr>
            <w:noProof/>
          </w:rPr>
          <w:t>9</w:t>
        </w:r>
        <w:r>
          <w:fldChar w:fldCharType="end"/>
        </w:r>
      </w:p>
    </w:sdtContent>
  </w:sdt>
  <w:p w14:paraId="71235BF7" w14:textId="77777777" w:rsidR="007505DA" w:rsidRPr="00842956" w:rsidRDefault="007505DA" w:rsidP="00842956">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6681"/>
      <w:docPartObj>
        <w:docPartGallery w:val="Page Numbers (Bottom of Page)"/>
        <w:docPartUnique/>
      </w:docPartObj>
    </w:sdtPr>
    <w:sdtEndPr>
      <w:rPr>
        <w:noProof/>
      </w:rPr>
    </w:sdtEndPr>
    <w:sdtContent>
      <w:p w14:paraId="480C2E65" w14:textId="596D5D9C" w:rsidR="004A506C" w:rsidRDefault="004A506C">
        <w:pPr>
          <w:pStyle w:val="Footer"/>
          <w:jc w:val="center"/>
        </w:pPr>
        <w:r>
          <w:fldChar w:fldCharType="begin"/>
        </w:r>
        <w:r>
          <w:instrText xml:space="preserve"> PAGE   \* MERGEFORMAT </w:instrText>
        </w:r>
        <w:r>
          <w:fldChar w:fldCharType="separate"/>
        </w:r>
        <w:r w:rsidR="004F4033">
          <w:t>130</w:t>
        </w:r>
        <w:r>
          <w:fldChar w:fldCharType="end"/>
        </w:r>
      </w:p>
    </w:sdtContent>
  </w:sdt>
  <w:p w14:paraId="61DFE58F" w14:textId="77777777" w:rsidR="007505DA" w:rsidRPr="00842956" w:rsidRDefault="007505DA" w:rsidP="00842956">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9238" w14:textId="77777777" w:rsidR="007505DA" w:rsidRPr="00842956" w:rsidRDefault="007505DA" w:rsidP="00842956">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BFB8" w14:textId="77777777" w:rsidR="007505DA" w:rsidRPr="00842956" w:rsidRDefault="007505DA" w:rsidP="00842956">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863092"/>
      <w:docPartObj>
        <w:docPartGallery w:val="Page Numbers (Bottom of Page)"/>
        <w:docPartUnique/>
      </w:docPartObj>
    </w:sdtPr>
    <w:sdtEndPr>
      <w:rPr>
        <w:noProof/>
      </w:rPr>
    </w:sdtEndPr>
    <w:sdtContent>
      <w:p w14:paraId="03B06153" w14:textId="53AD1EC9" w:rsidR="00465F13" w:rsidRDefault="00465F13">
        <w:pPr>
          <w:pStyle w:val="Footer"/>
          <w:jc w:val="center"/>
        </w:pPr>
        <w:r>
          <w:fldChar w:fldCharType="begin"/>
        </w:r>
        <w:r>
          <w:instrText xml:space="preserve"> PAGE   \* MERGEFORMAT </w:instrText>
        </w:r>
        <w:r>
          <w:fldChar w:fldCharType="separate"/>
        </w:r>
        <w:r w:rsidR="004F4033">
          <w:t>132</w:t>
        </w:r>
        <w:r>
          <w:fldChar w:fldCharType="end"/>
        </w:r>
      </w:p>
    </w:sdtContent>
  </w:sdt>
  <w:p w14:paraId="7272A31F" w14:textId="77777777" w:rsidR="007505DA" w:rsidRPr="00842956" w:rsidRDefault="007505DA" w:rsidP="00842956">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77A4" w14:textId="77777777" w:rsidR="007505DA" w:rsidRPr="00842956" w:rsidRDefault="007505DA" w:rsidP="00842956">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2511" w14:textId="77777777" w:rsidR="007505DA" w:rsidRPr="00842956" w:rsidRDefault="007505DA" w:rsidP="00842956">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18972"/>
      <w:docPartObj>
        <w:docPartGallery w:val="Page Numbers (Bottom of Page)"/>
        <w:docPartUnique/>
      </w:docPartObj>
    </w:sdtPr>
    <w:sdtEndPr>
      <w:rPr>
        <w:noProof/>
      </w:rPr>
    </w:sdtEndPr>
    <w:sdtContent>
      <w:p w14:paraId="4C859E80" w14:textId="3382DB30" w:rsidR="00465F13" w:rsidRDefault="00465F13">
        <w:pPr>
          <w:pStyle w:val="Footer"/>
          <w:jc w:val="center"/>
        </w:pPr>
        <w:r>
          <w:fldChar w:fldCharType="begin"/>
        </w:r>
        <w:r>
          <w:instrText xml:space="preserve"> PAGE   \* MERGEFORMAT </w:instrText>
        </w:r>
        <w:r>
          <w:fldChar w:fldCharType="separate"/>
        </w:r>
        <w:r w:rsidR="004F4033">
          <w:t>137</w:t>
        </w:r>
        <w:r>
          <w:fldChar w:fldCharType="end"/>
        </w:r>
      </w:p>
    </w:sdtContent>
  </w:sdt>
  <w:p w14:paraId="6E16823F" w14:textId="77777777" w:rsidR="007505DA" w:rsidRPr="00842956" w:rsidRDefault="007505DA" w:rsidP="00842956">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B227" w14:textId="77777777" w:rsidR="007505DA" w:rsidRPr="00842956" w:rsidRDefault="007505DA" w:rsidP="00842956">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4974" w14:textId="77777777" w:rsidR="007505DA" w:rsidRPr="00842956" w:rsidRDefault="007505DA" w:rsidP="00842956">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672193"/>
      <w:docPartObj>
        <w:docPartGallery w:val="Page Numbers (Bottom of Page)"/>
        <w:docPartUnique/>
      </w:docPartObj>
    </w:sdtPr>
    <w:sdtEndPr>
      <w:rPr>
        <w:noProof/>
      </w:rPr>
    </w:sdtEndPr>
    <w:sdtContent>
      <w:p w14:paraId="2CDA9F58" w14:textId="331420D3" w:rsidR="00465F13" w:rsidRDefault="00465F13">
        <w:pPr>
          <w:pStyle w:val="Footer"/>
          <w:jc w:val="center"/>
        </w:pPr>
        <w:r>
          <w:fldChar w:fldCharType="begin"/>
        </w:r>
        <w:r>
          <w:instrText xml:space="preserve"> PAGE   \* MERGEFORMAT </w:instrText>
        </w:r>
        <w:r>
          <w:fldChar w:fldCharType="separate"/>
        </w:r>
        <w:r w:rsidR="00C05114">
          <w:t>138</w:t>
        </w:r>
        <w:r>
          <w:fldChar w:fldCharType="end"/>
        </w:r>
      </w:p>
    </w:sdtContent>
  </w:sdt>
  <w:p w14:paraId="24DBFA95" w14:textId="77777777" w:rsidR="007505DA" w:rsidRPr="00842956" w:rsidRDefault="007505DA" w:rsidP="00842956">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28C4" w14:textId="77777777" w:rsidR="007505DA" w:rsidRPr="00842956" w:rsidRDefault="007505DA" w:rsidP="00842956">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308F" w14:textId="77777777" w:rsidR="007505DA" w:rsidRPr="00842956" w:rsidRDefault="007505DA" w:rsidP="00842956">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C519" w14:textId="77777777" w:rsidR="007505DA" w:rsidRPr="00842956" w:rsidRDefault="007505DA" w:rsidP="00842956">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90708"/>
      <w:docPartObj>
        <w:docPartGallery w:val="Page Numbers (Bottom of Page)"/>
        <w:docPartUnique/>
      </w:docPartObj>
    </w:sdtPr>
    <w:sdtEndPr>
      <w:rPr>
        <w:noProof/>
      </w:rPr>
    </w:sdtEndPr>
    <w:sdtContent>
      <w:p w14:paraId="6FBE9E6C" w14:textId="3E1F95EE" w:rsidR="00465F13" w:rsidRDefault="00465F13">
        <w:pPr>
          <w:pStyle w:val="Footer"/>
          <w:jc w:val="center"/>
        </w:pPr>
        <w:r>
          <w:fldChar w:fldCharType="begin"/>
        </w:r>
        <w:r>
          <w:instrText xml:space="preserve"> PAGE   \* MERGEFORMAT </w:instrText>
        </w:r>
        <w:r>
          <w:fldChar w:fldCharType="separate"/>
        </w:r>
        <w:r w:rsidR="004F4033">
          <w:t>140</w:t>
        </w:r>
        <w:r>
          <w:fldChar w:fldCharType="end"/>
        </w:r>
      </w:p>
    </w:sdtContent>
  </w:sdt>
  <w:p w14:paraId="29549B9F" w14:textId="77777777" w:rsidR="007505DA" w:rsidRPr="00842956" w:rsidRDefault="007505DA" w:rsidP="00842956">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4CAF" w14:textId="77777777" w:rsidR="007505DA" w:rsidRPr="00842956" w:rsidRDefault="007505DA" w:rsidP="00842956">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7A46" w14:textId="77777777" w:rsidR="007505DA" w:rsidRPr="00842956" w:rsidRDefault="007505DA" w:rsidP="00842956">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683860"/>
      <w:docPartObj>
        <w:docPartGallery w:val="Page Numbers (Bottom of Page)"/>
        <w:docPartUnique/>
      </w:docPartObj>
    </w:sdtPr>
    <w:sdtEndPr>
      <w:rPr>
        <w:noProof/>
      </w:rPr>
    </w:sdtEndPr>
    <w:sdtContent>
      <w:p w14:paraId="7B654219" w14:textId="2C54926C" w:rsidR="00465F13" w:rsidRDefault="00465F13">
        <w:pPr>
          <w:pStyle w:val="Footer"/>
          <w:jc w:val="center"/>
        </w:pPr>
        <w:r>
          <w:fldChar w:fldCharType="begin"/>
        </w:r>
        <w:r>
          <w:instrText xml:space="preserve"> PAGE   \* MERGEFORMAT </w:instrText>
        </w:r>
        <w:r>
          <w:fldChar w:fldCharType="separate"/>
        </w:r>
        <w:r w:rsidR="00C05114">
          <w:t>141</w:t>
        </w:r>
        <w:r>
          <w:fldChar w:fldCharType="end"/>
        </w:r>
      </w:p>
    </w:sdtContent>
  </w:sdt>
  <w:p w14:paraId="6B491FB6" w14:textId="77777777" w:rsidR="007505DA" w:rsidRPr="00842956" w:rsidRDefault="007505DA" w:rsidP="00842956">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1E1E" w14:textId="77777777" w:rsidR="007505DA" w:rsidRPr="00842956" w:rsidRDefault="007505DA" w:rsidP="00842956">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8C35" w14:textId="77777777" w:rsidR="007505DA" w:rsidRPr="00842956" w:rsidRDefault="007505DA" w:rsidP="00842956">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06060"/>
      <w:docPartObj>
        <w:docPartGallery w:val="Page Numbers (Bottom of Page)"/>
        <w:docPartUnique/>
      </w:docPartObj>
    </w:sdtPr>
    <w:sdtEndPr>
      <w:rPr>
        <w:noProof/>
      </w:rPr>
    </w:sdtEndPr>
    <w:sdtContent>
      <w:p w14:paraId="77775E4C" w14:textId="689FA3A2" w:rsidR="00465F13" w:rsidRDefault="00465F13">
        <w:pPr>
          <w:pStyle w:val="Footer"/>
          <w:jc w:val="center"/>
        </w:pPr>
        <w:r>
          <w:fldChar w:fldCharType="begin"/>
        </w:r>
        <w:r>
          <w:instrText xml:space="preserve"> PAGE   \* MERGEFORMAT </w:instrText>
        </w:r>
        <w:r>
          <w:fldChar w:fldCharType="separate"/>
        </w:r>
        <w:r w:rsidR="00C05114">
          <w:t>142</w:t>
        </w:r>
        <w:r>
          <w:fldChar w:fldCharType="end"/>
        </w:r>
      </w:p>
    </w:sdtContent>
  </w:sdt>
  <w:p w14:paraId="452F4870" w14:textId="77777777" w:rsidR="007505DA" w:rsidRPr="00842956" w:rsidRDefault="007505DA" w:rsidP="00842956">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FB88" w14:textId="77777777" w:rsidR="007505DA" w:rsidRPr="00842956" w:rsidRDefault="007505DA" w:rsidP="0084295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D085" w14:textId="77777777" w:rsidR="007505DA" w:rsidRPr="00842956" w:rsidRDefault="007505DA" w:rsidP="00842956">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A480" w14:textId="77777777" w:rsidR="007505DA" w:rsidRPr="00842956" w:rsidRDefault="007505DA" w:rsidP="00842956">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914054"/>
      <w:docPartObj>
        <w:docPartGallery w:val="Page Numbers (Bottom of Page)"/>
        <w:docPartUnique/>
      </w:docPartObj>
    </w:sdtPr>
    <w:sdtEndPr>
      <w:rPr>
        <w:noProof/>
      </w:rPr>
    </w:sdtEndPr>
    <w:sdtContent>
      <w:p w14:paraId="34F47516" w14:textId="5CC7AEF7" w:rsidR="00465F13" w:rsidRDefault="00465F13">
        <w:pPr>
          <w:pStyle w:val="Footer"/>
          <w:jc w:val="center"/>
        </w:pPr>
        <w:r>
          <w:fldChar w:fldCharType="begin"/>
        </w:r>
        <w:r>
          <w:instrText xml:space="preserve"> PAGE   \* MERGEFORMAT </w:instrText>
        </w:r>
        <w:r>
          <w:fldChar w:fldCharType="separate"/>
        </w:r>
        <w:r w:rsidR="004F4033">
          <w:t>144</w:t>
        </w:r>
        <w:r>
          <w:fldChar w:fldCharType="end"/>
        </w:r>
      </w:p>
    </w:sdtContent>
  </w:sdt>
  <w:p w14:paraId="5F2F3FEB" w14:textId="77777777" w:rsidR="007505DA" w:rsidRPr="00842956" w:rsidRDefault="007505DA" w:rsidP="00842956">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89B6" w14:textId="77777777" w:rsidR="007505DA" w:rsidRPr="00842956" w:rsidRDefault="007505DA" w:rsidP="00842956">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9778" w14:textId="77777777" w:rsidR="007505DA" w:rsidRPr="00842956" w:rsidRDefault="007505DA" w:rsidP="00842956">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381765"/>
      <w:docPartObj>
        <w:docPartGallery w:val="Page Numbers (Bottom of Page)"/>
        <w:docPartUnique/>
      </w:docPartObj>
    </w:sdtPr>
    <w:sdtEndPr>
      <w:rPr>
        <w:noProof/>
      </w:rPr>
    </w:sdtEndPr>
    <w:sdtContent>
      <w:p w14:paraId="387E6041" w14:textId="73901BF5" w:rsidR="00465F13" w:rsidRDefault="00465F13">
        <w:pPr>
          <w:pStyle w:val="Footer"/>
          <w:jc w:val="center"/>
        </w:pPr>
        <w:r>
          <w:fldChar w:fldCharType="begin"/>
        </w:r>
        <w:r>
          <w:instrText xml:space="preserve"> PAGE   \* MERGEFORMAT </w:instrText>
        </w:r>
        <w:r>
          <w:fldChar w:fldCharType="separate"/>
        </w:r>
        <w:r w:rsidR="004F4033">
          <w:t>146</w:t>
        </w:r>
        <w:r>
          <w:fldChar w:fldCharType="end"/>
        </w:r>
      </w:p>
    </w:sdtContent>
  </w:sdt>
  <w:p w14:paraId="7C8C8522" w14:textId="77777777" w:rsidR="007505DA" w:rsidRPr="00842956" w:rsidRDefault="007505DA" w:rsidP="00842956">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D499" w14:textId="77777777" w:rsidR="007505DA" w:rsidRPr="00842956" w:rsidRDefault="007505DA" w:rsidP="00842956">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88E5" w14:textId="77777777" w:rsidR="007505DA" w:rsidRPr="00842956" w:rsidRDefault="007505DA" w:rsidP="00842956">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783201"/>
      <w:docPartObj>
        <w:docPartGallery w:val="Page Numbers (Bottom of Page)"/>
        <w:docPartUnique/>
      </w:docPartObj>
    </w:sdtPr>
    <w:sdtEndPr>
      <w:rPr>
        <w:noProof/>
      </w:rPr>
    </w:sdtEndPr>
    <w:sdtContent>
      <w:p w14:paraId="2F0D2313" w14:textId="71077A9D" w:rsidR="00465F13" w:rsidRDefault="00465F13">
        <w:pPr>
          <w:pStyle w:val="Footer"/>
          <w:jc w:val="center"/>
        </w:pPr>
        <w:r>
          <w:fldChar w:fldCharType="begin"/>
        </w:r>
        <w:r>
          <w:instrText xml:space="preserve"> PAGE   \* MERGEFORMAT </w:instrText>
        </w:r>
        <w:r>
          <w:fldChar w:fldCharType="separate"/>
        </w:r>
        <w:r w:rsidR="007E2BB1">
          <w:t>147</w:t>
        </w:r>
        <w:r>
          <w:fldChar w:fldCharType="end"/>
        </w:r>
      </w:p>
    </w:sdtContent>
  </w:sdt>
  <w:p w14:paraId="4FB2FBFB" w14:textId="77777777" w:rsidR="007505DA" w:rsidRPr="00842956" w:rsidRDefault="007505DA" w:rsidP="00842956">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5DCD" w14:textId="77777777" w:rsidR="007505DA" w:rsidRPr="00842956" w:rsidRDefault="007505DA" w:rsidP="00842956">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41B3" w14:textId="77777777" w:rsidR="007505DA" w:rsidRPr="00842956" w:rsidRDefault="007505DA" w:rsidP="0084295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658822"/>
      <w:docPartObj>
        <w:docPartGallery w:val="Page Numbers (Bottom of Page)"/>
        <w:docPartUnique/>
      </w:docPartObj>
    </w:sdtPr>
    <w:sdtEndPr>
      <w:rPr>
        <w:noProof/>
      </w:rPr>
    </w:sdtEndPr>
    <w:sdtContent>
      <w:p w14:paraId="0F75E3F0" w14:textId="338D59C9" w:rsidR="004A506C" w:rsidRDefault="004A506C">
        <w:pPr>
          <w:pStyle w:val="Footer"/>
          <w:jc w:val="center"/>
        </w:pPr>
        <w:r>
          <w:fldChar w:fldCharType="begin"/>
        </w:r>
        <w:r>
          <w:instrText xml:space="preserve"> PAGE   \* MERGEFORMAT </w:instrText>
        </w:r>
        <w:r>
          <w:fldChar w:fldCharType="separate"/>
        </w:r>
        <w:r w:rsidR="007A00FB">
          <w:rPr>
            <w:noProof/>
          </w:rPr>
          <w:t>13</w:t>
        </w:r>
        <w:r>
          <w:fldChar w:fldCharType="end"/>
        </w:r>
      </w:p>
    </w:sdtContent>
  </w:sdt>
  <w:p w14:paraId="2279F495" w14:textId="77777777" w:rsidR="007505DA" w:rsidRPr="00842956" w:rsidRDefault="007505DA" w:rsidP="00842956">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40217"/>
      <w:docPartObj>
        <w:docPartGallery w:val="Page Numbers (Bottom of Page)"/>
        <w:docPartUnique/>
      </w:docPartObj>
    </w:sdtPr>
    <w:sdtEndPr>
      <w:rPr>
        <w:noProof/>
      </w:rPr>
    </w:sdtEndPr>
    <w:sdtContent>
      <w:p w14:paraId="2320162B" w14:textId="46F7D125" w:rsidR="00465F13" w:rsidRDefault="00465F13">
        <w:pPr>
          <w:pStyle w:val="Footer"/>
          <w:jc w:val="center"/>
        </w:pPr>
        <w:r>
          <w:fldChar w:fldCharType="begin"/>
        </w:r>
        <w:r>
          <w:instrText xml:space="preserve"> PAGE   \* MERGEFORMAT </w:instrText>
        </w:r>
        <w:r>
          <w:fldChar w:fldCharType="separate"/>
        </w:r>
        <w:r w:rsidR="007E2BB1">
          <w:t>150</w:t>
        </w:r>
        <w:r>
          <w:fldChar w:fldCharType="end"/>
        </w:r>
      </w:p>
    </w:sdtContent>
  </w:sdt>
  <w:p w14:paraId="2F745E34" w14:textId="77777777" w:rsidR="007505DA" w:rsidRPr="00842956" w:rsidRDefault="007505DA" w:rsidP="00842956">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988A" w14:textId="77777777" w:rsidR="007505DA" w:rsidRPr="00842956" w:rsidRDefault="007505DA" w:rsidP="00842956">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7DC6" w14:textId="77777777" w:rsidR="007505DA" w:rsidRPr="00842956" w:rsidRDefault="007505DA" w:rsidP="00842956">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575879"/>
      <w:docPartObj>
        <w:docPartGallery w:val="Page Numbers (Bottom of Page)"/>
        <w:docPartUnique/>
      </w:docPartObj>
    </w:sdtPr>
    <w:sdtEndPr>
      <w:rPr>
        <w:noProof/>
      </w:rPr>
    </w:sdtEndPr>
    <w:sdtContent>
      <w:p w14:paraId="40B3F289" w14:textId="4FF347EF" w:rsidR="00465F13" w:rsidRDefault="00465F13">
        <w:pPr>
          <w:pStyle w:val="Footer"/>
          <w:jc w:val="center"/>
        </w:pPr>
        <w:r>
          <w:fldChar w:fldCharType="begin"/>
        </w:r>
        <w:r>
          <w:instrText xml:space="preserve"> PAGE   \* MERGEFORMAT </w:instrText>
        </w:r>
        <w:r>
          <w:fldChar w:fldCharType="separate"/>
        </w:r>
        <w:r w:rsidR="007E2BB1">
          <w:t>155</w:t>
        </w:r>
        <w:r>
          <w:fldChar w:fldCharType="end"/>
        </w:r>
      </w:p>
    </w:sdtContent>
  </w:sdt>
  <w:p w14:paraId="630F0804" w14:textId="77777777" w:rsidR="007505DA" w:rsidRPr="00842956" w:rsidRDefault="007505DA" w:rsidP="00842956">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A6329" w14:textId="77777777" w:rsidR="007505DA" w:rsidRPr="00842956" w:rsidRDefault="007505DA" w:rsidP="00842956">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B691" w14:textId="77777777" w:rsidR="007505DA" w:rsidRPr="00842956" w:rsidRDefault="007505DA" w:rsidP="00842956">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631234"/>
      <w:docPartObj>
        <w:docPartGallery w:val="Page Numbers (Bottom of Page)"/>
        <w:docPartUnique/>
      </w:docPartObj>
    </w:sdtPr>
    <w:sdtEndPr>
      <w:rPr>
        <w:noProof/>
      </w:rPr>
    </w:sdtEndPr>
    <w:sdtContent>
      <w:p w14:paraId="04A4610B" w14:textId="431B7943" w:rsidR="00465F13" w:rsidRDefault="00465F13">
        <w:pPr>
          <w:pStyle w:val="Footer"/>
          <w:jc w:val="center"/>
        </w:pPr>
        <w:r>
          <w:fldChar w:fldCharType="begin"/>
        </w:r>
        <w:r>
          <w:instrText xml:space="preserve"> PAGE   \* MERGEFORMAT </w:instrText>
        </w:r>
        <w:r>
          <w:fldChar w:fldCharType="separate"/>
        </w:r>
        <w:r w:rsidR="007E2BB1">
          <w:t>158</w:t>
        </w:r>
        <w:r>
          <w:fldChar w:fldCharType="end"/>
        </w:r>
      </w:p>
    </w:sdtContent>
  </w:sdt>
  <w:p w14:paraId="4125C89A" w14:textId="77777777" w:rsidR="007505DA" w:rsidRPr="00842956" w:rsidRDefault="007505DA" w:rsidP="00842956">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F450" w14:textId="77777777" w:rsidR="007505DA" w:rsidRPr="00842956" w:rsidRDefault="007505DA" w:rsidP="00842956">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BCA2" w14:textId="77777777" w:rsidR="007505DA" w:rsidRPr="00842956" w:rsidRDefault="007505DA" w:rsidP="00842956">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84231"/>
      <w:docPartObj>
        <w:docPartGallery w:val="Page Numbers (Bottom of Page)"/>
        <w:docPartUnique/>
      </w:docPartObj>
    </w:sdtPr>
    <w:sdtEndPr>
      <w:rPr>
        <w:noProof/>
      </w:rPr>
    </w:sdtEndPr>
    <w:sdtContent>
      <w:p w14:paraId="0117ED85" w14:textId="5EE946E5" w:rsidR="00465F13" w:rsidRDefault="00465F13">
        <w:pPr>
          <w:pStyle w:val="Footer"/>
          <w:jc w:val="center"/>
        </w:pPr>
        <w:r>
          <w:fldChar w:fldCharType="begin"/>
        </w:r>
        <w:r>
          <w:instrText xml:space="preserve"> PAGE   \* MERGEFORMAT </w:instrText>
        </w:r>
        <w:r>
          <w:fldChar w:fldCharType="separate"/>
        </w:r>
        <w:r w:rsidR="007E2BB1">
          <w:t>160</w:t>
        </w:r>
        <w:r>
          <w:fldChar w:fldCharType="end"/>
        </w:r>
      </w:p>
    </w:sdtContent>
  </w:sdt>
  <w:p w14:paraId="35F935B7" w14:textId="77777777" w:rsidR="007505DA" w:rsidRPr="00842956" w:rsidRDefault="007505DA" w:rsidP="00842956">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19AE" w14:textId="77777777" w:rsidR="007505DA" w:rsidRPr="00842956" w:rsidRDefault="007505DA" w:rsidP="00842956">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C4F0" w14:textId="77777777" w:rsidR="007505DA" w:rsidRPr="00842956" w:rsidRDefault="007505DA" w:rsidP="00842956">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DCDC" w14:textId="77777777" w:rsidR="007505DA" w:rsidRPr="00842956" w:rsidRDefault="007505DA" w:rsidP="00842956">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72416"/>
      <w:docPartObj>
        <w:docPartGallery w:val="Page Numbers (Bottom of Page)"/>
        <w:docPartUnique/>
      </w:docPartObj>
    </w:sdtPr>
    <w:sdtEndPr>
      <w:rPr>
        <w:noProof/>
      </w:rPr>
    </w:sdtEndPr>
    <w:sdtContent>
      <w:p w14:paraId="2C253F8D" w14:textId="3651AD43" w:rsidR="00465F13" w:rsidRDefault="00465F13">
        <w:pPr>
          <w:pStyle w:val="Footer"/>
          <w:jc w:val="center"/>
        </w:pPr>
        <w:r>
          <w:fldChar w:fldCharType="begin"/>
        </w:r>
        <w:r>
          <w:instrText xml:space="preserve"> PAGE   \* MERGEFORMAT </w:instrText>
        </w:r>
        <w:r>
          <w:fldChar w:fldCharType="separate"/>
        </w:r>
        <w:r w:rsidR="007E2BB1">
          <w:t>161</w:t>
        </w:r>
        <w:r>
          <w:fldChar w:fldCharType="end"/>
        </w:r>
      </w:p>
    </w:sdtContent>
  </w:sdt>
  <w:p w14:paraId="6E4142BC" w14:textId="77777777" w:rsidR="007505DA" w:rsidRPr="00842956" w:rsidRDefault="007505DA" w:rsidP="00842956">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AFBC" w14:textId="77777777" w:rsidR="007505DA" w:rsidRPr="00842956" w:rsidRDefault="007505DA" w:rsidP="0084295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32D7" w14:textId="77777777" w:rsidR="007505DA" w:rsidRPr="00842956" w:rsidRDefault="007505DA" w:rsidP="0084295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729"/>
      <w:docPartObj>
        <w:docPartGallery w:val="Page Numbers (Bottom of Page)"/>
        <w:docPartUnique/>
      </w:docPartObj>
    </w:sdtPr>
    <w:sdtEndPr>
      <w:rPr>
        <w:noProof/>
      </w:rPr>
    </w:sdtEndPr>
    <w:sdtContent>
      <w:p w14:paraId="6D0D57EF" w14:textId="582D3480" w:rsidR="004A506C" w:rsidRDefault="004A506C">
        <w:pPr>
          <w:pStyle w:val="Footer"/>
          <w:jc w:val="center"/>
        </w:pPr>
        <w:r>
          <w:fldChar w:fldCharType="begin"/>
        </w:r>
        <w:r>
          <w:instrText xml:space="preserve"> PAGE   \* MERGEFORMAT </w:instrText>
        </w:r>
        <w:r>
          <w:fldChar w:fldCharType="separate"/>
        </w:r>
        <w:r w:rsidR="007A00FB">
          <w:rPr>
            <w:noProof/>
          </w:rPr>
          <w:t>15</w:t>
        </w:r>
        <w:r>
          <w:fldChar w:fldCharType="end"/>
        </w:r>
      </w:p>
    </w:sdtContent>
  </w:sdt>
  <w:p w14:paraId="5CA7B184" w14:textId="77777777" w:rsidR="007505DA" w:rsidRPr="00842956" w:rsidRDefault="007505DA" w:rsidP="00842956">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3360" w14:textId="77777777" w:rsidR="007505DA" w:rsidRPr="00842956" w:rsidRDefault="007505DA" w:rsidP="0084295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C903" w14:textId="77777777" w:rsidR="007505DA" w:rsidRPr="00842956" w:rsidRDefault="007505DA" w:rsidP="0084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4E7E" w14:textId="47249610" w:rsidR="00037751" w:rsidRPr="007A00FB" w:rsidRDefault="007A00FB" w:rsidP="007A00FB">
    <w:pPr>
      <w:pStyle w:val="FooterCoverPage"/>
      <w:rPr>
        <w:rFonts w:ascii="Arial" w:hAnsi="Arial" w:cs="Arial"/>
        <w:b/>
        <w:sz w:val="48"/>
      </w:rPr>
    </w:pPr>
    <w:r w:rsidRPr="007A00FB">
      <w:rPr>
        <w:rFonts w:ascii="Arial" w:hAnsi="Arial" w:cs="Arial"/>
        <w:b/>
        <w:sz w:val="48"/>
      </w:rPr>
      <w:t>SL</w:t>
    </w:r>
    <w:r w:rsidRPr="007A00FB">
      <w:rPr>
        <w:rFonts w:ascii="Arial" w:hAnsi="Arial" w:cs="Arial"/>
        <w:b/>
        <w:sz w:val="48"/>
      </w:rPr>
      <w:tab/>
    </w:r>
    <w:r w:rsidRPr="007A00FB">
      <w:rPr>
        <w:rFonts w:ascii="Arial" w:hAnsi="Arial" w:cs="Arial"/>
        <w:b/>
        <w:sz w:val="48"/>
      </w:rPr>
      <w:tab/>
    </w:r>
    <w:r w:rsidRPr="007A00FB">
      <w:tab/>
    </w:r>
    <w:r w:rsidRPr="007A00FB">
      <w:rPr>
        <w:rFonts w:ascii="Arial" w:hAnsi="Arial" w:cs="Arial"/>
        <w:b/>
        <w:sz w:val="48"/>
      </w:rPr>
      <w:t>SL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58345"/>
      <w:docPartObj>
        <w:docPartGallery w:val="Page Numbers (Bottom of Page)"/>
        <w:docPartUnique/>
      </w:docPartObj>
    </w:sdtPr>
    <w:sdtEndPr>
      <w:rPr>
        <w:noProof/>
      </w:rPr>
    </w:sdtEndPr>
    <w:sdtContent>
      <w:p w14:paraId="4A16F33E" w14:textId="3C903A16" w:rsidR="004A506C" w:rsidRDefault="004A506C">
        <w:pPr>
          <w:pStyle w:val="Footer"/>
          <w:jc w:val="center"/>
        </w:pPr>
        <w:r>
          <w:fldChar w:fldCharType="begin"/>
        </w:r>
        <w:r>
          <w:instrText xml:space="preserve"> PAGE   \* MERGEFORMAT </w:instrText>
        </w:r>
        <w:r>
          <w:fldChar w:fldCharType="separate"/>
        </w:r>
        <w:r w:rsidR="007A00FB">
          <w:rPr>
            <w:noProof/>
          </w:rPr>
          <w:t>19</w:t>
        </w:r>
        <w:r>
          <w:fldChar w:fldCharType="end"/>
        </w:r>
      </w:p>
    </w:sdtContent>
  </w:sdt>
  <w:p w14:paraId="03A96C71" w14:textId="77777777" w:rsidR="007505DA" w:rsidRPr="00842956" w:rsidRDefault="007505DA" w:rsidP="00842956">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554A" w14:textId="77777777" w:rsidR="007505DA" w:rsidRPr="00842956" w:rsidRDefault="007505DA" w:rsidP="0084295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A3A5" w14:textId="77777777" w:rsidR="007505DA" w:rsidRPr="00842956" w:rsidRDefault="007505DA" w:rsidP="0084295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931915"/>
      <w:docPartObj>
        <w:docPartGallery w:val="Page Numbers (Bottom of Page)"/>
        <w:docPartUnique/>
      </w:docPartObj>
    </w:sdtPr>
    <w:sdtEndPr>
      <w:rPr>
        <w:noProof/>
      </w:rPr>
    </w:sdtEndPr>
    <w:sdtContent>
      <w:p w14:paraId="116090A5" w14:textId="2533BED6" w:rsidR="004A506C" w:rsidRDefault="004A506C">
        <w:pPr>
          <w:pStyle w:val="Footer"/>
          <w:jc w:val="center"/>
        </w:pPr>
        <w:r>
          <w:fldChar w:fldCharType="begin"/>
        </w:r>
        <w:r>
          <w:instrText xml:space="preserve"> PAGE   \* MERGEFORMAT </w:instrText>
        </w:r>
        <w:r>
          <w:fldChar w:fldCharType="separate"/>
        </w:r>
        <w:r w:rsidR="007A00FB">
          <w:rPr>
            <w:noProof/>
          </w:rPr>
          <w:t>20</w:t>
        </w:r>
        <w:r>
          <w:fldChar w:fldCharType="end"/>
        </w:r>
      </w:p>
    </w:sdtContent>
  </w:sdt>
  <w:p w14:paraId="748296FE" w14:textId="77777777" w:rsidR="007505DA" w:rsidRPr="00842956" w:rsidRDefault="007505DA" w:rsidP="00842956">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1D9F" w14:textId="77777777" w:rsidR="007505DA" w:rsidRPr="00842956" w:rsidRDefault="007505DA" w:rsidP="0084295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0B8C" w14:textId="77777777" w:rsidR="004A506C" w:rsidRPr="00842956" w:rsidRDefault="004A506C" w:rsidP="0084295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6747"/>
      <w:docPartObj>
        <w:docPartGallery w:val="Page Numbers (Bottom of Page)"/>
        <w:docPartUnique/>
      </w:docPartObj>
    </w:sdtPr>
    <w:sdtEndPr>
      <w:rPr>
        <w:noProof/>
      </w:rPr>
    </w:sdtEndPr>
    <w:sdtContent>
      <w:p w14:paraId="2A898E6D" w14:textId="204BF3D5" w:rsidR="004A506C" w:rsidRDefault="004A506C">
        <w:pPr>
          <w:pStyle w:val="Footer"/>
          <w:jc w:val="center"/>
        </w:pPr>
        <w:r>
          <w:fldChar w:fldCharType="begin"/>
        </w:r>
        <w:r>
          <w:instrText xml:space="preserve"> PAGE   \* MERGEFORMAT </w:instrText>
        </w:r>
        <w:r>
          <w:fldChar w:fldCharType="separate"/>
        </w:r>
        <w:r w:rsidR="000231DB">
          <w:t>20</w:t>
        </w:r>
        <w:r>
          <w:fldChar w:fldCharType="end"/>
        </w:r>
      </w:p>
    </w:sdtContent>
  </w:sdt>
  <w:p w14:paraId="74B10067" w14:textId="77777777" w:rsidR="004A506C" w:rsidRPr="00842956" w:rsidRDefault="004A506C" w:rsidP="00842956">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9F87" w14:textId="77777777" w:rsidR="004A506C" w:rsidRPr="00842956" w:rsidRDefault="004A506C" w:rsidP="0084295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0DA05" w14:textId="77777777" w:rsidR="004A506C" w:rsidRPr="00842956" w:rsidRDefault="004A506C" w:rsidP="0084295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52433"/>
      <w:docPartObj>
        <w:docPartGallery w:val="Page Numbers (Bottom of Page)"/>
        <w:docPartUnique/>
      </w:docPartObj>
    </w:sdtPr>
    <w:sdtEndPr>
      <w:rPr>
        <w:noProof/>
      </w:rPr>
    </w:sdtEndPr>
    <w:sdtContent>
      <w:p w14:paraId="23E0EFF5" w14:textId="67CDA6A7" w:rsidR="004A506C" w:rsidRDefault="004A506C">
        <w:pPr>
          <w:pStyle w:val="Footer"/>
          <w:jc w:val="center"/>
        </w:pPr>
        <w:r>
          <w:fldChar w:fldCharType="begin"/>
        </w:r>
        <w:r>
          <w:instrText xml:space="preserve"> PAGE   \* MERGEFORMAT </w:instrText>
        </w:r>
        <w:r>
          <w:fldChar w:fldCharType="separate"/>
        </w:r>
        <w:r w:rsidR="004A627D">
          <w:t>23</w:t>
        </w:r>
        <w:r>
          <w:fldChar w:fldCharType="end"/>
        </w:r>
      </w:p>
    </w:sdtContent>
  </w:sdt>
  <w:p w14:paraId="14CFCD92" w14:textId="77777777" w:rsidR="004A506C" w:rsidRPr="00842956" w:rsidRDefault="004A506C" w:rsidP="0084295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1C42" w14:textId="77777777" w:rsidR="007A00FB" w:rsidRPr="007A00FB" w:rsidRDefault="007A00FB" w:rsidP="007A00FB">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FDC5" w14:textId="77777777" w:rsidR="004A506C" w:rsidRPr="00842956" w:rsidRDefault="004A506C" w:rsidP="0084295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134C" w14:textId="77777777" w:rsidR="007505DA" w:rsidRPr="00842956" w:rsidRDefault="007505DA" w:rsidP="0084295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249358"/>
      <w:docPartObj>
        <w:docPartGallery w:val="Page Numbers (Bottom of Page)"/>
        <w:docPartUnique/>
      </w:docPartObj>
    </w:sdtPr>
    <w:sdtEndPr>
      <w:rPr>
        <w:noProof/>
      </w:rPr>
    </w:sdtEndPr>
    <w:sdtContent>
      <w:p w14:paraId="1DFFCC02" w14:textId="2AD56CA2" w:rsidR="004A506C" w:rsidRDefault="0090441B">
        <w:pPr>
          <w:pStyle w:val="Footer"/>
          <w:jc w:val="center"/>
        </w:pPr>
        <w:r>
          <w:fldChar w:fldCharType="begin"/>
        </w:r>
        <w:r>
          <w:instrText xml:space="preserve"> PAGE   \* MERGEFORMAT </w:instrText>
        </w:r>
        <w:r>
          <w:fldChar w:fldCharType="separate"/>
        </w:r>
        <w:r w:rsidR="004F4033">
          <w:t>31</w:t>
        </w:r>
        <w:r>
          <w:fldChar w:fldCharType="end"/>
        </w:r>
      </w:p>
    </w:sdtContent>
  </w:sdt>
  <w:p w14:paraId="00B3A9E1" w14:textId="77777777" w:rsidR="007505DA" w:rsidRPr="00842956" w:rsidRDefault="007505DA" w:rsidP="00842956">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D14D" w14:textId="77777777" w:rsidR="007505DA" w:rsidRPr="00842956" w:rsidRDefault="007505DA" w:rsidP="0084295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01E9F" w14:textId="77777777" w:rsidR="007505DA" w:rsidRPr="00842956" w:rsidRDefault="007505DA" w:rsidP="0084295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82489"/>
      <w:docPartObj>
        <w:docPartGallery w:val="Page Numbers (Bottom of Page)"/>
        <w:docPartUnique/>
      </w:docPartObj>
    </w:sdtPr>
    <w:sdtEndPr>
      <w:rPr>
        <w:noProof/>
      </w:rPr>
    </w:sdtEndPr>
    <w:sdtContent>
      <w:p w14:paraId="122E8F31" w14:textId="20F1E42D" w:rsidR="004A506C" w:rsidRDefault="004A506C">
        <w:pPr>
          <w:pStyle w:val="Footer"/>
          <w:jc w:val="center"/>
        </w:pPr>
        <w:r>
          <w:fldChar w:fldCharType="begin"/>
        </w:r>
        <w:r>
          <w:instrText xml:space="preserve"> PAGE   \* MERGEFORMAT </w:instrText>
        </w:r>
        <w:r>
          <w:fldChar w:fldCharType="separate"/>
        </w:r>
        <w:r w:rsidR="00AC78A2">
          <w:t>33</w:t>
        </w:r>
        <w:r>
          <w:fldChar w:fldCharType="end"/>
        </w:r>
      </w:p>
    </w:sdtContent>
  </w:sdt>
  <w:p w14:paraId="11D6721B" w14:textId="77777777" w:rsidR="007505DA" w:rsidRPr="00842956" w:rsidRDefault="007505DA" w:rsidP="00842956">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D660" w14:textId="77777777" w:rsidR="007505DA" w:rsidRPr="00842956" w:rsidRDefault="007505DA" w:rsidP="0084295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9953" w14:textId="77777777" w:rsidR="007505DA" w:rsidRPr="00842956" w:rsidRDefault="007505DA" w:rsidP="0084295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64660"/>
      <w:docPartObj>
        <w:docPartGallery w:val="Page Numbers (Bottom of Page)"/>
        <w:docPartUnique/>
      </w:docPartObj>
    </w:sdtPr>
    <w:sdtEndPr>
      <w:rPr>
        <w:noProof/>
      </w:rPr>
    </w:sdtEndPr>
    <w:sdtContent>
      <w:p w14:paraId="17F72330" w14:textId="0EA154FB" w:rsidR="004A506C" w:rsidRDefault="004A506C">
        <w:pPr>
          <w:pStyle w:val="Footer"/>
          <w:jc w:val="center"/>
        </w:pPr>
        <w:r>
          <w:fldChar w:fldCharType="begin"/>
        </w:r>
        <w:r>
          <w:instrText xml:space="preserve"> PAGE   \* MERGEFORMAT </w:instrText>
        </w:r>
        <w:r>
          <w:fldChar w:fldCharType="separate"/>
        </w:r>
        <w:r w:rsidR="00AC78A2">
          <w:t>37</w:t>
        </w:r>
        <w:r>
          <w:fldChar w:fldCharType="end"/>
        </w:r>
      </w:p>
    </w:sdtContent>
  </w:sdt>
  <w:p w14:paraId="0CE1B1E6" w14:textId="77777777" w:rsidR="007505DA" w:rsidRPr="00842956" w:rsidRDefault="007505DA" w:rsidP="00842956">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9BBD" w14:textId="77777777" w:rsidR="007505DA" w:rsidRPr="00842956" w:rsidRDefault="007505DA" w:rsidP="008429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987D" w14:textId="77777777" w:rsidR="007505DA" w:rsidRPr="00842956" w:rsidRDefault="007505DA" w:rsidP="0084295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1662" w14:textId="77777777" w:rsidR="007505DA" w:rsidRPr="00842956" w:rsidRDefault="007505DA" w:rsidP="0084295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328634"/>
      <w:docPartObj>
        <w:docPartGallery w:val="Page Numbers (Bottom of Page)"/>
        <w:docPartUnique/>
      </w:docPartObj>
    </w:sdtPr>
    <w:sdtEndPr>
      <w:rPr>
        <w:noProof/>
      </w:rPr>
    </w:sdtEndPr>
    <w:sdtContent>
      <w:p w14:paraId="72505D9E" w14:textId="58B55DD0" w:rsidR="004A506C" w:rsidRDefault="0090441B">
        <w:pPr>
          <w:pStyle w:val="Footer"/>
          <w:jc w:val="center"/>
        </w:pPr>
        <w:r>
          <w:fldChar w:fldCharType="begin"/>
        </w:r>
        <w:r>
          <w:instrText xml:space="preserve"> PAGE   \* MERGEFORMAT </w:instrText>
        </w:r>
        <w:r>
          <w:fldChar w:fldCharType="separate"/>
        </w:r>
        <w:r w:rsidR="004F4033">
          <w:t>40</w:t>
        </w:r>
        <w:r>
          <w:fldChar w:fldCharType="end"/>
        </w:r>
      </w:p>
    </w:sdtContent>
  </w:sdt>
  <w:p w14:paraId="7A29876A" w14:textId="77777777" w:rsidR="007505DA" w:rsidRPr="00842956" w:rsidRDefault="007505DA" w:rsidP="00842956">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BA10" w14:textId="77777777" w:rsidR="007505DA" w:rsidRPr="00842956" w:rsidRDefault="007505DA" w:rsidP="00842956">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C876" w14:textId="77777777" w:rsidR="007505DA" w:rsidRPr="00842956" w:rsidRDefault="007505DA" w:rsidP="0084295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078787"/>
      <w:docPartObj>
        <w:docPartGallery w:val="Page Numbers (Bottom of Page)"/>
        <w:docPartUnique/>
      </w:docPartObj>
    </w:sdtPr>
    <w:sdtEndPr>
      <w:rPr>
        <w:noProof/>
      </w:rPr>
    </w:sdtEndPr>
    <w:sdtContent>
      <w:p w14:paraId="6E48F982" w14:textId="5C89FC16" w:rsidR="004A506C" w:rsidRDefault="004A506C">
        <w:pPr>
          <w:pStyle w:val="Footer"/>
          <w:jc w:val="center"/>
        </w:pPr>
        <w:r>
          <w:fldChar w:fldCharType="begin"/>
        </w:r>
        <w:r>
          <w:instrText xml:space="preserve"> PAGE   \* MERGEFORMAT </w:instrText>
        </w:r>
        <w:r>
          <w:fldChar w:fldCharType="separate"/>
        </w:r>
        <w:r w:rsidR="007E2BB1">
          <w:t>41</w:t>
        </w:r>
        <w:r>
          <w:fldChar w:fldCharType="end"/>
        </w:r>
      </w:p>
    </w:sdtContent>
  </w:sdt>
  <w:p w14:paraId="476013BE" w14:textId="77777777" w:rsidR="007505DA" w:rsidRPr="00842956" w:rsidRDefault="007505DA" w:rsidP="00842956">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7ACB" w14:textId="77777777" w:rsidR="007505DA" w:rsidRPr="00842956" w:rsidRDefault="007505DA" w:rsidP="0084295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2CEA" w14:textId="77777777" w:rsidR="007505DA" w:rsidRPr="00842956" w:rsidRDefault="007505DA" w:rsidP="0084295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433930"/>
      <w:docPartObj>
        <w:docPartGallery w:val="Page Numbers (Bottom of Page)"/>
        <w:docPartUnique/>
      </w:docPartObj>
    </w:sdtPr>
    <w:sdtEndPr>
      <w:rPr>
        <w:noProof/>
      </w:rPr>
    </w:sdtEndPr>
    <w:sdtContent>
      <w:p w14:paraId="0B71B6C7" w14:textId="4DC36FB4" w:rsidR="000C4FF8" w:rsidRDefault="000C4FF8">
        <w:pPr>
          <w:pStyle w:val="Footer"/>
          <w:jc w:val="center"/>
        </w:pPr>
        <w:r>
          <w:fldChar w:fldCharType="begin"/>
        </w:r>
        <w:r>
          <w:instrText xml:space="preserve"> PAGE   \* MERGEFORMAT </w:instrText>
        </w:r>
        <w:r>
          <w:fldChar w:fldCharType="separate"/>
        </w:r>
        <w:r>
          <w:t>2</w:t>
        </w:r>
        <w:r>
          <w:fldChar w:fldCharType="end"/>
        </w:r>
      </w:p>
    </w:sdtContent>
  </w:sdt>
  <w:p w14:paraId="06BD8BA5" w14:textId="77777777" w:rsidR="007505DA" w:rsidRPr="00842956" w:rsidRDefault="007505DA" w:rsidP="00842956">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21B5" w14:textId="77777777" w:rsidR="007505DA" w:rsidRPr="00842956" w:rsidRDefault="007505DA" w:rsidP="0084295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24EB" w14:textId="77777777" w:rsidR="007505DA" w:rsidRPr="00842956" w:rsidRDefault="007505DA" w:rsidP="008429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89506"/>
      <w:docPartObj>
        <w:docPartGallery w:val="Page Numbers (Bottom of Page)"/>
        <w:docPartUnique/>
      </w:docPartObj>
    </w:sdtPr>
    <w:sdtEndPr>
      <w:rPr>
        <w:noProof/>
      </w:rPr>
    </w:sdtEndPr>
    <w:sdtContent>
      <w:p w14:paraId="66FBB36B" w14:textId="5A17B404" w:rsidR="004A506C" w:rsidRDefault="004A506C">
        <w:pPr>
          <w:pStyle w:val="Footer"/>
          <w:jc w:val="center"/>
        </w:pPr>
        <w:r>
          <w:fldChar w:fldCharType="begin"/>
        </w:r>
        <w:r>
          <w:instrText xml:space="preserve"> PAGE   \* MERGEFORMAT </w:instrText>
        </w:r>
        <w:r>
          <w:fldChar w:fldCharType="separate"/>
        </w:r>
        <w:r w:rsidR="007A00FB">
          <w:rPr>
            <w:noProof/>
          </w:rPr>
          <w:t>3</w:t>
        </w:r>
        <w:r>
          <w:fldChar w:fldCharType="end"/>
        </w:r>
      </w:p>
    </w:sdtContent>
  </w:sdt>
  <w:p w14:paraId="442BF1D8" w14:textId="77777777" w:rsidR="007505DA" w:rsidRPr="00842956" w:rsidRDefault="007505DA" w:rsidP="00842956">
    <w:pPr>
      <w:pStyle w:val="FooterCouncil"/>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377933"/>
      <w:docPartObj>
        <w:docPartGallery w:val="Page Numbers (Bottom of Page)"/>
        <w:docPartUnique/>
      </w:docPartObj>
    </w:sdtPr>
    <w:sdtEndPr>
      <w:rPr>
        <w:noProof/>
      </w:rPr>
    </w:sdtEndPr>
    <w:sdtContent>
      <w:p w14:paraId="31DD5D97" w14:textId="532DFD61" w:rsidR="004A506C" w:rsidRDefault="0090441B">
        <w:pPr>
          <w:pStyle w:val="Footer"/>
          <w:jc w:val="center"/>
        </w:pPr>
        <w:r>
          <w:fldChar w:fldCharType="begin"/>
        </w:r>
        <w:r>
          <w:instrText xml:space="preserve"> PAGE   \* MERGEFORMAT </w:instrText>
        </w:r>
        <w:r>
          <w:fldChar w:fldCharType="separate"/>
        </w:r>
        <w:r w:rsidR="00C05114">
          <w:t>48</w:t>
        </w:r>
        <w:r>
          <w:fldChar w:fldCharType="end"/>
        </w:r>
      </w:p>
    </w:sdtContent>
  </w:sdt>
  <w:p w14:paraId="1FC169B4" w14:textId="77777777" w:rsidR="007505DA" w:rsidRPr="00842956" w:rsidRDefault="007505DA" w:rsidP="00842956">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98EF" w14:textId="77777777" w:rsidR="007505DA" w:rsidRPr="00842956" w:rsidRDefault="007505DA" w:rsidP="0084295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4D78" w14:textId="77777777" w:rsidR="007505DA" w:rsidRPr="00842956" w:rsidRDefault="007505DA" w:rsidP="0084295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595009"/>
      <w:docPartObj>
        <w:docPartGallery w:val="Page Numbers (Bottom of Page)"/>
        <w:docPartUnique/>
      </w:docPartObj>
    </w:sdtPr>
    <w:sdtEndPr>
      <w:rPr>
        <w:noProof/>
      </w:rPr>
    </w:sdtEndPr>
    <w:sdtContent>
      <w:p w14:paraId="5CB7AD46" w14:textId="01D3AC7C" w:rsidR="004A506C" w:rsidRDefault="004A506C">
        <w:pPr>
          <w:pStyle w:val="Footer"/>
          <w:jc w:val="center"/>
        </w:pPr>
        <w:r>
          <w:fldChar w:fldCharType="begin"/>
        </w:r>
        <w:r>
          <w:instrText xml:space="preserve"> PAGE   \* MERGEFORMAT </w:instrText>
        </w:r>
        <w:r>
          <w:fldChar w:fldCharType="separate"/>
        </w:r>
        <w:r w:rsidR="004A627D">
          <w:t>52</w:t>
        </w:r>
        <w:r>
          <w:fldChar w:fldCharType="end"/>
        </w:r>
      </w:p>
    </w:sdtContent>
  </w:sdt>
  <w:p w14:paraId="74A45986" w14:textId="77777777" w:rsidR="007505DA" w:rsidRPr="00842956" w:rsidRDefault="007505DA" w:rsidP="00842956">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E2A8" w14:textId="77777777" w:rsidR="007505DA" w:rsidRPr="00842956" w:rsidRDefault="007505DA" w:rsidP="0084295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D5D7" w14:textId="77777777" w:rsidR="007505DA" w:rsidRPr="00842956" w:rsidRDefault="007505DA" w:rsidP="0084295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728813"/>
      <w:docPartObj>
        <w:docPartGallery w:val="Page Numbers (Bottom of Page)"/>
        <w:docPartUnique/>
      </w:docPartObj>
    </w:sdtPr>
    <w:sdtEndPr>
      <w:rPr>
        <w:noProof/>
      </w:rPr>
    </w:sdtEndPr>
    <w:sdtContent>
      <w:p w14:paraId="0A0BD20B" w14:textId="6371CCF3" w:rsidR="004A506C" w:rsidRDefault="004A506C">
        <w:pPr>
          <w:pStyle w:val="Footer"/>
          <w:jc w:val="center"/>
        </w:pPr>
        <w:r>
          <w:fldChar w:fldCharType="begin"/>
        </w:r>
        <w:r>
          <w:instrText xml:space="preserve"> PAGE   \* MERGEFORMAT </w:instrText>
        </w:r>
        <w:r>
          <w:fldChar w:fldCharType="separate"/>
        </w:r>
        <w:r w:rsidR="007E2BB1">
          <w:t>53</w:t>
        </w:r>
        <w:r>
          <w:fldChar w:fldCharType="end"/>
        </w:r>
      </w:p>
    </w:sdtContent>
  </w:sdt>
  <w:p w14:paraId="20ECE814" w14:textId="77777777" w:rsidR="007505DA" w:rsidRPr="00842956" w:rsidRDefault="007505DA" w:rsidP="00842956">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BE79" w14:textId="77777777" w:rsidR="007505DA" w:rsidRPr="00842956" w:rsidRDefault="007505DA" w:rsidP="0084295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07A2" w14:textId="77777777" w:rsidR="007505DA" w:rsidRPr="00842956" w:rsidRDefault="007505DA" w:rsidP="0084295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65892"/>
      <w:docPartObj>
        <w:docPartGallery w:val="Page Numbers (Bottom of Page)"/>
        <w:docPartUnique/>
      </w:docPartObj>
    </w:sdtPr>
    <w:sdtEndPr>
      <w:rPr>
        <w:noProof/>
      </w:rPr>
    </w:sdtEndPr>
    <w:sdtContent>
      <w:p w14:paraId="39142738" w14:textId="1FD07F83" w:rsidR="004A506C" w:rsidRDefault="004A506C">
        <w:pPr>
          <w:pStyle w:val="Footer"/>
          <w:jc w:val="center"/>
        </w:pPr>
        <w:r>
          <w:fldChar w:fldCharType="begin"/>
        </w:r>
        <w:r>
          <w:instrText xml:space="preserve"> PAGE   \* MERGEFORMAT </w:instrText>
        </w:r>
        <w:r>
          <w:fldChar w:fldCharType="separate"/>
        </w:r>
        <w:r w:rsidR="007E2BB1">
          <w:t>57</w:t>
        </w:r>
        <w:r>
          <w:fldChar w:fldCharType="end"/>
        </w:r>
      </w:p>
    </w:sdtContent>
  </w:sdt>
  <w:p w14:paraId="364AB97B" w14:textId="77777777" w:rsidR="007505DA" w:rsidRPr="00842956" w:rsidRDefault="007505DA" w:rsidP="00842956">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D96E" w14:textId="77777777" w:rsidR="007505DA" w:rsidRPr="00842956" w:rsidRDefault="007505DA" w:rsidP="0084295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74E0" w14:textId="77777777" w:rsidR="007505DA" w:rsidRPr="00842956" w:rsidRDefault="007505DA" w:rsidP="00842956">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FECC" w14:textId="77777777" w:rsidR="007505DA" w:rsidRPr="00842956" w:rsidRDefault="007505DA" w:rsidP="0084295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93551"/>
      <w:docPartObj>
        <w:docPartGallery w:val="Page Numbers (Bottom of Page)"/>
        <w:docPartUnique/>
      </w:docPartObj>
    </w:sdtPr>
    <w:sdtEndPr>
      <w:rPr>
        <w:noProof/>
      </w:rPr>
    </w:sdtEndPr>
    <w:sdtContent>
      <w:p w14:paraId="7886A79E" w14:textId="1CB89A63" w:rsidR="004A506C" w:rsidRDefault="004A506C">
        <w:pPr>
          <w:pStyle w:val="Footer"/>
          <w:jc w:val="center"/>
        </w:pPr>
        <w:r>
          <w:fldChar w:fldCharType="begin"/>
        </w:r>
        <w:r>
          <w:instrText xml:space="preserve"> PAGE   \* MERGEFORMAT </w:instrText>
        </w:r>
        <w:r>
          <w:fldChar w:fldCharType="separate"/>
        </w:r>
        <w:r w:rsidR="007E2BB1">
          <w:t>59</w:t>
        </w:r>
        <w:r>
          <w:fldChar w:fldCharType="end"/>
        </w:r>
      </w:p>
    </w:sdtContent>
  </w:sdt>
  <w:p w14:paraId="3A136FE7" w14:textId="77777777" w:rsidR="007505DA" w:rsidRPr="00842956" w:rsidRDefault="007505DA" w:rsidP="00842956">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1EE4" w14:textId="77777777" w:rsidR="007505DA" w:rsidRPr="00842956" w:rsidRDefault="007505DA" w:rsidP="00842956">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A766" w14:textId="77777777" w:rsidR="007505DA" w:rsidRPr="00842956" w:rsidRDefault="007505DA" w:rsidP="00842956">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6695"/>
      <w:docPartObj>
        <w:docPartGallery w:val="Page Numbers (Bottom of Page)"/>
        <w:docPartUnique/>
      </w:docPartObj>
    </w:sdtPr>
    <w:sdtEndPr>
      <w:rPr>
        <w:noProof/>
      </w:rPr>
    </w:sdtEndPr>
    <w:sdtContent>
      <w:p w14:paraId="60C29F10" w14:textId="168C3B42" w:rsidR="004A506C" w:rsidRDefault="004A506C">
        <w:pPr>
          <w:pStyle w:val="Footer"/>
          <w:jc w:val="center"/>
        </w:pPr>
        <w:r>
          <w:fldChar w:fldCharType="begin"/>
        </w:r>
        <w:r>
          <w:instrText xml:space="preserve"> PAGE   \* MERGEFORMAT </w:instrText>
        </w:r>
        <w:r>
          <w:fldChar w:fldCharType="separate"/>
        </w:r>
        <w:r w:rsidR="004A627D">
          <w:t>67</w:t>
        </w:r>
        <w:r>
          <w:fldChar w:fldCharType="end"/>
        </w:r>
      </w:p>
    </w:sdtContent>
  </w:sdt>
  <w:p w14:paraId="20B32242" w14:textId="77777777" w:rsidR="007505DA" w:rsidRPr="00842956" w:rsidRDefault="007505DA" w:rsidP="00842956">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78EE" w14:textId="77777777" w:rsidR="007505DA" w:rsidRPr="00842956" w:rsidRDefault="007505DA" w:rsidP="00842956">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A791" w14:textId="77777777" w:rsidR="007505DA" w:rsidRPr="00842956" w:rsidRDefault="007505DA" w:rsidP="0084295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23398"/>
      <w:docPartObj>
        <w:docPartGallery w:val="Page Numbers (Bottom of Page)"/>
        <w:docPartUnique/>
      </w:docPartObj>
    </w:sdtPr>
    <w:sdtEndPr>
      <w:rPr>
        <w:noProof/>
      </w:rPr>
    </w:sdtEndPr>
    <w:sdtContent>
      <w:p w14:paraId="12C3EE09" w14:textId="41E8964A" w:rsidR="004A506C" w:rsidRDefault="004A506C">
        <w:pPr>
          <w:pStyle w:val="Footer"/>
          <w:jc w:val="center"/>
        </w:pPr>
        <w:r>
          <w:fldChar w:fldCharType="begin"/>
        </w:r>
        <w:r>
          <w:instrText xml:space="preserve"> PAGE   \* MERGEFORMAT </w:instrText>
        </w:r>
        <w:r>
          <w:fldChar w:fldCharType="separate"/>
        </w:r>
        <w:r w:rsidR="004A627D">
          <w:t>76</w:t>
        </w:r>
        <w:r>
          <w:fldChar w:fldCharType="end"/>
        </w:r>
      </w:p>
    </w:sdtContent>
  </w:sdt>
  <w:p w14:paraId="1F56FBAA" w14:textId="77777777" w:rsidR="007505DA" w:rsidRPr="00842956" w:rsidRDefault="007505DA" w:rsidP="00842956">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7FAF" w14:textId="77777777" w:rsidR="007505DA" w:rsidRPr="00842956" w:rsidRDefault="007505DA" w:rsidP="008429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9AC7" w14:textId="77777777" w:rsidR="007505DA" w:rsidRPr="00842956" w:rsidRDefault="007505DA" w:rsidP="00842956">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1EE6" w14:textId="77777777" w:rsidR="007505DA" w:rsidRPr="00842956" w:rsidRDefault="007505DA" w:rsidP="00842956">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192566"/>
      <w:docPartObj>
        <w:docPartGallery w:val="Page Numbers (Bottom of Page)"/>
        <w:docPartUnique/>
      </w:docPartObj>
    </w:sdtPr>
    <w:sdtEndPr>
      <w:rPr>
        <w:noProof/>
      </w:rPr>
    </w:sdtEndPr>
    <w:sdtContent>
      <w:p w14:paraId="3056CA29" w14:textId="649A11B2" w:rsidR="004A506C" w:rsidRDefault="004A506C">
        <w:pPr>
          <w:pStyle w:val="Footer"/>
          <w:jc w:val="center"/>
        </w:pPr>
        <w:r>
          <w:fldChar w:fldCharType="begin"/>
        </w:r>
        <w:r>
          <w:instrText xml:space="preserve"> PAGE   \* MERGEFORMAT </w:instrText>
        </w:r>
        <w:r>
          <w:fldChar w:fldCharType="separate"/>
        </w:r>
        <w:r w:rsidR="004F4033">
          <w:t>78</w:t>
        </w:r>
        <w:r>
          <w:fldChar w:fldCharType="end"/>
        </w:r>
      </w:p>
    </w:sdtContent>
  </w:sdt>
  <w:p w14:paraId="3EF3763F" w14:textId="77777777" w:rsidR="007505DA" w:rsidRPr="00842956" w:rsidRDefault="007505DA" w:rsidP="00842956">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76F2" w14:textId="77777777" w:rsidR="007505DA" w:rsidRPr="00842956" w:rsidRDefault="007505DA" w:rsidP="00842956">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CEE8" w14:textId="77777777" w:rsidR="007505DA" w:rsidRPr="00842956" w:rsidRDefault="007505DA" w:rsidP="00842956">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477742"/>
      <w:docPartObj>
        <w:docPartGallery w:val="Page Numbers (Bottom of Page)"/>
        <w:docPartUnique/>
      </w:docPartObj>
    </w:sdtPr>
    <w:sdtEndPr>
      <w:rPr>
        <w:noProof/>
      </w:rPr>
    </w:sdtEndPr>
    <w:sdtContent>
      <w:p w14:paraId="4E58C23B" w14:textId="05A5D3CD" w:rsidR="004A506C" w:rsidRDefault="004A506C">
        <w:pPr>
          <w:pStyle w:val="Footer"/>
          <w:jc w:val="center"/>
        </w:pPr>
        <w:r>
          <w:fldChar w:fldCharType="begin"/>
        </w:r>
        <w:r>
          <w:instrText xml:space="preserve"> PAGE   \* MERGEFORMAT </w:instrText>
        </w:r>
        <w:r>
          <w:fldChar w:fldCharType="separate"/>
        </w:r>
        <w:r w:rsidR="004F4033">
          <w:t>85</w:t>
        </w:r>
        <w:r>
          <w:fldChar w:fldCharType="end"/>
        </w:r>
      </w:p>
    </w:sdtContent>
  </w:sdt>
  <w:p w14:paraId="7CCC7316" w14:textId="77777777" w:rsidR="007505DA" w:rsidRPr="00842956" w:rsidRDefault="007505DA" w:rsidP="00842956">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C0B8" w14:textId="77777777" w:rsidR="007505DA" w:rsidRPr="00842956" w:rsidRDefault="007505DA" w:rsidP="00842956">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F295" w14:textId="77777777" w:rsidR="007505DA" w:rsidRPr="00842956" w:rsidRDefault="007505DA" w:rsidP="00842956">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41270"/>
      <w:docPartObj>
        <w:docPartGallery w:val="Page Numbers (Bottom of Page)"/>
        <w:docPartUnique/>
      </w:docPartObj>
    </w:sdtPr>
    <w:sdtEndPr>
      <w:rPr>
        <w:noProof/>
      </w:rPr>
    </w:sdtEndPr>
    <w:sdtContent>
      <w:p w14:paraId="1C49A9B3" w14:textId="45BB15CC" w:rsidR="004A506C" w:rsidRDefault="004A506C">
        <w:pPr>
          <w:pStyle w:val="Footer"/>
          <w:jc w:val="center"/>
        </w:pPr>
        <w:r>
          <w:fldChar w:fldCharType="begin"/>
        </w:r>
        <w:r>
          <w:instrText xml:space="preserve"> PAGE   \* MERGEFORMAT </w:instrText>
        </w:r>
        <w:r>
          <w:fldChar w:fldCharType="separate"/>
        </w:r>
        <w:r w:rsidR="004F4033">
          <w:t>88</w:t>
        </w:r>
        <w:r>
          <w:fldChar w:fldCharType="end"/>
        </w:r>
      </w:p>
    </w:sdtContent>
  </w:sdt>
  <w:p w14:paraId="765812AB" w14:textId="77777777" w:rsidR="007505DA" w:rsidRPr="00842956" w:rsidRDefault="007505DA" w:rsidP="00842956">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660A" w14:textId="77777777" w:rsidR="007505DA" w:rsidRPr="00842956" w:rsidRDefault="007505DA" w:rsidP="00842956">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F259" w14:textId="77777777" w:rsidR="007505DA" w:rsidRPr="00842956" w:rsidRDefault="007505DA" w:rsidP="008429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620773"/>
      <w:docPartObj>
        <w:docPartGallery w:val="Page Numbers (Bottom of Page)"/>
        <w:docPartUnique/>
      </w:docPartObj>
    </w:sdtPr>
    <w:sdtEndPr>
      <w:rPr>
        <w:noProof/>
      </w:rPr>
    </w:sdtEndPr>
    <w:sdtContent>
      <w:p w14:paraId="01168C20" w14:textId="48D05E1A" w:rsidR="004A506C" w:rsidRDefault="004A506C">
        <w:pPr>
          <w:pStyle w:val="Footer"/>
          <w:jc w:val="center"/>
        </w:pPr>
        <w:r>
          <w:fldChar w:fldCharType="begin"/>
        </w:r>
        <w:r>
          <w:instrText xml:space="preserve"> PAGE   \* MERGEFORMAT </w:instrText>
        </w:r>
        <w:r>
          <w:fldChar w:fldCharType="separate"/>
        </w:r>
        <w:r w:rsidR="007A00FB">
          <w:rPr>
            <w:noProof/>
          </w:rPr>
          <w:t>8</w:t>
        </w:r>
        <w:r>
          <w:fldChar w:fldCharType="end"/>
        </w:r>
      </w:p>
    </w:sdtContent>
  </w:sdt>
  <w:p w14:paraId="1A99D287" w14:textId="77777777" w:rsidR="007505DA" w:rsidRPr="00842956" w:rsidRDefault="007505DA" w:rsidP="00842956">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791649"/>
      <w:docPartObj>
        <w:docPartGallery w:val="Page Numbers (Bottom of Page)"/>
        <w:docPartUnique/>
      </w:docPartObj>
    </w:sdtPr>
    <w:sdtEndPr>
      <w:rPr>
        <w:noProof/>
      </w:rPr>
    </w:sdtEndPr>
    <w:sdtContent>
      <w:p w14:paraId="0488E039" w14:textId="35400109" w:rsidR="004A506C" w:rsidRDefault="004A506C">
        <w:pPr>
          <w:pStyle w:val="Footer"/>
          <w:jc w:val="center"/>
        </w:pPr>
        <w:r>
          <w:fldChar w:fldCharType="begin"/>
        </w:r>
        <w:r>
          <w:instrText xml:space="preserve"> PAGE   \* MERGEFORMAT </w:instrText>
        </w:r>
        <w:r>
          <w:fldChar w:fldCharType="separate"/>
        </w:r>
        <w:r w:rsidR="004F4033">
          <w:t>93</w:t>
        </w:r>
        <w:r>
          <w:fldChar w:fldCharType="end"/>
        </w:r>
      </w:p>
    </w:sdtContent>
  </w:sdt>
  <w:p w14:paraId="6F38CC81" w14:textId="77777777" w:rsidR="007505DA" w:rsidRPr="00842956" w:rsidRDefault="007505DA" w:rsidP="00842956">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ABBF" w14:textId="77777777" w:rsidR="007505DA" w:rsidRPr="00842956" w:rsidRDefault="007505DA" w:rsidP="00842956">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88F1" w14:textId="77777777" w:rsidR="007505DA" w:rsidRPr="00842956" w:rsidRDefault="007505DA" w:rsidP="00842956">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271396"/>
      <w:docPartObj>
        <w:docPartGallery w:val="Page Numbers (Bottom of Page)"/>
        <w:docPartUnique/>
      </w:docPartObj>
    </w:sdtPr>
    <w:sdtEndPr>
      <w:rPr>
        <w:noProof/>
      </w:rPr>
    </w:sdtEndPr>
    <w:sdtContent>
      <w:p w14:paraId="74A36956" w14:textId="73748C82" w:rsidR="004A506C" w:rsidRDefault="004A506C">
        <w:pPr>
          <w:pStyle w:val="Footer"/>
          <w:jc w:val="center"/>
        </w:pPr>
        <w:r>
          <w:fldChar w:fldCharType="begin"/>
        </w:r>
        <w:r>
          <w:instrText xml:space="preserve"> PAGE   \* MERGEFORMAT </w:instrText>
        </w:r>
        <w:r>
          <w:fldChar w:fldCharType="separate"/>
        </w:r>
        <w:r w:rsidR="004F4033">
          <w:t>96</w:t>
        </w:r>
        <w:r>
          <w:fldChar w:fldCharType="end"/>
        </w:r>
      </w:p>
    </w:sdtContent>
  </w:sdt>
  <w:p w14:paraId="3328E2F8" w14:textId="77777777" w:rsidR="007505DA" w:rsidRPr="00842956" w:rsidRDefault="007505DA" w:rsidP="00842956">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DFC8" w14:textId="77777777" w:rsidR="007505DA" w:rsidRPr="00842956" w:rsidRDefault="007505DA" w:rsidP="00842956">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A3F3" w14:textId="77777777" w:rsidR="007505DA" w:rsidRPr="00842956" w:rsidRDefault="007505DA" w:rsidP="00842956">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320905"/>
      <w:docPartObj>
        <w:docPartGallery w:val="Page Numbers (Bottom of Page)"/>
        <w:docPartUnique/>
      </w:docPartObj>
    </w:sdtPr>
    <w:sdtEndPr>
      <w:rPr>
        <w:noProof/>
      </w:rPr>
    </w:sdtEndPr>
    <w:sdtContent>
      <w:p w14:paraId="63C1B861" w14:textId="593F5A0D" w:rsidR="004A506C" w:rsidRDefault="004A506C">
        <w:pPr>
          <w:pStyle w:val="Footer"/>
          <w:jc w:val="center"/>
        </w:pPr>
        <w:r>
          <w:fldChar w:fldCharType="begin"/>
        </w:r>
        <w:r>
          <w:instrText xml:space="preserve"> PAGE   \* MERGEFORMAT </w:instrText>
        </w:r>
        <w:r>
          <w:fldChar w:fldCharType="separate"/>
        </w:r>
        <w:r w:rsidR="004F4033">
          <w:t>102</w:t>
        </w:r>
        <w:r>
          <w:fldChar w:fldCharType="end"/>
        </w:r>
      </w:p>
    </w:sdtContent>
  </w:sdt>
  <w:p w14:paraId="152D7A3C" w14:textId="77777777" w:rsidR="007505DA" w:rsidRPr="00842956" w:rsidRDefault="007505DA" w:rsidP="00842956">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2A49" w14:textId="77777777" w:rsidR="007505DA" w:rsidRPr="00842956" w:rsidRDefault="007505DA" w:rsidP="00842956">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BD4E" w14:textId="77777777" w:rsidR="007505DA" w:rsidRPr="00842956" w:rsidRDefault="007505DA" w:rsidP="0084295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05422"/>
      <w:docPartObj>
        <w:docPartGallery w:val="Page Numbers (Bottom of Page)"/>
        <w:docPartUnique/>
      </w:docPartObj>
    </w:sdtPr>
    <w:sdtEndPr>
      <w:rPr>
        <w:noProof/>
      </w:rPr>
    </w:sdtEndPr>
    <w:sdtContent>
      <w:p w14:paraId="23FF2FBB" w14:textId="6E6E8441" w:rsidR="004A506C" w:rsidRDefault="004A506C">
        <w:pPr>
          <w:pStyle w:val="Footer"/>
          <w:jc w:val="center"/>
        </w:pPr>
        <w:r>
          <w:fldChar w:fldCharType="begin"/>
        </w:r>
        <w:r>
          <w:instrText xml:space="preserve"> PAGE   \* MERGEFORMAT </w:instrText>
        </w:r>
        <w:r>
          <w:fldChar w:fldCharType="separate"/>
        </w:r>
        <w:r w:rsidR="004F4033">
          <w:t>104</w:t>
        </w:r>
        <w:r>
          <w:fldChar w:fldCharType="end"/>
        </w:r>
      </w:p>
    </w:sdtContent>
  </w:sdt>
  <w:p w14:paraId="7173A554" w14:textId="77777777" w:rsidR="007505DA" w:rsidRPr="00842956" w:rsidRDefault="007505DA" w:rsidP="00842956">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C0E" w14:textId="77777777" w:rsidR="007505DA" w:rsidRPr="00842956" w:rsidRDefault="007505DA" w:rsidP="00842956">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CF99" w14:textId="77777777" w:rsidR="007505DA" w:rsidRPr="00842956" w:rsidRDefault="007505DA" w:rsidP="00842956">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8DA9" w14:textId="77777777" w:rsidR="007505DA" w:rsidRPr="00842956" w:rsidRDefault="007505DA" w:rsidP="00842956">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101434"/>
      <w:docPartObj>
        <w:docPartGallery w:val="Page Numbers (Bottom of Page)"/>
        <w:docPartUnique/>
      </w:docPartObj>
    </w:sdtPr>
    <w:sdtEndPr>
      <w:rPr>
        <w:noProof/>
      </w:rPr>
    </w:sdtEndPr>
    <w:sdtContent>
      <w:p w14:paraId="71969A6D" w14:textId="20D4A228" w:rsidR="004A506C" w:rsidRDefault="004A506C">
        <w:pPr>
          <w:pStyle w:val="Footer"/>
          <w:jc w:val="center"/>
        </w:pPr>
        <w:r>
          <w:fldChar w:fldCharType="begin"/>
        </w:r>
        <w:r>
          <w:instrText xml:space="preserve"> PAGE   \* MERGEFORMAT </w:instrText>
        </w:r>
        <w:r>
          <w:fldChar w:fldCharType="separate"/>
        </w:r>
        <w:r w:rsidR="004F4033">
          <w:t>108</w:t>
        </w:r>
        <w:r>
          <w:fldChar w:fldCharType="end"/>
        </w:r>
      </w:p>
    </w:sdtContent>
  </w:sdt>
  <w:p w14:paraId="5BDEABF6" w14:textId="77777777" w:rsidR="007505DA" w:rsidRPr="00842956" w:rsidRDefault="007505DA" w:rsidP="00842956">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4EF7" w14:textId="77777777" w:rsidR="007505DA" w:rsidRPr="00842956" w:rsidRDefault="007505DA" w:rsidP="00842956">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0720" w14:textId="77777777" w:rsidR="007505DA" w:rsidRPr="00842956" w:rsidRDefault="007505DA" w:rsidP="00842956">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8287"/>
      <w:docPartObj>
        <w:docPartGallery w:val="Page Numbers (Bottom of Page)"/>
        <w:docPartUnique/>
      </w:docPartObj>
    </w:sdtPr>
    <w:sdtEndPr>
      <w:rPr>
        <w:noProof/>
      </w:rPr>
    </w:sdtEndPr>
    <w:sdtContent>
      <w:p w14:paraId="47D0E022" w14:textId="185DABC8" w:rsidR="004A506C" w:rsidRDefault="004A506C">
        <w:pPr>
          <w:pStyle w:val="Footer"/>
          <w:jc w:val="center"/>
        </w:pPr>
        <w:r>
          <w:fldChar w:fldCharType="begin"/>
        </w:r>
        <w:r>
          <w:instrText xml:space="preserve"> PAGE   \* MERGEFORMAT </w:instrText>
        </w:r>
        <w:r>
          <w:fldChar w:fldCharType="separate"/>
        </w:r>
        <w:r w:rsidR="004F4033">
          <w:t>111</w:t>
        </w:r>
        <w:r>
          <w:fldChar w:fldCharType="end"/>
        </w:r>
      </w:p>
    </w:sdtContent>
  </w:sdt>
  <w:p w14:paraId="15D8A41F" w14:textId="77777777" w:rsidR="007505DA" w:rsidRPr="00842956" w:rsidRDefault="007505DA" w:rsidP="00842956">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69ED" w14:textId="77777777" w:rsidR="007505DA" w:rsidRPr="00842956" w:rsidRDefault="007505DA" w:rsidP="00842956">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5668" w14:textId="77777777" w:rsidR="007505DA" w:rsidRPr="00842956" w:rsidRDefault="007505DA" w:rsidP="00842956">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8665"/>
      <w:docPartObj>
        <w:docPartGallery w:val="Page Numbers (Bottom of Page)"/>
        <w:docPartUnique/>
      </w:docPartObj>
    </w:sdtPr>
    <w:sdtEndPr>
      <w:rPr>
        <w:noProof/>
      </w:rPr>
    </w:sdtEndPr>
    <w:sdtContent>
      <w:p w14:paraId="77E03328" w14:textId="5C93C390" w:rsidR="004A506C" w:rsidRDefault="004A506C">
        <w:pPr>
          <w:pStyle w:val="Footer"/>
          <w:jc w:val="center"/>
        </w:pPr>
        <w:r>
          <w:fldChar w:fldCharType="begin"/>
        </w:r>
        <w:r>
          <w:instrText xml:space="preserve"> PAGE   \* MERGEFORMAT </w:instrText>
        </w:r>
        <w:r>
          <w:fldChar w:fldCharType="separate"/>
        </w:r>
        <w:r w:rsidR="004F4033">
          <w:t>115</w:t>
        </w:r>
        <w:r>
          <w:fldChar w:fldCharType="end"/>
        </w:r>
      </w:p>
    </w:sdtContent>
  </w:sdt>
  <w:p w14:paraId="56EF731D" w14:textId="77777777" w:rsidR="007505DA" w:rsidRPr="00842956" w:rsidRDefault="007505DA" w:rsidP="00842956">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8CAD" w14:textId="77777777" w:rsidR="007505DA" w:rsidRPr="00842956" w:rsidRDefault="007505DA" w:rsidP="0084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0BDEA" w14:textId="77777777" w:rsidR="00B02E79" w:rsidRDefault="00B02E79" w:rsidP="004B6FB1">
      <w:pPr>
        <w:spacing w:before="0" w:after="0" w:line="240" w:lineRule="auto"/>
      </w:pPr>
      <w:r>
        <w:separator/>
      </w:r>
    </w:p>
  </w:footnote>
  <w:footnote w:type="continuationSeparator" w:id="0">
    <w:p w14:paraId="05495AF0" w14:textId="77777777" w:rsidR="00B02E79" w:rsidRDefault="00B02E79" w:rsidP="004B6FB1">
      <w:pPr>
        <w:spacing w:before="0" w:after="0" w:line="240" w:lineRule="auto"/>
      </w:pPr>
      <w:r>
        <w:continuationSeparator/>
      </w:r>
    </w:p>
  </w:footnote>
  <w:footnote w:type="continuationNotice" w:id="1">
    <w:p w14:paraId="292DD687" w14:textId="77777777" w:rsidR="00B02E79" w:rsidRDefault="00B02E79">
      <w:pPr>
        <w:spacing w:before="0" w:after="0" w:line="240" w:lineRule="auto"/>
      </w:pPr>
    </w:p>
  </w:footnote>
  <w:footnote w:id="2">
    <w:p w14:paraId="3A564000" w14:textId="77777777" w:rsidR="007505DA" w:rsidRPr="00DD6A04" w:rsidRDefault="007505DA" w:rsidP="003C6015">
      <w:pPr>
        <w:pStyle w:val="FootnoteText"/>
      </w:pPr>
      <w:r>
        <w:rPr>
          <w:rStyle w:val="FootnoteReference"/>
        </w:rPr>
        <w:footnoteRef/>
      </w:r>
      <w:r>
        <w:t xml:space="preserve"> </w:t>
      </w:r>
      <w:r>
        <w:tab/>
        <w:t>Kadar podprta dejavnost doseže predvidene emisije toplogrednih plinov, ki niso bistveno nižje od ustreznih referenčnih vrednosti, se zagotovi razlaga razlogov, zakaj to ni mogoče.</w:t>
      </w:r>
    </w:p>
  </w:footnote>
  <w:footnote w:id="3">
    <w:p w14:paraId="19E20CA7" w14:textId="77777777" w:rsidR="007505DA" w:rsidRPr="00DD6A04" w:rsidRDefault="007505DA" w:rsidP="003C6015">
      <w:pPr>
        <w:pStyle w:val="FootnoteText"/>
      </w:pPr>
      <w:r>
        <w:rPr>
          <w:rStyle w:val="FootnoteReference"/>
          <w:lang w:val="en-GB"/>
        </w:rPr>
        <w:footnoteRef/>
      </w:r>
      <w:r>
        <w:t xml:space="preserve"> </w:t>
      </w:r>
      <w:r>
        <w:tab/>
        <w:t>V skladu s Priporočilom Komisije (EU) 2020/1307 o skupnem naboru orodij za znižanje stroškov postavitve zelo visokozmogljivih omrežij ter zagotavljanje pravočasnega in naložbam prijaznega dostopa do radiofrekvenčnega spektra 5G za spodbujanje povezljivosti in podporo okrevanju gospodarstva po krizi zaradi COVID-19 v Uniji.</w:t>
      </w:r>
    </w:p>
  </w:footnote>
  <w:footnote w:id="4">
    <w:p w14:paraId="32D05679" w14:textId="77777777" w:rsidR="007505DA" w:rsidRPr="00DD6A04" w:rsidRDefault="007505DA" w:rsidP="003C6015">
      <w:pPr>
        <w:pStyle w:val="FootnoteText"/>
      </w:pPr>
      <w:r>
        <w:rPr>
          <w:rStyle w:val="FootnoteReference"/>
          <w:lang w:val="en-GB"/>
        </w:rPr>
        <w:footnoteRef/>
      </w:r>
      <w:r>
        <w:t xml:space="preserve"> </w:t>
      </w:r>
      <w:r>
        <w:tab/>
        <w:t>V skladu s Priporočilom Komisije (EU) 2020/1307 o skupnem naboru orodij za znižanje stroškov postavitve zelo visokozmogljivih omrežij ter zagotavljanje pravočasnega in naložbam prijaznega dostopa do radiofrekvenčnega spektra 5G za spodbujanje povezljivosti in podporo okrevanju gospodarstva po krizi zaradi COVID-19 v Uniji.</w:t>
      </w:r>
    </w:p>
  </w:footnote>
  <w:footnote w:id="5">
    <w:p w14:paraId="3F6EC4ED" w14:textId="77777777" w:rsidR="007505DA" w:rsidRPr="00DD6A04" w:rsidRDefault="007505DA" w:rsidP="003C6015">
      <w:pPr>
        <w:pStyle w:val="FootnoteText"/>
      </w:pPr>
      <w:r>
        <w:rPr>
          <w:rStyle w:val="FootnoteReference"/>
          <w:lang w:val="en-GB"/>
        </w:rPr>
        <w:footnoteRef/>
      </w:r>
      <w:r>
        <w:tab/>
        <w:t>Razen projektov v okviru tega ukrepa za proizvodnjo električne energije in/ali toplote ter povezane infrastrukture za prenos in distribucijo z uporabo zemeljskega plina, ki so skladni s pogoji, določenimi v Prilogi III tehničnih smernic za uporabo načela, da se ne škoduje bistveno (2021/C58/01).</w:t>
      </w:r>
    </w:p>
  </w:footnote>
  <w:footnote w:id="6">
    <w:p w14:paraId="1785911E" w14:textId="77777777" w:rsidR="007505DA" w:rsidRPr="00DD6A04" w:rsidRDefault="007505DA" w:rsidP="003C6015">
      <w:pPr>
        <w:pStyle w:val="FootnoteText"/>
      </w:pPr>
      <w:r>
        <w:rPr>
          <w:rStyle w:val="FootnoteReference"/>
          <w:lang w:val="en-GB"/>
        </w:rPr>
        <w:footnoteRef/>
      </w:r>
      <w:r>
        <w:tab/>
        <w:t>Kadar podprta dejavnost doseže predvidene emisije toplogrednih plinov, ki niso bistveno nižje od ustreznih referenčnih vrednosti, se zagotovi razlaga razlogov, zakaj to ni mogoče. Referenčne vrednosti, določene za brezplačno dodelitev za dejavnosti, ki spadajo v področje uporabe sistema za trgovanje z emisijami, kot je določeno v Izvedbeni uredbi Komisije (EU) 2021/447.</w:t>
      </w:r>
    </w:p>
  </w:footnote>
  <w:footnote w:id="7">
    <w:p w14:paraId="7A1CD747" w14:textId="77777777" w:rsidR="007505DA" w:rsidRPr="00DD6A04" w:rsidRDefault="007505DA" w:rsidP="003C6015">
      <w:pPr>
        <w:pStyle w:val="FootnoteText"/>
      </w:pPr>
      <w:r>
        <w:rPr>
          <w:rStyle w:val="FootnoteReference"/>
          <w:lang w:val="en-GB"/>
        </w:rPr>
        <w:footnoteRef/>
      </w:r>
      <w:r>
        <w:tab/>
        <w:t>Ta izključitev se ne uporablja za ukrepe v okviru tega ukrepa za obrate, namenjene izključno obdelavi nevarnih odpadkov, ki jih ni mogoče reciklirati, in za obstoječe obrate, kadar so ukrepi v okviru tega ukrepa namenjeni povečanju energetske učinkovitosti, zajemanju izpušnih plinov za shranjevanje ali uporabo ali pridobivanju snovi iz sežigalnega pepela, če taki ukrepi v okviru tega ukrepa ne omogočijo povečanja zmogljivosti obratov za predelavo odpadkov ali podaljšanja življenjske dobe obratov, za kar se predložijo dokazi na ravni obrata.</w:t>
      </w:r>
    </w:p>
  </w:footnote>
  <w:footnote w:id="8">
    <w:p w14:paraId="3F7BC584" w14:textId="77777777" w:rsidR="007505DA" w:rsidRPr="00DD6A04" w:rsidRDefault="007505DA" w:rsidP="003C6015">
      <w:pPr>
        <w:pStyle w:val="FootnoteText"/>
      </w:pPr>
      <w:r>
        <w:rPr>
          <w:rStyle w:val="FootnoteReference"/>
          <w:lang w:val="en-GB"/>
        </w:rPr>
        <w:footnoteRef/>
      </w:r>
      <w:r>
        <w:tab/>
        <w:t>Ta izključitev se ne uporablja za ukrepe v okviru tega ukrepa za obstoječe obrate za mehansko biološko obdelavo, kadar so ukrepi v okviru tega ukrepa namenjeni povečanju energetske učinkovitosti ali naknadnemu opremljanju za postopke recikliranja ločenih odpadkov za kompostiranje bioloških odpadkov in anaerobno razgradnjo bioloških odpadkov, če taki ukrepi v okviru tega ukrepa ne omogočijo povečanja zmogljivosti obratov za predelavo odpadkov ali podaljšanja življenjske dobe obratov, za kar se predložijo dokazi na ravni obrata.</w:t>
      </w:r>
    </w:p>
  </w:footnote>
  <w:footnote w:id="9">
    <w:p w14:paraId="2FE692B1" w14:textId="77777777" w:rsidR="007505DA" w:rsidRPr="00DD6A04" w:rsidRDefault="007505DA" w:rsidP="00AE1618">
      <w:pPr>
        <w:pStyle w:val="FootnoteText"/>
        <w:ind w:left="142" w:hanging="142"/>
        <w:jc w:val="both"/>
      </w:pPr>
      <w:r>
        <w:rPr>
          <w:rStyle w:val="FootnoteReference"/>
          <w:b w:val="0"/>
          <w:bCs/>
          <w:lang w:val="en-GB"/>
        </w:rPr>
        <w:footnoteRef/>
      </w:r>
      <w:r>
        <w:t xml:space="preserve"> </w:t>
      </w:r>
      <w:r>
        <w:rPr>
          <w:color w:val="000000" w:themeColor="text1"/>
          <w:sz w:val="20"/>
        </w:rPr>
        <w:t>Kadar podprta dejavnost doseže predvidene emisije toplogrednih plinov, ki niso bistveno nižje od ustreznih referenčnih vrednosti, se zagotovi razlaga razlogov, zakaj to ni mogoče. Referenčne vrednosti, določene za brezplačno dodelitev za dejavnosti, ki spadajo v področje uporabe sistema za trgovanje z emisijami, kot je določeno v Izvedbeni uredbi Komisije (EU) 2021/447.</w:t>
      </w:r>
    </w:p>
  </w:footnote>
  <w:footnote w:id="10">
    <w:p w14:paraId="0E5B9D91" w14:textId="062AF935" w:rsidR="007505DA" w:rsidRPr="00DD6A04" w:rsidRDefault="007505DA" w:rsidP="004F4BF9">
      <w:pPr>
        <w:pStyle w:val="FootnoteText"/>
        <w:ind w:left="142" w:hanging="153"/>
        <w:jc w:val="both"/>
        <w:rPr>
          <w:sz w:val="20"/>
          <w:szCs w:val="16"/>
        </w:rPr>
      </w:pPr>
      <w:r>
        <w:rPr>
          <w:rStyle w:val="FootnoteReference"/>
          <w:sz w:val="20"/>
          <w:szCs w:val="16"/>
          <w:lang w:val="en-GB"/>
        </w:rPr>
        <w:footnoteRef/>
      </w:r>
      <w:r>
        <w:t xml:space="preserve"> </w:t>
      </w:r>
      <w:r>
        <w:rPr>
          <w:sz w:val="20"/>
        </w:rPr>
        <w:t>Razen za (a) projekte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r>
        <w:t xml:space="preserve"> </w:t>
      </w:r>
      <w:r>
        <w:rPr>
          <w:sz w:val="20"/>
        </w:rPr>
        <w:t>(b) za dejavnosti in sredstva iz točke (ii), pri katerih je uporaba fosilnih goriv začasna in tehnično neizogibna za pravočasen prehod na delovanje brez fosilnih goriv.</w:t>
      </w:r>
      <w:r w:rsidR="00037751">
        <w:rPr>
          <w:sz w:val="20"/>
        </w:rPr>
        <w:t xml:space="preserve"> </w:t>
      </w:r>
    </w:p>
  </w:footnote>
  <w:footnote w:id="11">
    <w:p w14:paraId="6BB87CD8" w14:textId="77777777" w:rsidR="007505DA" w:rsidRPr="00DD6A04" w:rsidRDefault="007505DA" w:rsidP="004F4BF9">
      <w:pPr>
        <w:pStyle w:val="FootnoteText"/>
        <w:ind w:left="142" w:hanging="142"/>
        <w:jc w:val="both"/>
        <w:rPr>
          <w:sz w:val="20"/>
          <w:szCs w:val="16"/>
        </w:rPr>
      </w:pPr>
      <w:r>
        <w:rPr>
          <w:rStyle w:val="FootnoteReference"/>
          <w:sz w:val="20"/>
          <w:szCs w:val="16"/>
          <w:lang w:val="en-GB"/>
        </w:rPr>
        <w:footnoteRef/>
      </w:r>
      <w:r>
        <w:t xml:space="preserve"> </w:t>
      </w:r>
      <w:r>
        <w:rPr>
          <w:sz w:val="20"/>
        </w:rPr>
        <w:t>Kadar podprta dejavnost doseže predvidene emisije toplogrednih plinov, ki niso bistveno nižje od ustreznih referenčnih vrednosti, se zagotovi razlaga razlogov, zakaj to ni mogoče. Referenčne vrednosti, določene za brezplačno dodelitev za dejavnosti, ki spadajo v področje uporabe sistema za trgovanje z emisijami, kot je določeno v Izvedbeni uredbi Komisije (EU) 2021/447.</w:t>
      </w:r>
    </w:p>
  </w:footnote>
  <w:footnote w:id="12">
    <w:p w14:paraId="1F9A5B03" w14:textId="77777777" w:rsidR="007505DA" w:rsidRPr="00DD6A04" w:rsidRDefault="007505DA" w:rsidP="004F4BF9">
      <w:pPr>
        <w:pStyle w:val="FootnoteText"/>
        <w:ind w:left="142" w:hanging="142"/>
        <w:jc w:val="both"/>
        <w:rPr>
          <w:sz w:val="20"/>
          <w:szCs w:val="16"/>
        </w:rPr>
      </w:pPr>
      <w:r>
        <w:rPr>
          <w:rStyle w:val="FootnoteReference"/>
          <w:sz w:val="20"/>
          <w:szCs w:val="16"/>
          <w:lang w:val="en-GB"/>
        </w:rPr>
        <w:footnoteRef/>
      </w:r>
      <w:r>
        <w:t xml:space="preserve"> </w:t>
      </w:r>
      <w:r>
        <w:rPr>
          <w:sz w:val="20"/>
        </w:rPr>
        <w:t>Ta izključitev se ne uporablja za ukrepe v okviru tega ukrepa za obrate, namenjene izključno obdelavi nevarnih odpadkov, ki jih ni mogoče reciklirati, in za obstoječe obrate, kadar so ukrepi v okviru tega ukrepa namenjeni povečanju energetske učinkovitosti, zajemanju izpušnih plinov za shranjevanje ali uporabo ali pridobivanju snovi iz sežigalnega pepela, če taki ukrepi v okviru tega ukrepa ne omogočijo povečanja zmogljivosti obratov za predelavo odpadkov ali podaljšanja življenjske dobe obratov, za kar se predložijo dokazi na ravni obrata.</w:t>
      </w:r>
    </w:p>
  </w:footnote>
  <w:footnote w:id="13">
    <w:p w14:paraId="7FA25555" w14:textId="77777777" w:rsidR="007505DA" w:rsidRPr="00DD6A04" w:rsidRDefault="007505DA" w:rsidP="004F4BF9">
      <w:pPr>
        <w:pStyle w:val="FootnoteText"/>
        <w:ind w:left="142" w:hanging="142"/>
        <w:jc w:val="both"/>
      </w:pPr>
      <w:r>
        <w:rPr>
          <w:rStyle w:val="FootnoteReference"/>
          <w:sz w:val="20"/>
          <w:szCs w:val="16"/>
          <w:lang w:val="en-GB"/>
        </w:rPr>
        <w:footnoteRef/>
      </w:r>
      <w:r>
        <w:t xml:space="preserve"> </w:t>
      </w:r>
      <w:r>
        <w:rPr>
          <w:sz w:val="20"/>
        </w:rPr>
        <w:t>Ta izključitev se ne uporablja za ukrepe v okviru tega ukrepa za obstoječe obrate za mehansko biološko obdelavo, kadar so ukrepi v okviru tega ukrepa namenjeni povečanju energetske učinkovitosti ali naknadnemu opremljanju za postopke recikliranja ločenih odpadkov za kompostiranje bioloških odpadkov in anaerobno razgradnjo bioloških odpadkov, če taki ukrepi v okviru tega ukrepa ne omogočijo povečanja zmogljivosti obratov za predelavo odpadkov ali podaljšanja življenjske dobe obratov, za kar se predložijo dokazi na ravni obrata.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5205" w14:textId="77777777" w:rsidR="007A00FB" w:rsidRPr="007A00FB" w:rsidRDefault="007A00FB" w:rsidP="007A00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DC07" w14:textId="77777777" w:rsidR="007505DA" w:rsidRPr="00842956" w:rsidRDefault="007505DA" w:rsidP="00842956">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922" w14:textId="77777777" w:rsidR="007505DA" w:rsidRPr="00842956" w:rsidRDefault="007505DA" w:rsidP="00842956">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A1A9" w14:textId="77777777" w:rsidR="007505DA" w:rsidRPr="00842956" w:rsidRDefault="007505DA" w:rsidP="00842956">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1F41" w14:textId="77777777" w:rsidR="007505DA" w:rsidRPr="00842956" w:rsidRDefault="007505DA" w:rsidP="0084295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1D60" w14:textId="77777777" w:rsidR="007505DA" w:rsidRPr="00842956" w:rsidRDefault="007505DA" w:rsidP="00842956">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4EB1" w14:textId="77777777" w:rsidR="007505DA" w:rsidRPr="00842956" w:rsidRDefault="007505DA" w:rsidP="0084295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6680" w14:textId="77777777" w:rsidR="007505DA" w:rsidRPr="00842956" w:rsidRDefault="007505DA" w:rsidP="00842956">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CAC8" w14:textId="77777777" w:rsidR="007505DA" w:rsidRPr="00842956" w:rsidRDefault="007505DA" w:rsidP="00842956">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3539" w14:textId="77777777" w:rsidR="007505DA" w:rsidRPr="00842956" w:rsidRDefault="007505DA" w:rsidP="00842956">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F62C" w14:textId="77777777" w:rsidR="007505DA" w:rsidRPr="00842956" w:rsidRDefault="007505DA" w:rsidP="00842956">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720E" w14:textId="77777777" w:rsidR="007505DA" w:rsidRPr="00842956" w:rsidRDefault="007505DA" w:rsidP="008429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BDD2" w14:textId="77777777" w:rsidR="007505DA" w:rsidRPr="00842956" w:rsidRDefault="007505DA" w:rsidP="00842956">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E0CE" w14:textId="77777777" w:rsidR="007505DA" w:rsidRPr="00842956" w:rsidRDefault="007505DA" w:rsidP="00842956">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C212" w14:textId="77777777" w:rsidR="007505DA" w:rsidRPr="00842956" w:rsidRDefault="007505DA" w:rsidP="00842956">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94E5" w14:textId="77777777" w:rsidR="007505DA" w:rsidRPr="00842956" w:rsidRDefault="007505DA" w:rsidP="00842956">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478A" w14:textId="77777777" w:rsidR="007505DA" w:rsidRPr="00842956" w:rsidRDefault="007505DA" w:rsidP="00842956">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E956" w14:textId="77777777" w:rsidR="007505DA" w:rsidRPr="00842956" w:rsidRDefault="007505DA" w:rsidP="00842956">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6C6E" w14:textId="77777777" w:rsidR="007505DA" w:rsidRPr="00842956" w:rsidRDefault="007505DA" w:rsidP="00842956">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B05D" w14:textId="77777777" w:rsidR="007505DA" w:rsidRPr="00842956" w:rsidRDefault="007505DA" w:rsidP="00842956">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2C22" w14:textId="77777777" w:rsidR="007505DA" w:rsidRPr="00842956" w:rsidRDefault="007505DA" w:rsidP="00842956">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6F72" w14:textId="77777777" w:rsidR="007505DA" w:rsidRPr="00842956" w:rsidRDefault="007505DA" w:rsidP="00842956">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5FBB" w14:textId="77777777" w:rsidR="007505DA" w:rsidRPr="00842956" w:rsidRDefault="007505DA" w:rsidP="008429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B5CF" w14:textId="77777777" w:rsidR="007505DA" w:rsidRPr="00842956" w:rsidRDefault="007505DA" w:rsidP="00842956">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EF4E" w14:textId="77777777" w:rsidR="007505DA" w:rsidRPr="00842956" w:rsidRDefault="007505DA" w:rsidP="00842956">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3094" w14:textId="77777777" w:rsidR="007505DA" w:rsidRPr="00842956" w:rsidRDefault="007505DA" w:rsidP="00842956">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B2B1" w14:textId="77777777" w:rsidR="007505DA" w:rsidRPr="00842956" w:rsidRDefault="007505DA" w:rsidP="00842956">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5D6C" w14:textId="77777777" w:rsidR="007505DA" w:rsidRPr="00842956" w:rsidRDefault="007505DA" w:rsidP="00842956">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4A58" w14:textId="77777777" w:rsidR="007505DA" w:rsidRPr="00842956" w:rsidRDefault="007505DA" w:rsidP="00842956">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55E4" w14:textId="77777777" w:rsidR="007505DA" w:rsidRPr="00842956" w:rsidRDefault="007505DA" w:rsidP="00842956">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AE78" w14:textId="77777777" w:rsidR="007505DA" w:rsidRPr="00842956" w:rsidRDefault="007505DA" w:rsidP="00842956">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5782" w14:textId="77777777" w:rsidR="007505DA" w:rsidRPr="00842956" w:rsidRDefault="007505DA" w:rsidP="00842956">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3CFB" w14:textId="77777777" w:rsidR="007505DA" w:rsidRPr="00842956" w:rsidRDefault="007505DA" w:rsidP="00842956">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DD89" w14:textId="77777777" w:rsidR="007505DA" w:rsidRPr="00842956" w:rsidRDefault="007505DA" w:rsidP="008429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D941" w14:textId="77777777" w:rsidR="007505DA" w:rsidRPr="00842956" w:rsidRDefault="007505DA" w:rsidP="00842956">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8335" w14:textId="77777777" w:rsidR="007505DA" w:rsidRPr="00842956" w:rsidRDefault="007505DA" w:rsidP="00842956">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46C7" w14:textId="77777777" w:rsidR="007505DA" w:rsidRPr="00842956" w:rsidRDefault="007505DA" w:rsidP="00842956">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25B5" w14:textId="77777777" w:rsidR="007505DA" w:rsidRPr="00842956" w:rsidRDefault="007505DA" w:rsidP="00842956">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1A72A" w14:textId="77777777" w:rsidR="007505DA" w:rsidRPr="00842956" w:rsidRDefault="007505DA" w:rsidP="00842956">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A7AA" w14:textId="77777777" w:rsidR="007505DA" w:rsidRPr="00842956" w:rsidRDefault="007505DA" w:rsidP="00842956">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0F62" w14:textId="77777777" w:rsidR="007505DA" w:rsidRPr="00842956" w:rsidRDefault="007505DA" w:rsidP="00842956">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51C7" w14:textId="77777777" w:rsidR="007505DA" w:rsidRPr="00842956" w:rsidRDefault="007505DA" w:rsidP="00842956">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69CF" w14:textId="77777777" w:rsidR="007505DA" w:rsidRPr="00842956" w:rsidRDefault="007505DA" w:rsidP="00842956">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D883" w14:textId="77777777" w:rsidR="007505DA" w:rsidRPr="00842956" w:rsidRDefault="007505DA" w:rsidP="00842956">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4B05" w14:textId="77777777" w:rsidR="007505DA" w:rsidRPr="00842956" w:rsidRDefault="007505DA" w:rsidP="008429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1FFB" w14:textId="77777777" w:rsidR="007505DA" w:rsidRPr="00842956" w:rsidRDefault="007505DA" w:rsidP="00842956">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58B8" w14:textId="77777777" w:rsidR="007505DA" w:rsidRPr="00842956" w:rsidRDefault="007505DA" w:rsidP="00842956">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7EBC" w14:textId="77777777" w:rsidR="007505DA" w:rsidRPr="00842956" w:rsidRDefault="007505DA" w:rsidP="00842956">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2B80" w14:textId="77777777" w:rsidR="007505DA" w:rsidRPr="00842956" w:rsidRDefault="007505DA" w:rsidP="00842956">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52E0" w14:textId="77777777" w:rsidR="007505DA" w:rsidRPr="00842956" w:rsidRDefault="007505DA" w:rsidP="00842956">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B224" w14:textId="77777777" w:rsidR="007505DA" w:rsidRPr="00842956" w:rsidRDefault="007505DA" w:rsidP="00842956">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F727" w14:textId="77777777" w:rsidR="007505DA" w:rsidRPr="00842956" w:rsidRDefault="007505DA" w:rsidP="00842956">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42D5" w14:textId="77777777" w:rsidR="007505DA" w:rsidRPr="00842956" w:rsidRDefault="007505DA" w:rsidP="00842956">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757D" w14:textId="77777777" w:rsidR="007505DA" w:rsidRPr="00842956" w:rsidRDefault="007505DA" w:rsidP="00842956">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43E32" w14:textId="77777777" w:rsidR="007505DA" w:rsidRPr="00842956" w:rsidRDefault="007505DA" w:rsidP="00842956">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24B6" w14:textId="77777777" w:rsidR="007505DA" w:rsidRPr="00842956" w:rsidRDefault="007505DA" w:rsidP="0084295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D951" w14:textId="77777777" w:rsidR="007505DA" w:rsidRPr="00842956" w:rsidRDefault="007505DA" w:rsidP="00842956">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DEEC" w14:textId="77777777" w:rsidR="007505DA" w:rsidRPr="00842956" w:rsidRDefault="007505DA" w:rsidP="00842956">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2D3A" w14:textId="77777777" w:rsidR="007505DA" w:rsidRPr="00842956" w:rsidRDefault="007505DA" w:rsidP="00842956">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138B" w14:textId="77777777" w:rsidR="007505DA" w:rsidRPr="00842956" w:rsidRDefault="007505DA" w:rsidP="00842956">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4263" w14:textId="77777777" w:rsidR="007505DA" w:rsidRPr="00842956" w:rsidRDefault="007505DA" w:rsidP="0084295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4669" w14:textId="77777777" w:rsidR="007505DA" w:rsidRPr="00842956" w:rsidRDefault="007505DA" w:rsidP="0084295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0148" w14:textId="77777777" w:rsidR="007505DA" w:rsidRPr="00842956" w:rsidRDefault="007505DA" w:rsidP="0084295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7237" w14:textId="77777777" w:rsidR="007505DA" w:rsidRPr="00842956" w:rsidRDefault="007505DA" w:rsidP="0084295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C13D" w14:textId="77777777" w:rsidR="007505DA" w:rsidRPr="00842956" w:rsidRDefault="007505DA" w:rsidP="00842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7C8A" w14:textId="77777777" w:rsidR="007A00FB" w:rsidRPr="007A00FB" w:rsidRDefault="007A00FB" w:rsidP="007A00FB">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4567" w14:textId="77777777" w:rsidR="007505DA" w:rsidRPr="00842956" w:rsidRDefault="007505DA" w:rsidP="0084295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AE00" w14:textId="77777777" w:rsidR="007505DA" w:rsidRPr="00842956" w:rsidRDefault="007505DA" w:rsidP="0084295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9A31" w14:textId="77777777" w:rsidR="007505DA" w:rsidRPr="00842956" w:rsidRDefault="007505DA" w:rsidP="0084295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4CEE" w14:textId="77777777" w:rsidR="007505DA" w:rsidRPr="00842956" w:rsidRDefault="007505DA" w:rsidP="0084295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4B3B" w14:textId="77777777" w:rsidR="007505DA" w:rsidRPr="00842956" w:rsidRDefault="007505DA" w:rsidP="0084295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B592" w14:textId="77777777" w:rsidR="004A506C" w:rsidRPr="00842956" w:rsidRDefault="004A506C" w:rsidP="0084295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33B3" w14:textId="77777777" w:rsidR="004A506C" w:rsidRPr="00842956" w:rsidRDefault="004A506C" w:rsidP="0084295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16E3" w14:textId="77777777" w:rsidR="004A506C" w:rsidRPr="00842956" w:rsidRDefault="004A506C" w:rsidP="0084295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686F" w14:textId="77777777" w:rsidR="004A506C" w:rsidRPr="00842956" w:rsidRDefault="004A506C" w:rsidP="0084295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206F" w14:textId="77777777" w:rsidR="004A506C" w:rsidRPr="00842956" w:rsidRDefault="004A506C" w:rsidP="00842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780" w14:textId="77777777" w:rsidR="007A00FB" w:rsidRPr="007A00FB" w:rsidRDefault="007A00FB" w:rsidP="007A00FB">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3148" w14:textId="77777777" w:rsidR="004A506C" w:rsidRPr="00842956" w:rsidRDefault="004A506C" w:rsidP="0084295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AD1E" w14:textId="77777777" w:rsidR="007505DA" w:rsidRPr="00842956" w:rsidRDefault="007505DA" w:rsidP="0084295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1FE4" w14:textId="77777777" w:rsidR="007505DA" w:rsidRPr="00842956" w:rsidRDefault="007505DA" w:rsidP="0084295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6E52" w14:textId="77777777" w:rsidR="007505DA" w:rsidRPr="00842956" w:rsidRDefault="007505DA" w:rsidP="0084295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7603" w14:textId="77777777" w:rsidR="007505DA" w:rsidRPr="00842956" w:rsidRDefault="007505DA" w:rsidP="0084295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163F" w14:textId="77777777" w:rsidR="007505DA" w:rsidRPr="00842956" w:rsidRDefault="007505DA" w:rsidP="0084295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78A5" w14:textId="77777777" w:rsidR="007505DA" w:rsidRPr="00842956" w:rsidRDefault="007505DA" w:rsidP="0084295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E292" w14:textId="77777777" w:rsidR="007505DA" w:rsidRPr="00842956" w:rsidRDefault="007505DA" w:rsidP="0084295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FE9C" w14:textId="77777777" w:rsidR="007505DA" w:rsidRPr="00842956" w:rsidRDefault="007505DA" w:rsidP="0084295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2668" w14:textId="77777777" w:rsidR="007505DA" w:rsidRPr="00842956" w:rsidRDefault="007505DA" w:rsidP="008429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9AC0" w14:textId="77777777" w:rsidR="007505DA" w:rsidRPr="00842956" w:rsidRDefault="007505DA" w:rsidP="0084295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7730" w14:textId="77777777" w:rsidR="007505DA" w:rsidRPr="00842956" w:rsidRDefault="007505DA" w:rsidP="0084295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3886" w14:textId="77777777" w:rsidR="007505DA" w:rsidRPr="00842956" w:rsidRDefault="007505DA" w:rsidP="0084295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6AC84" w14:textId="77777777" w:rsidR="007505DA" w:rsidRPr="00842956" w:rsidRDefault="007505DA" w:rsidP="0084295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DE1C" w14:textId="77777777" w:rsidR="007505DA" w:rsidRPr="00842956" w:rsidRDefault="007505DA" w:rsidP="0084295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4300" w14:textId="77777777" w:rsidR="007505DA" w:rsidRPr="00842956" w:rsidRDefault="007505DA" w:rsidP="0084295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536A" w14:textId="77777777" w:rsidR="007505DA" w:rsidRPr="00842956" w:rsidRDefault="007505DA" w:rsidP="0084295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ED1D" w14:textId="77777777" w:rsidR="007505DA" w:rsidRPr="00842956" w:rsidRDefault="007505DA" w:rsidP="0084295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F834" w14:textId="77777777" w:rsidR="007505DA" w:rsidRPr="00842956" w:rsidRDefault="007505DA" w:rsidP="0084295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C01E" w14:textId="77777777" w:rsidR="007505DA" w:rsidRPr="00842956" w:rsidRDefault="007505DA" w:rsidP="0084295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D4B0" w14:textId="77777777" w:rsidR="007505DA" w:rsidRPr="00842956" w:rsidRDefault="007505DA" w:rsidP="008429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EBAF" w14:textId="3E3FA882" w:rsidR="007505DA" w:rsidRPr="00842956" w:rsidRDefault="007505DA" w:rsidP="0084295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202A" w14:textId="77777777" w:rsidR="007505DA" w:rsidRPr="00842956" w:rsidRDefault="007505DA" w:rsidP="0084295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496D" w14:textId="77777777" w:rsidR="007505DA" w:rsidRPr="00842956" w:rsidRDefault="007505DA" w:rsidP="0084295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91FB" w14:textId="77777777" w:rsidR="007505DA" w:rsidRPr="00842956" w:rsidRDefault="007505DA" w:rsidP="0084295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D13C" w14:textId="77777777" w:rsidR="007505DA" w:rsidRPr="00842956" w:rsidRDefault="007505DA" w:rsidP="0084295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B9D5" w14:textId="77777777" w:rsidR="007505DA" w:rsidRPr="00842956" w:rsidRDefault="007505DA" w:rsidP="0084295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54ED" w14:textId="77777777" w:rsidR="007505DA" w:rsidRPr="00842956" w:rsidRDefault="007505DA" w:rsidP="0084295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E420" w14:textId="77777777" w:rsidR="007505DA" w:rsidRPr="00842956" w:rsidRDefault="007505DA" w:rsidP="0084295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7B6A" w14:textId="77777777" w:rsidR="007505DA" w:rsidRPr="00842956" w:rsidRDefault="007505DA" w:rsidP="0084295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89B9" w14:textId="77777777" w:rsidR="007505DA" w:rsidRPr="00842956" w:rsidRDefault="007505DA" w:rsidP="0084295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F23A" w14:textId="77777777" w:rsidR="007505DA" w:rsidRPr="00842956" w:rsidRDefault="007505DA" w:rsidP="008429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D055" w14:textId="77777777" w:rsidR="007505DA" w:rsidRPr="00842956" w:rsidRDefault="007505DA" w:rsidP="0084295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7632" w14:textId="77777777" w:rsidR="007505DA" w:rsidRPr="00842956" w:rsidRDefault="007505DA" w:rsidP="0084295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E372" w14:textId="77777777" w:rsidR="007505DA" w:rsidRPr="00842956" w:rsidRDefault="007505DA" w:rsidP="0084295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0A17" w14:textId="77777777" w:rsidR="007505DA" w:rsidRPr="00842956" w:rsidRDefault="007505DA" w:rsidP="0084295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6D8F" w14:textId="77777777" w:rsidR="007505DA" w:rsidRPr="00842956" w:rsidRDefault="007505DA" w:rsidP="0084295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4F119" w14:textId="77777777" w:rsidR="007505DA" w:rsidRPr="00842956" w:rsidRDefault="007505DA" w:rsidP="0084295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E8D5" w14:textId="77777777" w:rsidR="007505DA" w:rsidRPr="00842956" w:rsidRDefault="007505DA" w:rsidP="0084295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14DF" w14:textId="77777777" w:rsidR="007505DA" w:rsidRPr="00842956" w:rsidRDefault="007505DA" w:rsidP="0084295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940F" w14:textId="77777777" w:rsidR="007505DA" w:rsidRPr="00842956" w:rsidRDefault="007505DA" w:rsidP="0084295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9D75" w14:textId="77777777" w:rsidR="007505DA" w:rsidRPr="00842956" w:rsidRDefault="007505DA" w:rsidP="0084295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B250" w14:textId="77777777" w:rsidR="007505DA" w:rsidRPr="00842956" w:rsidRDefault="007505DA" w:rsidP="008429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9007" w14:textId="77777777" w:rsidR="007505DA" w:rsidRPr="00842956" w:rsidRDefault="007505DA" w:rsidP="0084295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C10D" w14:textId="77777777" w:rsidR="007505DA" w:rsidRPr="00842956" w:rsidRDefault="007505DA" w:rsidP="0084295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1459" w14:textId="77777777" w:rsidR="007505DA" w:rsidRPr="00842956" w:rsidRDefault="007505DA" w:rsidP="0084295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157F" w14:textId="77777777" w:rsidR="007505DA" w:rsidRPr="00842956" w:rsidRDefault="007505DA" w:rsidP="0084295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8613" w14:textId="77777777" w:rsidR="007505DA" w:rsidRPr="00842956" w:rsidRDefault="007505DA" w:rsidP="0084295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24B1" w14:textId="77777777" w:rsidR="007505DA" w:rsidRPr="00842956" w:rsidRDefault="007505DA" w:rsidP="0084295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4756" w14:textId="77777777" w:rsidR="007505DA" w:rsidRPr="00842956" w:rsidRDefault="007505DA" w:rsidP="0084295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D9EF" w14:textId="77777777" w:rsidR="007505DA" w:rsidRPr="00842956" w:rsidRDefault="007505DA" w:rsidP="0084295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5041" w14:textId="77777777" w:rsidR="007505DA" w:rsidRPr="00842956" w:rsidRDefault="007505DA" w:rsidP="0084295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BB6A" w14:textId="77777777" w:rsidR="007505DA" w:rsidRPr="00842956" w:rsidRDefault="007505DA" w:rsidP="0084295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AB7E" w14:textId="77777777" w:rsidR="007505DA" w:rsidRPr="00842956" w:rsidRDefault="007505DA" w:rsidP="008429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F6ED" w14:textId="77777777" w:rsidR="007505DA" w:rsidRPr="00842956" w:rsidRDefault="007505DA" w:rsidP="0084295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4327" w14:textId="77777777" w:rsidR="007505DA" w:rsidRPr="00842956" w:rsidRDefault="007505DA" w:rsidP="0084295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7C3C" w14:textId="77777777" w:rsidR="007505DA" w:rsidRPr="00842956" w:rsidRDefault="007505DA" w:rsidP="0084295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4BDF" w14:textId="77777777" w:rsidR="007505DA" w:rsidRPr="00842956" w:rsidRDefault="007505DA" w:rsidP="0084295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8C0D" w14:textId="77777777" w:rsidR="007505DA" w:rsidRPr="00842956" w:rsidRDefault="007505DA" w:rsidP="0084295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A57C" w14:textId="77777777" w:rsidR="007505DA" w:rsidRPr="00842956" w:rsidRDefault="007505DA" w:rsidP="0084295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155E" w14:textId="77777777" w:rsidR="007505DA" w:rsidRPr="00842956" w:rsidRDefault="007505DA" w:rsidP="0084295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0230" w14:textId="77777777" w:rsidR="007505DA" w:rsidRPr="00842956" w:rsidRDefault="007505DA" w:rsidP="0084295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811DD" w14:textId="77777777" w:rsidR="007505DA" w:rsidRPr="00842956" w:rsidRDefault="007505DA" w:rsidP="0084295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AB82" w14:textId="77777777" w:rsidR="007505DA" w:rsidRPr="00842956" w:rsidRDefault="007505DA" w:rsidP="0084295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EDE1" w14:textId="77777777" w:rsidR="007505DA" w:rsidRPr="00842956" w:rsidRDefault="007505DA" w:rsidP="008429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0068" w14:textId="77777777" w:rsidR="007505DA" w:rsidRPr="00842956" w:rsidRDefault="007505DA" w:rsidP="0084295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01744" w14:textId="77777777" w:rsidR="007505DA" w:rsidRPr="00842956" w:rsidRDefault="007505DA" w:rsidP="0084295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C98B" w14:textId="77777777" w:rsidR="007505DA" w:rsidRPr="00842956" w:rsidRDefault="007505DA" w:rsidP="00842956">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AC39" w14:textId="77777777" w:rsidR="007505DA" w:rsidRPr="00842956" w:rsidRDefault="007505DA" w:rsidP="00842956">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FDC3" w14:textId="77777777" w:rsidR="007505DA" w:rsidRPr="00842956" w:rsidRDefault="007505DA" w:rsidP="0084295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FDC7" w14:textId="77777777" w:rsidR="007505DA" w:rsidRPr="00842956" w:rsidRDefault="007505DA" w:rsidP="00842956">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156D" w14:textId="77777777" w:rsidR="007505DA" w:rsidRPr="00842956" w:rsidRDefault="007505DA" w:rsidP="00842956">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55D4" w14:textId="77777777" w:rsidR="007505DA" w:rsidRPr="00842956" w:rsidRDefault="007505DA" w:rsidP="00842956">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21AA8" w14:textId="77777777" w:rsidR="007505DA" w:rsidRPr="00842956" w:rsidRDefault="007505DA" w:rsidP="00842956">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A4FB" w14:textId="77777777" w:rsidR="007505DA" w:rsidRPr="00842956" w:rsidRDefault="007505DA" w:rsidP="00842956">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07E9" w14:textId="77777777" w:rsidR="007505DA" w:rsidRPr="00842956" w:rsidRDefault="007505DA" w:rsidP="00842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FEE303"/>
    <w:multiLevelType w:val="hybridMultilevel"/>
    <w:tmpl w:val="AFD8938C"/>
    <w:lvl w:ilvl="0" w:tplc="0FD6F8F8">
      <w:start w:val="1"/>
      <w:numFmt w:val="bullet"/>
      <w:lvlText w:val="-"/>
      <w:lvlJc w:val="left"/>
      <w:pPr>
        <w:ind w:left="720" w:hanging="360"/>
      </w:pPr>
      <w:rPr>
        <w:rFonts w:ascii="Calibri" w:hAnsi="Calibri" w:hint="default"/>
      </w:rPr>
    </w:lvl>
    <w:lvl w:ilvl="1" w:tplc="EE92FD26">
      <w:start w:val="1"/>
      <w:numFmt w:val="bullet"/>
      <w:lvlText w:val="o"/>
      <w:lvlJc w:val="left"/>
      <w:pPr>
        <w:ind w:left="1440" w:hanging="360"/>
      </w:pPr>
      <w:rPr>
        <w:rFonts w:ascii="Courier New" w:hAnsi="Courier New" w:hint="default"/>
      </w:rPr>
    </w:lvl>
    <w:lvl w:ilvl="2" w:tplc="48C4E92E">
      <w:start w:val="1"/>
      <w:numFmt w:val="bullet"/>
      <w:lvlText w:val=""/>
      <w:lvlJc w:val="left"/>
      <w:pPr>
        <w:ind w:left="2160" w:hanging="360"/>
      </w:pPr>
      <w:rPr>
        <w:rFonts w:ascii="Wingdings" w:hAnsi="Wingdings" w:hint="default"/>
      </w:rPr>
    </w:lvl>
    <w:lvl w:ilvl="3" w:tplc="187E03E8">
      <w:start w:val="1"/>
      <w:numFmt w:val="bullet"/>
      <w:lvlText w:val=""/>
      <w:lvlJc w:val="left"/>
      <w:pPr>
        <w:ind w:left="2880" w:hanging="360"/>
      </w:pPr>
      <w:rPr>
        <w:rFonts w:ascii="Symbol" w:hAnsi="Symbol" w:hint="default"/>
      </w:rPr>
    </w:lvl>
    <w:lvl w:ilvl="4" w:tplc="3B28CD62">
      <w:start w:val="1"/>
      <w:numFmt w:val="bullet"/>
      <w:lvlText w:val="o"/>
      <w:lvlJc w:val="left"/>
      <w:pPr>
        <w:ind w:left="3600" w:hanging="360"/>
      </w:pPr>
      <w:rPr>
        <w:rFonts w:ascii="Courier New" w:hAnsi="Courier New" w:hint="default"/>
      </w:rPr>
    </w:lvl>
    <w:lvl w:ilvl="5" w:tplc="CA3AAE0A">
      <w:start w:val="1"/>
      <w:numFmt w:val="bullet"/>
      <w:lvlText w:val=""/>
      <w:lvlJc w:val="left"/>
      <w:pPr>
        <w:ind w:left="4320" w:hanging="360"/>
      </w:pPr>
      <w:rPr>
        <w:rFonts w:ascii="Wingdings" w:hAnsi="Wingdings" w:hint="default"/>
      </w:rPr>
    </w:lvl>
    <w:lvl w:ilvl="6" w:tplc="5C86D38C">
      <w:start w:val="1"/>
      <w:numFmt w:val="bullet"/>
      <w:lvlText w:val=""/>
      <w:lvlJc w:val="left"/>
      <w:pPr>
        <w:ind w:left="5040" w:hanging="360"/>
      </w:pPr>
      <w:rPr>
        <w:rFonts w:ascii="Symbol" w:hAnsi="Symbol" w:hint="default"/>
      </w:rPr>
    </w:lvl>
    <w:lvl w:ilvl="7" w:tplc="4CAAAB94">
      <w:start w:val="1"/>
      <w:numFmt w:val="bullet"/>
      <w:lvlText w:val="o"/>
      <w:lvlJc w:val="left"/>
      <w:pPr>
        <w:ind w:left="5760" w:hanging="360"/>
      </w:pPr>
      <w:rPr>
        <w:rFonts w:ascii="Courier New" w:hAnsi="Courier New" w:hint="default"/>
      </w:rPr>
    </w:lvl>
    <w:lvl w:ilvl="8" w:tplc="D2C42F8A">
      <w:start w:val="1"/>
      <w:numFmt w:val="bullet"/>
      <w:lvlText w:val=""/>
      <w:lvlJc w:val="left"/>
      <w:pPr>
        <w:ind w:left="6480" w:hanging="360"/>
      </w:pPr>
      <w:rPr>
        <w:rFonts w:ascii="Wingdings" w:hAnsi="Wingdings" w:hint="default"/>
      </w:rPr>
    </w:lvl>
  </w:abstractNum>
  <w:abstractNum w:abstractNumId="9" w15:restartNumberingAfterBreak="0">
    <w:nsid w:val="03B8A828"/>
    <w:multiLevelType w:val="hybridMultilevel"/>
    <w:tmpl w:val="FFFFFFFF"/>
    <w:lvl w:ilvl="0" w:tplc="1FDA6920">
      <w:start w:val="1"/>
      <w:numFmt w:val="bullet"/>
      <w:lvlText w:val="·"/>
      <w:lvlJc w:val="left"/>
      <w:pPr>
        <w:ind w:left="720" w:hanging="360"/>
      </w:pPr>
      <w:rPr>
        <w:rFonts w:ascii="Symbol" w:hAnsi="Symbol" w:hint="default"/>
      </w:rPr>
    </w:lvl>
    <w:lvl w:ilvl="1" w:tplc="64326530">
      <w:start w:val="1"/>
      <w:numFmt w:val="bullet"/>
      <w:lvlText w:val="o"/>
      <w:lvlJc w:val="left"/>
      <w:pPr>
        <w:ind w:left="1440" w:hanging="360"/>
      </w:pPr>
      <w:rPr>
        <w:rFonts w:ascii="Courier New" w:hAnsi="Courier New" w:hint="default"/>
      </w:rPr>
    </w:lvl>
    <w:lvl w:ilvl="2" w:tplc="6682EEEE">
      <w:start w:val="1"/>
      <w:numFmt w:val="bullet"/>
      <w:lvlText w:val=""/>
      <w:lvlJc w:val="left"/>
      <w:pPr>
        <w:ind w:left="2160" w:hanging="360"/>
      </w:pPr>
      <w:rPr>
        <w:rFonts w:ascii="Wingdings" w:hAnsi="Wingdings" w:hint="default"/>
      </w:rPr>
    </w:lvl>
    <w:lvl w:ilvl="3" w:tplc="C862DF3E">
      <w:start w:val="1"/>
      <w:numFmt w:val="bullet"/>
      <w:lvlText w:val=""/>
      <w:lvlJc w:val="left"/>
      <w:pPr>
        <w:ind w:left="2880" w:hanging="360"/>
      </w:pPr>
      <w:rPr>
        <w:rFonts w:ascii="Symbol" w:hAnsi="Symbol" w:hint="default"/>
      </w:rPr>
    </w:lvl>
    <w:lvl w:ilvl="4" w:tplc="C70211A2">
      <w:start w:val="1"/>
      <w:numFmt w:val="bullet"/>
      <w:lvlText w:val="o"/>
      <w:lvlJc w:val="left"/>
      <w:pPr>
        <w:ind w:left="3600" w:hanging="360"/>
      </w:pPr>
      <w:rPr>
        <w:rFonts w:ascii="Courier New" w:hAnsi="Courier New" w:hint="default"/>
      </w:rPr>
    </w:lvl>
    <w:lvl w:ilvl="5" w:tplc="F6EEAF2A">
      <w:start w:val="1"/>
      <w:numFmt w:val="bullet"/>
      <w:lvlText w:val=""/>
      <w:lvlJc w:val="left"/>
      <w:pPr>
        <w:ind w:left="4320" w:hanging="360"/>
      </w:pPr>
      <w:rPr>
        <w:rFonts w:ascii="Wingdings" w:hAnsi="Wingdings" w:hint="default"/>
      </w:rPr>
    </w:lvl>
    <w:lvl w:ilvl="6" w:tplc="5F00D8D2">
      <w:start w:val="1"/>
      <w:numFmt w:val="bullet"/>
      <w:lvlText w:val=""/>
      <w:lvlJc w:val="left"/>
      <w:pPr>
        <w:ind w:left="5040" w:hanging="360"/>
      </w:pPr>
      <w:rPr>
        <w:rFonts w:ascii="Symbol" w:hAnsi="Symbol" w:hint="default"/>
      </w:rPr>
    </w:lvl>
    <w:lvl w:ilvl="7" w:tplc="98B25DEE">
      <w:start w:val="1"/>
      <w:numFmt w:val="bullet"/>
      <w:lvlText w:val="o"/>
      <w:lvlJc w:val="left"/>
      <w:pPr>
        <w:ind w:left="5760" w:hanging="360"/>
      </w:pPr>
      <w:rPr>
        <w:rFonts w:ascii="Courier New" w:hAnsi="Courier New" w:hint="default"/>
      </w:rPr>
    </w:lvl>
    <w:lvl w:ilvl="8" w:tplc="D4E27898">
      <w:start w:val="1"/>
      <w:numFmt w:val="bullet"/>
      <w:lvlText w:val=""/>
      <w:lvlJc w:val="left"/>
      <w:pPr>
        <w:ind w:left="6480" w:hanging="360"/>
      </w:pPr>
      <w:rPr>
        <w:rFonts w:ascii="Wingdings" w:hAnsi="Wingdings" w:hint="default"/>
      </w:rPr>
    </w:lvl>
  </w:abstractNum>
  <w:abstractNum w:abstractNumId="10" w15:restartNumberingAfterBreak="0">
    <w:nsid w:val="05331AF7"/>
    <w:multiLevelType w:val="hybridMultilevel"/>
    <w:tmpl w:val="4F72277E"/>
    <w:lvl w:ilvl="0" w:tplc="63229EF4">
      <w:start w:val="1"/>
      <w:numFmt w:val="bullet"/>
      <w:lvlText w:val=""/>
      <w:lvlJc w:val="left"/>
      <w:pPr>
        <w:ind w:left="720" w:hanging="360"/>
      </w:pPr>
      <w:rPr>
        <w:rFonts w:ascii="Symbol" w:hAnsi="Symbol"/>
      </w:rPr>
    </w:lvl>
    <w:lvl w:ilvl="1" w:tplc="89EE1022">
      <w:start w:val="1"/>
      <w:numFmt w:val="bullet"/>
      <w:lvlText w:val=""/>
      <w:lvlJc w:val="left"/>
      <w:pPr>
        <w:ind w:left="720" w:hanging="360"/>
      </w:pPr>
      <w:rPr>
        <w:rFonts w:ascii="Symbol" w:hAnsi="Symbol"/>
      </w:rPr>
    </w:lvl>
    <w:lvl w:ilvl="2" w:tplc="4822C304">
      <w:start w:val="1"/>
      <w:numFmt w:val="bullet"/>
      <w:lvlText w:val=""/>
      <w:lvlJc w:val="left"/>
      <w:pPr>
        <w:ind w:left="720" w:hanging="360"/>
      </w:pPr>
      <w:rPr>
        <w:rFonts w:ascii="Symbol" w:hAnsi="Symbol"/>
      </w:rPr>
    </w:lvl>
    <w:lvl w:ilvl="3" w:tplc="1636831A">
      <w:start w:val="1"/>
      <w:numFmt w:val="bullet"/>
      <w:lvlText w:val=""/>
      <w:lvlJc w:val="left"/>
      <w:pPr>
        <w:ind w:left="720" w:hanging="360"/>
      </w:pPr>
      <w:rPr>
        <w:rFonts w:ascii="Symbol" w:hAnsi="Symbol"/>
      </w:rPr>
    </w:lvl>
    <w:lvl w:ilvl="4" w:tplc="FACC0FB8">
      <w:start w:val="1"/>
      <w:numFmt w:val="bullet"/>
      <w:lvlText w:val=""/>
      <w:lvlJc w:val="left"/>
      <w:pPr>
        <w:ind w:left="720" w:hanging="360"/>
      </w:pPr>
      <w:rPr>
        <w:rFonts w:ascii="Symbol" w:hAnsi="Symbol"/>
      </w:rPr>
    </w:lvl>
    <w:lvl w:ilvl="5" w:tplc="4C6C21AE">
      <w:start w:val="1"/>
      <w:numFmt w:val="bullet"/>
      <w:lvlText w:val=""/>
      <w:lvlJc w:val="left"/>
      <w:pPr>
        <w:ind w:left="720" w:hanging="360"/>
      </w:pPr>
      <w:rPr>
        <w:rFonts w:ascii="Symbol" w:hAnsi="Symbol"/>
      </w:rPr>
    </w:lvl>
    <w:lvl w:ilvl="6" w:tplc="80B2C6C8">
      <w:start w:val="1"/>
      <w:numFmt w:val="bullet"/>
      <w:lvlText w:val=""/>
      <w:lvlJc w:val="left"/>
      <w:pPr>
        <w:ind w:left="720" w:hanging="360"/>
      </w:pPr>
      <w:rPr>
        <w:rFonts w:ascii="Symbol" w:hAnsi="Symbol"/>
      </w:rPr>
    </w:lvl>
    <w:lvl w:ilvl="7" w:tplc="A300A8A0">
      <w:start w:val="1"/>
      <w:numFmt w:val="bullet"/>
      <w:lvlText w:val=""/>
      <w:lvlJc w:val="left"/>
      <w:pPr>
        <w:ind w:left="720" w:hanging="360"/>
      </w:pPr>
      <w:rPr>
        <w:rFonts w:ascii="Symbol" w:hAnsi="Symbol"/>
      </w:rPr>
    </w:lvl>
    <w:lvl w:ilvl="8" w:tplc="84A889C6">
      <w:start w:val="1"/>
      <w:numFmt w:val="bullet"/>
      <w:lvlText w:val=""/>
      <w:lvlJc w:val="left"/>
      <w:pPr>
        <w:ind w:left="720" w:hanging="360"/>
      </w:pPr>
      <w:rPr>
        <w:rFonts w:ascii="Symbol" w:hAnsi="Symbol"/>
      </w:rPr>
    </w:lvl>
  </w:abstractNum>
  <w:abstractNum w:abstractNumId="11" w15:restartNumberingAfterBreak="0">
    <w:nsid w:val="0DB64310"/>
    <w:multiLevelType w:val="hybridMultilevel"/>
    <w:tmpl w:val="E93E8F0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5CCC3F"/>
    <w:multiLevelType w:val="hybridMultilevel"/>
    <w:tmpl w:val="FFFFFFFF"/>
    <w:lvl w:ilvl="0" w:tplc="A4106CE4">
      <w:start w:val="1"/>
      <w:numFmt w:val="bullet"/>
      <w:lvlText w:val="·"/>
      <w:lvlJc w:val="left"/>
      <w:pPr>
        <w:ind w:left="720" w:hanging="360"/>
      </w:pPr>
      <w:rPr>
        <w:rFonts w:ascii="Symbol" w:hAnsi="Symbol" w:hint="default"/>
      </w:rPr>
    </w:lvl>
    <w:lvl w:ilvl="1" w:tplc="D2A82108">
      <w:start w:val="1"/>
      <w:numFmt w:val="bullet"/>
      <w:lvlText w:val="o"/>
      <w:lvlJc w:val="left"/>
      <w:pPr>
        <w:ind w:left="1440" w:hanging="360"/>
      </w:pPr>
      <w:rPr>
        <w:rFonts w:ascii="Courier New" w:hAnsi="Courier New" w:hint="default"/>
      </w:rPr>
    </w:lvl>
    <w:lvl w:ilvl="2" w:tplc="895C0BA4">
      <w:start w:val="1"/>
      <w:numFmt w:val="bullet"/>
      <w:lvlText w:val=""/>
      <w:lvlJc w:val="left"/>
      <w:pPr>
        <w:ind w:left="2160" w:hanging="360"/>
      </w:pPr>
      <w:rPr>
        <w:rFonts w:ascii="Wingdings" w:hAnsi="Wingdings" w:hint="default"/>
      </w:rPr>
    </w:lvl>
    <w:lvl w:ilvl="3" w:tplc="02EC795A">
      <w:start w:val="1"/>
      <w:numFmt w:val="bullet"/>
      <w:lvlText w:val=""/>
      <w:lvlJc w:val="left"/>
      <w:pPr>
        <w:ind w:left="2880" w:hanging="360"/>
      </w:pPr>
      <w:rPr>
        <w:rFonts w:ascii="Symbol" w:hAnsi="Symbol" w:hint="default"/>
      </w:rPr>
    </w:lvl>
    <w:lvl w:ilvl="4" w:tplc="F1BA34E0">
      <w:start w:val="1"/>
      <w:numFmt w:val="bullet"/>
      <w:lvlText w:val="o"/>
      <w:lvlJc w:val="left"/>
      <w:pPr>
        <w:ind w:left="3600" w:hanging="360"/>
      </w:pPr>
      <w:rPr>
        <w:rFonts w:ascii="Courier New" w:hAnsi="Courier New" w:hint="default"/>
      </w:rPr>
    </w:lvl>
    <w:lvl w:ilvl="5" w:tplc="DD56DC4E">
      <w:start w:val="1"/>
      <w:numFmt w:val="bullet"/>
      <w:lvlText w:val=""/>
      <w:lvlJc w:val="left"/>
      <w:pPr>
        <w:ind w:left="4320" w:hanging="360"/>
      </w:pPr>
      <w:rPr>
        <w:rFonts w:ascii="Wingdings" w:hAnsi="Wingdings" w:hint="default"/>
      </w:rPr>
    </w:lvl>
    <w:lvl w:ilvl="6" w:tplc="244E17E4">
      <w:start w:val="1"/>
      <w:numFmt w:val="bullet"/>
      <w:lvlText w:val=""/>
      <w:lvlJc w:val="left"/>
      <w:pPr>
        <w:ind w:left="5040" w:hanging="360"/>
      </w:pPr>
      <w:rPr>
        <w:rFonts w:ascii="Symbol" w:hAnsi="Symbol" w:hint="default"/>
      </w:rPr>
    </w:lvl>
    <w:lvl w:ilvl="7" w:tplc="CEC4ECB2">
      <w:start w:val="1"/>
      <w:numFmt w:val="bullet"/>
      <w:lvlText w:val="o"/>
      <w:lvlJc w:val="left"/>
      <w:pPr>
        <w:ind w:left="5760" w:hanging="360"/>
      </w:pPr>
      <w:rPr>
        <w:rFonts w:ascii="Courier New" w:hAnsi="Courier New" w:hint="default"/>
      </w:rPr>
    </w:lvl>
    <w:lvl w:ilvl="8" w:tplc="0E309DE6">
      <w:start w:val="1"/>
      <w:numFmt w:val="bullet"/>
      <w:lvlText w:val=""/>
      <w:lvlJc w:val="left"/>
      <w:pPr>
        <w:ind w:left="6480" w:hanging="360"/>
      </w:pPr>
      <w:rPr>
        <w:rFonts w:ascii="Wingdings" w:hAnsi="Wingdings" w:hint="default"/>
      </w:rPr>
    </w:lvl>
  </w:abstractNum>
  <w:abstractNum w:abstractNumId="14" w15:restartNumberingAfterBreak="0">
    <w:nsid w:val="1F6C6B9D"/>
    <w:multiLevelType w:val="hybridMultilevel"/>
    <w:tmpl w:val="FFFFFFFF"/>
    <w:lvl w:ilvl="0" w:tplc="0ADA960C">
      <w:start w:val="1"/>
      <w:numFmt w:val="bullet"/>
      <w:lvlText w:val="·"/>
      <w:lvlJc w:val="left"/>
      <w:pPr>
        <w:ind w:left="720" w:hanging="360"/>
      </w:pPr>
      <w:rPr>
        <w:rFonts w:ascii="Symbol" w:hAnsi="Symbol" w:hint="default"/>
      </w:rPr>
    </w:lvl>
    <w:lvl w:ilvl="1" w:tplc="DAF22D8E">
      <w:start w:val="1"/>
      <w:numFmt w:val="bullet"/>
      <w:lvlText w:val="o"/>
      <w:lvlJc w:val="left"/>
      <w:pPr>
        <w:ind w:left="1440" w:hanging="360"/>
      </w:pPr>
      <w:rPr>
        <w:rFonts w:ascii="Courier New" w:hAnsi="Courier New" w:hint="default"/>
      </w:rPr>
    </w:lvl>
    <w:lvl w:ilvl="2" w:tplc="F13AEA22">
      <w:start w:val="1"/>
      <w:numFmt w:val="bullet"/>
      <w:lvlText w:val=""/>
      <w:lvlJc w:val="left"/>
      <w:pPr>
        <w:ind w:left="2160" w:hanging="360"/>
      </w:pPr>
      <w:rPr>
        <w:rFonts w:ascii="Wingdings" w:hAnsi="Wingdings" w:hint="default"/>
      </w:rPr>
    </w:lvl>
    <w:lvl w:ilvl="3" w:tplc="C3C2999A">
      <w:start w:val="1"/>
      <w:numFmt w:val="bullet"/>
      <w:lvlText w:val=""/>
      <w:lvlJc w:val="left"/>
      <w:pPr>
        <w:ind w:left="2880" w:hanging="360"/>
      </w:pPr>
      <w:rPr>
        <w:rFonts w:ascii="Symbol" w:hAnsi="Symbol" w:hint="default"/>
      </w:rPr>
    </w:lvl>
    <w:lvl w:ilvl="4" w:tplc="4AB2078A">
      <w:start w:val="1"/>
      <w:numFmt w:val="bullet"/>
      <w:lvlText w:val="o"/>
      <w:lvlJc w:val="left"/>
      <w:pPr>
        <w:ind w:left="3600" w:hanging="360"/>
      </w:pPr>
      <w:rPr>
        <w:rFonts w:ascii="Courier New" w:hAnsi="Courier New" w:hint="default"/>
      </w:rPr>
    </w:lvl>
    <w:lvl w:ilvl="5" w:tplc="82207D62">
      <w:start w:val="1"/>
      <w:numFmt w:val="bullet"/>
      <w:lvlText w:val=""/>
      <w:lvlJc w:val="left"/>
      <w:pPr>
        <w:ind w:left="4320" w:hanging="360"/>
      </w:pPr>
      <w:rPr>
        <w:rFonts w:ascii="Wingdings" w:hAnsi="Wingdings" w:hint="default"/>
      </w:rPr>
    </w:lvl>
    <w:lvl w:ilvl="6" w:tplc="9F922916">
      <w:start w:val="1"/>
      <w:numFmt w:val="bullet"/>
      <w:lvlText w:val=""/>
      <w:lvlJc w:val="left"/>
      <w:pPr>
        <w:ind w:left="5040" w:hanging="360"/>
      </w:pPr>
      <w:rPr>
        <w:rFonts w:ascii="Symbol" w:hAnsi="Symbol" w:hint="default"/>
      </w:rPr>
    </w:lvl>
    <w:lvl w:ilvl="7" w:tplc="753C1D62">
      <w:start w:val="1"/>
      <w:numFmt w:val="bullet"/>
      <w:lvlText w:val="o"/>
      <w:lvlJc w:val="left"/>
      <w:pPr>
        <w:ind w:left="5760" w:hanging="360"/>
      </w:pPr>
      <w:rPr>
        <w:rFonts w:ascii="Courier New" w:hAnsi="Courier New" w:hint="default"/>
      </w:rPr>
    </w:lvl>
    <w:lvl w:ilvl="8" w:tplc="C200121E">
      <w:start w:val="1"/>
      <w:numFmt w:val="bullet"/>
      <w:lvlText w:val=""/>
      <w:lvlJc w:val="left"/>
      <w:pPr>
        <w:ind w:left="6480" w:hanging="360"/>
      </w:pPr>
      <w:rPr>
        <w:rFonts w:ascii="Wingdings" w:hAnsi="Wingdings" w:hint="default"/>
      </w:rPr>
    </w:lvl>
  </w:abstractNum>
  <w:abstractNum w:abstractNumId="15" w15:restartNumberingAfterBreak="0">
    <w:nsid w:val="1F9B3D54"/>
    <w:multiLevelType w:val="hybridMultilevel"/>
    <w:tmpl w:val="03EE1F80"/>
    <w:lvl w:ilvl="0" w:tplc="CA2C6D3C">
      <w:start w:val="1"/>
      <w:numFmt w:val="bullet"/>
      <w:lvlText w:val=""/>
      <w:lvlJc w:val="left"/>
      <w:pPr>
        <w:ind w:left="720" w:hanging="360"/>
      </w:pPr>
      <w:rPr>
        <w:rFonts w:ascii="Symbol" w:hAnsi="Symbol"/>
      </w:rPr>
    </w:lvl>
    <w:lvl w:ilvl="1" w:tplc="008434A0">
      <w:start w:val="1"/>
      <w:numFmt w:val="bullet"/>
      <w:lvlText w:val=""/>
      <w:lvlJc w:val="left"/>
      <w:pPr>
        <w:ind w:left="720" w:hanging="360"/>
      </w:pPr>
      <w:rPr>
        <w:rFonts w:ascii="Symbol" w:hAnsi="Symbol"/>
      </w:rPr>
    </w:lvl>
    <w:lvl w:ilvl="2" w:tplc="395E53B8">
      <w:start w:val="1"/>
      <w:numFmt w:val="bullet"/>
      <w:lvlText w:val=""/>
      <w:lvlJc w:val="left"/>
      <w:pPr>
        <w:ind w:left="720" w:hanging="360"/>
      </w:pPr>
      <w:rPr>
        <w:rFonts w:ascii="Symbol" w:hAnsi="Symbol"/>
      </w:rPr>
    </w:lvl>
    <w:lvl w:ilvl="3" w:tplc="37728434">
      <w:start w:val="1"/>
      <w:numFmt w:val="bullet"/>
      <w:lvlText w:val=""/>
      <w:lvlJc w:val="left"/>
      <w:pPr>
        <w:ind w:left="720" w:hanging="360"/>
      </w:pPr>
      <w:rPr>
        <w:rFonts w:ascii="Symbol" w:hAnsi="Symbol"/>
      </w:rPr>
    </w:lvl>
    <w:lvl w:ilvl="4" w:tplc="44DAC3E2">
      <w:start w:val="1"/>
      <w:numFmt w:val="bullet"/>
      <w:lvlText w:val=""/>
      <w:lvlJc w:val="left"/>
      <w:pPr>
        <w:ind w:left="720" w:hanging="360"/>
      </w:pPr>
      <w:rPr>
        <w:rFonts w:ascii="Symbol" w:hAnsi="Symbol"/>
      </w:rPr>
    </w:lvl>
    <w:lvl w:ilvl="5" w:tplc="5022BCFC">
      <w:start w:val="1"/>
      <w:numFmt w:val="bullet"/>
      <w:lvlText w:val=""/>
      <w:lvlJc w:val="left"/>
      <w:pPr>
        <w:ind w:left="720" w:hanging="360"/>
      </w:pPr>
      <w:rPr>
        <w:rFonts w:ascii="Symbol" w:hAnsi="Symbol"/>
      </w:rPr>
    </w:lvl>
    <w:lvl w:ilvl="6" w:tplc="90A809FC">
      <w:start w:val="1"/>
      <w:numFmt w:val="bullet"/>
      <w:lvlText w:val=""/>
      <w:lvlJc w:val="left"/>
      <w:pPr>
        <w:ind w:left="720" w:hanging="360"/>
      </w:pPr>
      <w:rPr>
        <w:rFonts w:ascii="Symbol" w:hAnsi="Symbol"/>
      </w:rPr>
    </w:lvl>
    <w:lvl w:ilvl="7" w:tplc="786AF772">
      <w:start w:val="1"/>
      <w:numFmt w:val="bullet"/>
      <w:lvlText w:val=""/>
      <w:lvlJc w:val="left"/>
      <w:pPr>
        <w:ind w:left="720" w:hanging="360"/>
      </w:pPr>
      <w:rPr>
        <w:rFonts w:ascii="Symbol" w:hAnsi="Symbol"/>
      </w:rPr>
    </w:lvl>
    <w:lvl w:ilvl="8" w:tplc="5D9490F6">
      <w:start w:val="1"/>
      <w:numFmt w:val="bullet"/>
      <w:lvlText w:val=""/>
      <w:lvlJc w:val="left"/>
      <w:pPr>
        <w:ind w:left="720" w:hanging="360"/>
      </w:pPr>
      <w:rPr>
        <w:rFonts w:ascii="Symbol" w:hAnsi="Symbol"/>
      </w:rPr>
    </w:lvl>
  </w:abstractNum>
  <w:abstractNum w:abstractNumId="16" w15:restartNumberingAfterBreak="0">
    <w:nsid w:val="22E44180"/>
    <w:multiLevelType w:val="multilevel"/>
    <w:tmpl w:val="A14AFCE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b w:val="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2C1454"/>
    <w:multiLevelType w:val="multilevel"/>
    <w:tmpl w:val="A46090B2"/>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8" w15:restartNumberingAfterBreak="0">
    <w:nsid w:val="27C43A2A"/>
    <w:multiLevelType w:val="hybridMultilevel"/>
    <w:tmpl w:val="FFFFFFFF"/>
    <w:lvl w:ilvl="0" w:tplc="776CD5B6">
      <w:start w:val="1"/>
      <w:numFmt w:val="bullet"/>
      <w:lvlText w:val="·"/>
      <w:lvlJc w:val="left"/>
      <w:pPr>
        <w:ind w:left="720" w:hanging="360"/>
      </w:pPr>
      <w:rPr>
        <w:rFonts w:ascii="Symbol" w:hAnsi="Symbol" w:hint="default"/>
      </w:rPr>
    </w:lvl>
    <w:lvl w:ilvl="1" w:tplc="4558D888">
      <w:start w:val="1"/>
      <w:numFmt w:val="bullet"/>
      <w:lvlText w:val="o"/>
      <w:lvlJc w:val="left"/>
      <w:pPr>
        <w:ind w:left="1440" w:hanging="360"/>
      </w:pPr>
      <w:rPr>
        <w:rFonts w:ascii="Courier New" w:hAnsi="Courier New" w:hint="default"/>
      </w:rPr>
    </w:lvl>
    <w:lvl w:ilvl="2" w:tplc="5AB8AB38">
      <w:start w:val="1"/>
      <w:numFmt w:val="bullet"/>
      <w:lvlText w:val=""/>
      <w:lvlJc w:val="left"/>
      <w:pPr>
        <w:ind w:left="2160" w:hanging="360"/>
      </w:pPr>
      <w:rPr>
        <w:rFonts w:ascii="Wingdings" w:hAnsi="Wingdings" w:hint="default"/>
      </w:rPr>
    </w:lvl>
    <w:lvl w:ilvl="3" w:tplc="2C2C1F00">
      <w:start w:val="1"/>
      <w:numFmt w:val="bullet"/>
      <w:lvlText w:val=""/>
      <w:lvlJc w:val="left"/>
      <w:pPr>
        <w:ind w:left="2880" w:hanging="360"/>
      </w:pPr>
      <w:rPr>
        <w:rFonts w:ascii="Symbol" w:hAnsi="Symbol" w:hint="default"/>
      </w:rPr>
    </w:lvl>
    <w:lvl w:ilvl="4" w:tplc="CC7098FC">
      <w:start w:val="1"/>
      <w:numFmt w:val="bullet"/>
      <w:lvlText w:val="o"/>
      <w:lvlJc w:val="left"/>
      <w:pPr>
        <w:ind w:left="3600" w:hanging="360"/>
      </w:pPr>
      <w:rPr>
        <w:rFonts w:ascii="Courier New" w:hAnsi="Courier New" w:hint="default"/>
      </w:rPr>
    </w:lvl>
    <w:lvl w:ilvl="5" w:tplc="7B0E6E20">
      <w:start w:val="1"/>
      <w:numFmt w:val="bullet"/>
      <w:lvlText w:val=""/>
      <w:lvlJc w:val="left"/>
      <w:pPr>
        <w:ind w:left="4320" w:hanging="360"/>
      </w:pPr>
      <w:rPr>
        <w:rFonts w:ascii="Wingdings" w:hAnsi="Wingdings" w:hint="default"/>
      </w:rPr>
    </w:lvl>
    <w:lvl w:ilvl="6" w:tplc="32A07ED0">
      <w:start w:val="1"/>
      <w:numFmt w:val="bullet"/>
      <w:lvlText w:val=""/>
      <w:lvlJc w:val="left"/>
      <w:pPr>
        <w:ind w:left="5040" w:hanging="360"/>
      </w:pPr>
      <w:rPr>
        <w:rFonts w:ascii="Symbol" w:hAnsi="Symbol" w:hint="default"/>
      </w:rPr>
    </w:lvl>
    <w:lvl w:ilvl="7" w:tplc="91FE5D9C">
      <w:start w:val="1"/>
      <w:numFmt w:val="bullet"/>
      <w:lvlText w:val="o"/>
      <w:lvlJc w:val="left"/>
      <w:pPr>
        <w:ind w:left="5760" w:hanging="360"/>
      </w:pPr>
      <w:rPr>
        <w:rFonts w:ascii="Courier New" w:hAnsi="Courier New" w:hint="default"/>
      </w:rPr>
    </w:lvl>
    <w:lvl w:ilvl="8" w:tplc="B074F884">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41ADEE4"/>
    <w:multiLevelType w:val="hybridMultilevel"/>
    <w:tmpl w:val="FFFFFFFF"/>
    <w:lvl w:ilvl="0" w:tplc="403C89C8">
      <w:start w:val="1"/>
      <w:numFmt w:val="bullet"/>
      <w:lvlText w:val="·"/>
      <w:lvlJc w:val="left"/>
      <w:pPr>
        <w:ind w:left="720" w:hanging="360"/>
      </w:pPr>
      <w:rPr>
        <w:rFonts w:ascii="Symbol" w:hAnsi="Symbol" w:hint="default"/>
      </w:rPr>
    </w:lvl>
    <w:lvl w:ilvl="1" w:tplc="255CBC04">
      <w:start w:val="1"/>
      <w:numFmt w:val="bullet"/>
      <w:lvlText w:val="o"/>
      <w:lvlJc w:val="left"/>
      <w:pPr>
        <w:ind w:left="1440" w:hanging="360"/>
      </w:pPr>
      <w:rPr>
        <w:rFonts w:ascii="Courier New" w:hAnsi="Courier New" w:hint="default"/>
      </w:rPr>
    </w:lvl>
    <w:lvl w:ilvl="2" w:tplc="774055A0">
      <w:start w:val="1"/>
      <w:numFmt w:val="bullet"/>
      <w:lvlText w:val=""/>
      <w:lvlJc w:val="left"/>
      <w:pPr>
        <w:ind w:left="2160" w:hanging="360"/>
      </w:pPr>
      <w:rPr>
        <w:rFonts w:ascii="Wingdings" w:hAnsi="Wingdings" w:hint="default"/>
      </w:rPr>
    </w:lvl>
    <w:lvl w:ilvl="3" w:tplc="708AEC60">
      <w:start w:val="1"/>
      <w:numFmt w:val="bullet"/>
      <w:lvlText w:val=""/>
      <w:lvlJc w:val="left"/>
      <w:pPr>
        <w:ind w:left="2880" w:hanging="360"/>
      </w:pPr>
      <w:rPr>
        <w:rFonts w:ascii="Symbol" w:hAnsi="Symbol" w:hint="default"/>
      </w:rPr>
    </w:lvl>
    <w:lvl w:ilvl="4" w:tplc="D0A611EE">
      <w:start w:val="1"/>
      <w:numFmt w:val="bullet"/>
      <w:lvlText w:val="o"/>
      <w:lvlJc w:val="left"/>
      <w:pPr>
        <w:ind w:left="3600" w:hanging="360"/>
      </w:pPr>
      <w:rPr>
        <w:rFonts w:ascii="Courier New" w:hAnsi="Courier New" w:hint="default"/>
      </w:rPr>
    </w:lvl>
    <w:lvl w:ilvl="5" w:tplc="38C4282E">
      <w:start w:val="1"/>
      <w:numFmt w:val="bullet"/>
      <w:lvlText w:val=""/>
      <w:lvlJc w:val="left"/>
      <w:pPr>
        <w:ind w:left="4320" w:hanging="360"/>
      </w:pPr>
      <w:rPr>
        <w:rFonts w:ascii="Wingdings" w:hAnsi="Wingdings" w:hint="default"/>
      </w:rPr>
    </w:lvl>
    <w:lvl w:ilvl="6" w:tplc="AF0847BE">
      <w:start w:val="1"/>
      <w:numFmt w:val="bullet"/>
      <w:lvlText w:val=""/>
      <w:lvlJc w:val="left"/>
      <w:pPr>
        <w:ind w:left="5040" w:hanging="360"/>
      </w:pPr>
      <w:rPr>
        <w:rFonts w:ascii="Symbol" w:hAnsi="Symbol" w:hint="default"/>
      </w:rPr>
    </w:lvl>
    <w:lvl w:ilvl="7" w:tplc="B99AC308">
      <w:start w:val="1"/>
      <w:numFmt w:val="bullet"/>
      <w:lvlText w:val="o"/>
      <w:lvlJc w:val="left"/>
      <w:pPr>
        <w:ind w:left="5760" w:hanging="360"/>
      </w:pPr>
      <w:rPr>
        <w:rFonts w:ascii="Courier New" w:hAnsi="Courier New" w:hint="default"/>
      </w:rPr>
    </w:lvl>
    <w:lvl w:ilvl="8" w:tplc="B2CE3EFC">
      <w:start w:val="1"/>
      <w:numFmt w:val="bullet"/>
      <w:lvlText w:val=""/>
      <w:lvlJc w:val="left"/>
      <w:pPr>
        <w:ind w:left="6480" w:hanging="360"/>
      </w:pPr>
      <w:rPr>
        <w:rFonts w:ascii="Wingdings" w:hAnsi="Wingdings" w:hint="default"/>
      </w:rPr>
    </w:lvl>
  </w:abstractNum>
  <w:abstractNum w:abstractNumId="22" w15:restartNumberingAfterBreak="0">
    <w:nsid w:val="3C654080"/>
    <w:multiLevelType w:val="hybridMultilevel"/>
    <w:tmpl w:val="67D488FC"/>
    <w:lvl w:ilvl="0" w:tplc="B69AA040">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8F1F0B"/>
    <w:multiLevelType w:val="hybridMultilevel"/>
    <w:tmpl w:val="28C8070E"/>
    <w:lvl w:ilvl="0" w:tplc="0988F10E">
      <w:start w:val="1"/>
      <w:numFmt w:val="bullet"/>
      <w:lvlText w:val=""/>
      <w:lvlJc w:val="left"/>
      <w:pPr>
        <w:ind w:left="720" w:hanging="360"/>
      </w:pPr>
      <w:rPr>
        <w:rFonts w:ascii="Symbol" w:hAnsi="Symbol"/>
      </w:rPr>
    </w:lvl>
    <w:lvl w:ilvl="1" w:tplc="61FA0F2A">
      <w:start w:val="1"/>
      <w:numFmt w:val="bullet"/>
      <w:lvlText w:val=""/>
      <w:lvlJc w:val="left"/>
      <w:pPr>
        <w:ind w:left="720" w:hanging="360"/>
      </w:pPr>
      <w:rPr>
        <w:rFonts w:ascii="Symbol" w:hAnsi="Symbol"/>
      </w:rPr>
    </w:lvl>
    <w:lvl w:ilvl="2" w:tplc="3F8EB530">
      <w:start w:val="1"/>
      <w:numFmt w:val="bullet"/>
      <w:lvlText w:val=""/>
      <w:lvlJc w:val="left"/>
      <w:pPr>
        <w:ind w:left="720" w:hanging="360"/>
      </w:pPr>
      <w:rPr>
        <w:rFonts w:ascii="Symbol" w:hAnsi="Symbol"/>
      </w:rPr>
    </w:lvl>
    <w:lvl w:ilvl="3" w:tplc="A5BCAE02">
      <w:start w:val="1"/>
      <w:numFmt w:val="bullet"/>
      <w:lvlText w:val=""/>
      <w:lvlJc w:val="left"/>
      <w:pPr>
        <w:ind w:left="720" w:hanging="360"/>
      </w:pPr>
      <w:rPr>
        <w:rFonts w:ascii="Symbol" w:hAnsi="Symbol"/>
      </w:rPr>
    </w:lvl>
    <w:lvl w:ilvl="4" w:tplc="FBEAE9F2">
      <w:start w:val="1"/>
      <w:numFmt w:val="bullet"/>
      <w:lvlText w:val=""/>
      <w:lvlJc w:val="left"/>
      <w:pPr>
        <w:ind w:left="720" w:hanging="360"/>
      </w:pPr>
      <w:rPr>
        <w:rFonts w:ascii="Symbol" w:hAnsi="Symbol"/>
      </w:rPr>
    </w:lvl>
    <w:lvl w:ilvl="5" w:tplc="6C847670">
      <w:start w:val="1"/>
      <w:numFmt w:val="bullet"/>
      <w:lvlText w:val=""/>
      <w:lvlJc w:val="left"/>
      <w:pPr>
        <w:ind w:left="720" w:hanging="360"/>
      </w:pPr>
      <w:rPr>
        <w:rFonts w:ascii="Symbol" w:hAnsi="Symbol"/>
      </w:rPr>
    </w:lvl>
    <w:lvl w:ilvl="6" w:tplc="3392D34A">
      <w:start w:val="1"/>
      <w:numFmt w:val="bullet"/>
      <w:lvlText w:val=""/>
      <w:lvlJc w:val="left"/>
      <w:pPr>
        <w:ind w:left="720" w:hanging="360"/>
      </w:pPr>
      <w:rPr>
        <w:rFonts w:ascii="Symbol" w:hAnsi="Symbol"/>
      </w:rPr>
    </w:lvl>
    <w:lvl w:ilvl="7" w:tplc="3BCED490">
      <w:start w:val="1"/>
      <w:numFmt w:val="bullet"/>
      <w:lvlText w:val=""/>
      <w:lvlJc w:val="left"/>
      <w:pPr>
        <w:ind w:left="720" w:hanging="360"/>
      </w:pPr>
      <w:rPr>
        <w:rFonts w:ascii="Symbol" w:hAnsi="Symbol"/>
      </w:rPr>
    </w:lvl>
    <w:lvl w:ilvl="8" w:tplc="35EAC2A0">
      <w:start w:val="1"/>
      <w:numFmt w:val="bullet"/>
      <w:lvlText w:val=""/>
      <w:lvlJc w:val="left"/>
      <w:pPr>
        <w:ind w:left="720" w:hanging="360"/>
      </w:pPr>
      <w:rPr>
        <w:rFonts w:ascii="Symbol" w:hAnsi="Symbol"/>
      </w:rPr>
    </w:lvl>
  </w:abstractNum>
  <w:abstractNum w:abstractNumId="24" w15:restartNumberingAfterBreak="0">
    <w:nsid w:val="400B39DA"/>
    <w:multiLevelType w:val="hybridMultilevel"/>
    <w:tmpl w:val="DEFE74E8"/>
    <w:lvl w:ilvl="0" w:tplc="897E4346">
      <w:start w:val="1"/>
      <w:numFmt w:val="bullet"/>
      <w:lvlText w:val="-"/>
      <w:lvlJc w:val="left"/>
      <w:pPr>
        <w:ind w:left="720" w:hanging="360"/>
      </w:pPr>
      <w:rPr>
        <w:rFonts w:ascii="Calibri" w:hAnsi="Calibri" w:hint="default"/>
      </w:rPr>
    </w:lvl>
    <w:lvl w:ilvl="1" w:tplc="2A427B08">
      <w:start w:val="1"/>
      <w:numFmt w:val="bullet"/>
      <w:lvlText w:val="o"/>
      <w:lvlJc w:val="left"/>
      <w:pPr>
        <w:ind w:left="1440" w:hanging="360"/>
      </w:pPr>
      <w:rPr>
        <w:rFonts w:ascii="Courier New" w:hAnsi="Courier New" w:hint="default"/>
      </w:rPr>
    </w:lvl>
    <w:lvl w:ilvl="2" w:tplc="5D04C222">
      <w:start w:val="1"/>
      <w:numFmt w:val="bullet"/>
      <w:lvlText w:val=""/>
      <w:lvlJc w:val="left"/>
      <w:pPr>
        <w:ind w:left="2160" w:hanging="360"/>
      </w:pPr>
      <w:rPr>
        <w:rFonts w:ascii="Wingdings" w:hAnsi="Wingdings" w:hint="default"/>
      </w:rPr>
    </w:lvl>
    <w:lvl w:ilvl="3" w:tplc="122A4B3A">
      <w:start w:val="1"/>
      <w:numFmt w:val="bullet"/>
      <w:lvlText w:val=""/>
      <w:lvlJc w:val="left"/>
      <w:pPr>
        <w:ind w:left="2880" w:hanging="360"/>
      </w:pPr>
      <w:rPr>
        <w:rFonts w:ascii="Symbol" w:hAnsi="Symbol" w:hint="default"/>
      </w:rPr>
    </w:lvl>
    <w:lvl w:ilvl="4" w:tplc="7F2E8884">
      <w:start w:val="1"/>
      <w:numFmt w:val="bullet"/>
      <w:lvlText w:val="o"/>
      <w:lvlJc w:val="left"/>
      <w:pPr>
        <w:ind w:left="3600" w:hanging="360"/>
      </w:pPr>
      <w:rPr>
        <w:rFonts w:ascii="Courier New" w:hAnsi="Courier New" w:hint="default"/>
      </w:rPr>
    </w:lvl>
    <w:lvl w:ilvl="5" w:tplc="BFA219EA">
      <w:start w:val="1"/>
      <w:numFmt w:val="bullet"/>
      <w:lvlText w:val=""/>
      <w:lvlJc w:val="left"/>
      <w:pPr>
        <w:ind w:left="4320" w:hanging="360"/>
      </w:pPr>
      <w:rPr>
        <w:rFonts w:ascii="Wingdings" w:hAnsi="Wingdings" w:hint="default"/>
      </w:rPr>
    </w:lvl>
    <w:lvl w:ilvl="6" w:tplc="72DE2366">
      <w:start w:val="1"/>
      <w:numFmt w:val="bullet"/>
      <w:lvlText w:val=""/>
      <w:lvlJc w:val="left"/>
      <w:pPr>
        <w:ind w:left="5040" w:hanging="360"/>
      </w:pPr>
      <w:rPr>
        <w:rFonts w:ascii="Symbol" w:hAnsi="Symbol" w:hint="default"/>
      </w:rPr>
    </w:lvl>
    <w:lvl w:ilvl="7" w:tplc="533EE712">
      <w:start w:val="1"/>
      <w:numFmt w:val="bullet"/>
      <w:lvlText w:val="o"/>
      <w:lvlJc w:val="left"/>
      <w:pPr>
        <w:ind w:left="5760" w:hanging="360"/>
      </w:pPr>
      <w:rPr>
        <w:rFonts w:ascii="Courier New" w:hAnsi="Courier New" w:hint="default"/>
      </w:rPr>
    </w:lvl>
    <w:lvl w:ilvl="8" w:tplc="2494936A">
      <w:start w:val="1"/>
      <w:numFmt w:val="bullet"/>
      <w:lvlText w:val=""/>
      <w:lvlJc w:val="left"/>
      <w:pPr>
        <w:ind w:left="6480" w:hanging="360"/>
      </w:pPr>
      <w:rPr>
        <w:rFonts w:ascii="Wingdings" w:hAnsi="Wingdings" w:hint="default"/>
      </w:rPr>
    </w:lvl>
  </w:abstractNum>
  <w:abstractNum w:abstractNumId="25" w15:restartNumberingAfterBreak="0">
    <w:nsid w:val="404271EA"/>
    <w:multiLevelType w:val="hybridMultilevel"/>
    <w:tmpl w:val="B2AAD29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4106757"/>
    <w:multiLevelType w:val="hybridMultilevel"/>
    <w:tmpl w:val="7CEE21E8"/>
    <w:lvl w:ilvl="0" w:tplc="3F2E562A">
      <w:start w:val="1"/>
      <w:numFmt w:val="bullet"/>
      <w:lvlText w:val=""/>
      <w:lvlJc w:val="left"/>
      <w:pPr>
        <w:ind w:left="720" w:hanging="360"/>
      </w:pPr>
      <w:rPr>
        <w:rFonts w:ascii="Symbol" w:hAnsi="Symbol"/>
      </w:rPr>
    </w:lvl>
    <w:lvl w:ilvl="1" w:tplc="EDA445B0">
      <w:start w:val="1"/>
      <w:numFmt w:val="bullet"/>
      <w:lvlText w:val=""/>
      <w:lvlJc w:val="left"/>
      <w:pPr>
        <w:ind w:left="720" w:hanging="360"/>
      </w:pPr>
      <w:rPr>
        <w:rFonts w:ascii="Symbol" w:hAnsi="Symbol"/>
      </w:rPr>
    </w:lvl>
    <w:lvl w:ilvl="2" w:tplc="0432602E">
      <w:start w:val="1"/>
      <w:numFmt w:val="bullet"/>
      <w:lvlText w:val=""/>
      <w:lvlJc w:val="left"/>
      <w:pPr>
        <w:ind w:left="720" w:hanging="360"/>
      </w:pPr>
      <w:rPr>
        <w:rFonts w:ascii="Symbol" w:hAnsi="Symbol"/>
      </w:rPr>
    </w:lvl>
    <w:lvl w:ilvl="3" w:tplc="3B0245DA">
      <w:start w:val="1"/>
      <w:numFmt w:val="bullet"/>
      <w:lvlText w:val=""/>
      <w:lvlJc w:val="left"/>
      <w:pPr>
        <w:ind w:left="720" w:hanging="360"/>
      </w:pPr>
      <w:rPr>
        <w:rFonts w:ascii="Symbol" w:hAnsi="Symbol"/>
      </w:rPr>
    </w:lvl>
    <w:lvl w:ilvl="4" w:tplc="0A0237FE">
      <w:start w:val="1"/>
      <w:numFmt w:val="bullet"/>
      <w:lvlText w:val=""/>
      <w:lvlJc w:val="left"/>
      <w:pPr>
        <w:ind w:left="720" w:hanging="360"/>
      </w:pPr>
      <w:rPr>
        <w:rFonts w:ascii="Symbol" w:hAnsi="Symbol"/>
      </w:rPr>
    </w:lvl>
    <w:lvl w:ilvl="5" w:tplc="741487D4">
      <w:start w:val="1"/>
      <w:numFmt w:val="bullet"/>
      <w:lvlText w:val=""/>
      <w:lvlJc w:val="left"/>
      <w:pPr>
        <w:ind w:left="720" w:hanging="360"/>
      </w:pPr>
      <w:rPr>
        <w:rFonts w:ascii="Symbol" w:hAnsi="Symbol"/>
      </w:rPr>
    </w:lvl>
    <w:lvl w:ilvl="6" w:tplc="77E2B3A8">
      <w:start w:val="1"/>
      <w:numFmt w:val="bullet"/>
      <w:lvlText w:val=""/>
      <w:lvlJc w:val="left"/>
      <w:pPr>
        <w:ind w:left="720" w:hanging="360"/>
      </w:pPr>
      <w:rPr>
        <w:rFonts w:ascii="Symbol" w:hAnsi="Symbol"/>
      </w:rPr>
    </w:lvl>
    <w:lvl w:ilvl="7" w:tplc="A64C2DA6">
      <w:start w:val="1"/>
      <w:numFmt w:val="bullet"/>
      <w:lvlText w:val=""/>
      <w:lvlJc w:val="left"/>
      <w:pPr>
        <w:ind w:left="720" w:hanging="360"/>
      </w:pPr>
      <w:rPr>
        <w:rFonts w:ascii="Symbol" w:hAnsi="Symbol"/>
      </w:rPr>
    </w:lvl>
    <w:lvl w:ilvl="8" w:tplc="847887CE">
      <w:start w:val="1"/>
      <w:numFmt w:val="bullet"/>
      <w:lvlText w:val=""/>
      <w:lvlJc w:val="left"/>
      <w:pPr>
        <w:ind w:left="720" w:hanging="360"/>
      </w:pPr>
      <w:rPr>
        <w:rFonts w:ascii="Symbol" w:hAnsi="Symbol"/>
      </w:r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8E25798"/>
    <w:multiLevelType w:val="hybridMultilevel"/>
    <w:tmpl w:val="4DFACF46"/>
    <w:lvl w:ilvl="0" w:tplc="673A8D96">
      <w:start w:val="1"/>
      <w:numFmt w:val="lowerLetter"/>
      <w:lvlText w:val="%1."/>
      <w:lvlJc w:val="left"/>
      <w:pPr>
        <w:ind w:left="1440" w:hanging="360"/>
      </w:pPr>
    </w:lvl>
    <w:lvl w:ilvl="1" w:tplc="4FA845E2">
      <w:start w:val="1"/>
      <w:numFmt w:val="lowerLetter"/>
      <w:lvlText w:val="%2."/>
      <w:lvlJc w:val="left"/>
      <w:pPr>
        <w:ind w:left="2160" w:hanging="360"/>
      </w:pPr>
    </w:lvl>
    <w:lvl w:ilvl="2" w:tplc="85EC5084">
      <w:start w:val="1"/>
      <w:numFmt w:val="lowerRoman"/>
      <w:lvlText w:val="%3."/>
      <w:lvlJc w:val="right"/>
      <w:pPr>
        <w:ind w:left="2880" w:hanging="180"/>
      </w:pPr>
    </w:lvl>
    <w:lvl w:ilvl="3" w:tplc="6D7236DE">
      <w:start w:val="1"/>
      <w:numFmt w:val="decimal"/>
      <w:lvlText w:val="%4."/>
      <w:lvlJc w:val="left"/>
      <w:pPr>
        <w:ind w:left="3600" w:hanging="360"/>
      </w:pPr>
    </w:lvl>
    <w:lvl w:ilvl="4" w:tplc="641E51F0">
      <w:start w:val="1"/>
      <w:numFmt w:val="lowerLetter"/>
      <w:lvlText w:val="%5."/>
      <w:lvlJc w:val="left"/>
      <w:pPr>
        <w:ind w:left="4320" w:hanging="360"/>
      </w:pPr>
    </w:lvl>
    <w:lvl w:ilvl="5" w:tplc="CDB4FA1C">
      <w:start w:val="1"/>
      <w:numFmt w:val="lowerRoman"/>
      <w:lvlText w:val="%6."/>
      <w:lvlJc w:val="right"/>
      <w:pPr>
        <w:ind w:left="5040" w:hanging="180"/>
      </w:pPr>
    </w:lvl>
    <w:lvl w:ilvl="6" w:tplc="90B2A1AA">
      <w:start w:val="1"/>
      <w:numFmt w:val="decimal"/>
      <w:lvlText w:val="%7."/>
      <w:lvlJc w:val="left"/>
      <w:pPr>
        <w:ind w:left="5760" w:hanging="360"/>
      </w:pPr>
    </w:lvl>
    <w:lvl w:ilvl="7" w:tplc="7C18409C">
      <w:start w:val="1"/>
      <w:numFmt w:val="lowerLetter"/>
      <w:lvlText w:val="%8."/>
      <w:lvlJc w:val="left"/>
      <w:pPr>
        <w:ind w:left="6480" w:hanging="360"/>
      </w:pPr>
    </w:lvl>
    <w:lvl w:ilvl="8" w:tplc="1C16EC46">
      <w:start w:val="1"/>
      <w:numFmt w:val="lowerRoman"/>
      <w:lvlText w:val="%9."/>
      <w:lvlJc w:val="right"/>
      <w:pPr>
        <w:ind w:left="7200" w:hanging="180"/>
      </w:pPr>
    </w:lvl>
  </w:abstractNum>
  <w:abstractNum w:abstractNumId="31" w15:restartNumberingAfterBreak="0">
    <w:nsid w:val="523575AF"/>
    <w:multiLevelType w:val="hybridMultilevel"/>
    <w:tmpl w:val="F9DCFCA0"/>
    <w:lvl w:ilvl="0" w:tplc="18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AD447AC"/>
    <w:multiLevelType w:val="hybridMultilevel"/>
    <w:tmpl w:val="A95845A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B2642B"/>
    <w:multiLevelType w:val="hybridMultilevel"/>
    <w:tmpl w:val="0846CC86"/>
    <w:lvl w:ilvl="0" w:tplc="080C0001">
      <w:start w:val="1"/>
      <w:numFmt w:val="bullet"/>
      <w:lvlText w:val=""/>
      <w:lvlJc w:val="left"/>
      <w:pPr>
        <w:ind w:left="1570" w:hanging="360"/>
      </w:pPr>
      <w:rPr>
        <w:rFonts w:ascii="Symbol" w:hAnsi="Symbol" w:hint="default"/>
      </w:rPr>
    </w:lvl>
    <w:lvl w:ilvl="1" w:tplc="080C0003">
      <w:start w:val="1"/>
      <w:numFmt w:val="bullet"/>
      <w:lvlText w:val="o"/>
      <w:lvlJc w:val="left"/>
      <w:pPr>
        <w:ind w:left="2290" w:hanging="360"/>
      </w:pPr>
      <w:rPr>
        <w:rFonts w:ascii="Courier New" w:hAnsi="Courier New" w:cs="Courier New" w:hint="default"/>
      </w:rPr>
    </w:lvl>
    <w:lvl w:ilvl="2" w:tplc="080C0005">
      <w:start w:val="1"/>
      <w:numFmt w:val="bullet"/>
      <w:lvlText w:val=""/>
      <w:lvlJc w:val="left"/>
      <w:pPr>
        <w:ind w:left="3010" w:hanging="360"/>
      </w:pPr>
      <w:rPr>
        <w:rFonts w:ascii="Wingdings" w:hAnsi="Wingdings" w:hint="default"/>
      </w:rPr>
    </w:lvl>
    <w:lvl w:ilvl="3" w:tplc="080C0001">
      <w:start w:val="1"/>
      <w:numFmt w:val="bullet"/>
      <w:lvlText w:val=""/>
      <w:lvlJc w:val="left"/>
      <w:pPr>
        <w:ind w:left="3730" w:hanging="360"/>
      </w:pPr>
      <w:rPr>
        <w:rFonts w:ascii="Symbol" w:hAnsi="Symbol" w:hint="default"/>
      </w:rPr>
    </w:lvl>
    <w:lvl w:ilvl="4" w:tplc="080C0003">
      <w:start w:val="1"/>
      <w:numFmt w:val="bullet"/>
      <w:lvlText w:val="o"/>
      <w:lvlJc w:val="left"/>
      <w:pPr>
        <w:ind w:left="4450" w:hanging="360"/>
      </w:pPr>
      <w:rPr>
        <w:rFonts w:ascii="Courier New" w:hAnsi="Courier New" w:cs="Courier New" w:hint="default"/>
      </w:rPr>
    </w:lvl>
    <w:lvl w:ilvl="5" w:tplc="080C0005">
      <w:start w:val="1"/>
      <w:numFmt w:val="bullet"/>
      <w:lvlText w:val=""/>
      <w:lvlJc w:val="left"/>
      <w:pPr>
        <w:ind w:left="5170" w:hanging="360"/>
      </w:pPr>
      <w:rPr>
        <w:rFonts w:ascii="Wingdings" w:hAnsi="Wingdings" w:hint="default"/>
      </w:rPr>
    </w:lvl>
    <w:lvl w:ilvl="6" w:tplc="080C0001">
      <w:start w:val="1"/>
      <w:numFmt w:val="bullet"/>
      <w:lvlText w:val=""/>
      <w:lvlJc w:val="left"/>
      <w:pPr>
        <w:ind w:left="5890" w:hanging="360"/>
      </w:pPr>
      <w:rPr>
        <w:rFonts w:ascii="Symbol" w:hAnsi="Symbol" w:hint="default"/>
      </w:rPr>
    </w:lvl>
    <w:lvl w:ilvl="7" w:tplc="080C0003">
      <w:start w:val="1"/>
      <w:numFmt w:val="bullet"/>
      <w:lvlText w:val="o"/>
      <w:lvlJc w:val="left"/>
      <w:pPr>
        <w:ind w:left="6610" w:hanging="360"/>
      </w:pPr>
      <w:rPr>
        <w:rFonts w:ascii="Courier New" w:hAnsi="Courier New" w:cs="Courier New" w:hint="default"/>
      </w:rPr>
    </w:lvl>
    <w:lvl w:ilvl="8" w:tplc="080C0005">
      <w:start w:val="1"/>
      <w:numFmt w:val="bullet"/>
      <w:lvlText w:val=""/>
      <w:lvlJc w:val="left"/>
      <w:pPr>
        <w:ind w:left="7330" w:hanging="360"/>
      </w:pPr>
      <w:rPr>
        <w:rFonts w:ascii="Wingdings" w:hAnsi="Wingdings" w:hint="default"/>
      </w:rPr>
    </w:lvl>
  </w:abstractNum>
  <w:abstractNum w:abstractNumId="3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796C5F"/>
    <w:multiLevelType w:val="hybridMultilevel"/>
    <w:tmpl w:val="854E657A"/>
    <w:lvl w:ilvl="0" w:tplc="08090001">
      <w:start w:val="1"/>
      <w:numFmt w:val="bullet"/>
      <w:lvlText w:val=""/>
      <w:lvlJc w:val="left"/>
      <w:pPr>
        <w:ind w:left="1690" w:hanging="360"/>
      </w:pPr>
      <w:rPr>
        <w:rFonts w:ascii="Symbol" w:hAnsi="Symbol" w:hint="default"/>
      </w:rPr>
    </w:lvl>
    <w:lvl w:ilvl="1" w:tplc="08090003" w:tentative="1">
      <w:start w:val="1"/>
      <w:numFmt w:val="bullet"/>
      <w:lvlText w:val="o"/>
      <w:lvlJc w:val="left"/>
      <w:pPr>
        <w:ind w:left="2410" w:hanging="360"/>
      </w:pPr>
      <w:rPr>
        <w:rFonts w:ascii="Courier New" w:hAnsi="Courier New" w:cs="Courier New" w:hint="default"/>
      </w:rPr>
    </w:lvl>
    <w:lvl w:ilvl="2" w:tplc="08090005" w:tentative="1">
      <w:start w:val="1"/>
      <w:numFmt w:val="bullet"/>
      <w:lvlText w:val=""/>
      <w:lvlJc w:val="left"/>
      <w:pPr>
        <w:ind w:left="3130" w:hanging="360"/>
      </w:pPr>
      <w:rPr>
        <w:rFonts w:ascii="Wingdings" w:hAnsi="Wingdings" w:hint="default"/>
      </w:rPr>
    </w:lvl>
    <w:lvl w:ilvl="3" w:tplc="08090001" w:tentative="1">
      <w:start w:val="1"/>
      <w:numFmt w:val="bullet"/>
      <w:lvlText w:val=""/>
      <w:lvlJc w:val="left"/>
      <w:pPr>
        <w:ind w:left="3850" w:hanging="360"/>
      </w:pPr>
      <w:rPr>
        <w:rFonts w:ascii="Symbol" w:hAnsi="Symbol" w:hint="default"/>
      </w:rPr>
    </w:lvl>
    <w:lvl w:ilvl="4" w:tplc="08090003" w:tentative="1">
      <w:start w:val="1"/>
      <w:numFmt w:val="bullet"/>
      <w:lvlText w:val="o"/>
      <w:lvlJc w:val="left"/>
      <w:pPr>
        <w:ind w:left="4570" w:hanging="360"/>
      </w:pPr>
      <w:rPr>
        <w:rFonts w:ascii="Courier New" w:hAnsi="Courier New" w:cs="Courier New" w:hint="default"/>
      </w:rPr>
    </w:lvl>
    <w:lvl w:ilvl="5" w:tplc="08090005" w:tentative="1">
      <w:start w:val="1"/>
      <w:numFmt w:val="bullet"/>
      <w:lvlText w:val=""/>
      <w:lvlJc w:val="left"/>
      <w:pPr>
        <w:ind w:left="5290" w:hanging="360"/>
      </w:pPr>
      <w:rPr>
        <w:rFonts w:ascii="Wingdings" w:hAnsi="Wingdings" w:hint="default"/>
      </w:rPr>
    </w:lvl>
    <w:lvl w:ilvl="6" w:tplc="08090001" w:tentative="1">
      <w:start w:val="1"/>
      <w:numFmt w:val="bullet"/>
      <w:lvlText w:val=""/>
      <w:lvlJc w:val="left"/>
      <w:pPr>
        <w:ind w:left="6010" w:hanging="360"/>
      </w:pPr>
      <w:rPr>
        <w:rFonts w:ascii="Symbol" w:hAnsi="Symbol" w:hint="default"/>
      </w:rPr>
    </w:lvl>
    <w:lvl w:ilvl="7" w:tplc="08090003" w:tentative="1">
      <w:start w:val="1"/>
      <w:numFmt w:val="bullet"/>
      <w:lvlText w:val="o"/>
      <w:lvlJc w:val="left"/>
      <w:pPr>
        <w:ind w:left="6730" w:hanging="360"/>
      </w:pPr>
      <w:rPr>
        <w:rFonts w:ascii="Courier New" w:hAnsi="Courier New" w:cs="Courier New" w:hint="default"/>
      </w:rPr>
    </w:lvl>
    <w:lvl w:ilvl="8" w:tplc="08090005" w:tentative="1">
      <w:start w:val="1"/>
      <w:numFmt w:val="bullet"/>
      <w:lvlText w:val=""/>
      <w:lvlJc w:val="left"/>
      <w:pPr>
        <w:ind w:left="7450" w:hanging="360"/>
      </w:pPr>
      <w:rPr>
        <w:rFonts w:ascii="Wingdings" w:hAnsi="Wingdings" w:hint="default"/>
      </w:r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7F85A8A"/>
    <w:multiLevelType w:val="hybridMultilevel"/>
    <w:tmpl w:val="2F509150"/>
    <w:lvl w:ilvl="0" w:tplc="080C0001">
      <w:start w:val="1"/>
      <w:numFmt w:val="bullet"/>
      <w:lvlText w:val=""/>
      <w:lvlJc w:val="left"/>
      <w:pPr>
        <w:ind w:left="1570" w:hanging="360"/>
      </w:pPr>
      <w:rPr>
        <w:rFonts w:ascii="Symbol" w:hAnsi="Symbol" w:hint="default"/>
      </w:rPr>
    </w:lvl>
    <w:lvl w:ilvl="1" w:tplc="080C0003">
      <w:start w:val="1"/>
      <w:numFmt w:val="bullet"/>
      <w:lvlText w:val="o"/>
      <w:lvlJc w:val="left"/>
      <w:pPr>
        <w:ind w:left="2290" w:hanging="360"/>
      </w:pPr>
      <w:rPr>
        <w:rFonts w:ascii="Courier New" w:hAnsi="Courier New" w:cs="Courier New" w:hint="default"/>
      </w:rPr>
    </w:lvl>
    <w:lvl w:ilvl="2" w:tplc="080C0005">
      <w:start w:val="1"/>
      <w:numFmt w:val="bullet"/>
      <w:lvlText w:val=""/>
      <w:lvlJc w:val="left"/>
      <w:pPr>
        <w:ind w:left="3010" w:hanging="360"/>
      </w:pPr>
      <w:rPr>
        <w:rFonts w:ascii="Wingdings" w:hAnsi="Wingdings" w:hint="default"/>
      </w:rPr>
    </w:lvl>
    <w:lvl w:ilvl="3" w:tplc="080C0001">
      <w:start w:val="1"/>
      <w:numFmt w:val="bullet"/>
      <w:lvlText w:val=""/>
      <w:lvlJc w:val="left"/>
      <w:pPr>
        <w:ind w:left="3730" w:hanging="360"/>
      </w:pPr>
      <w:rPr>
        <w:rFonts w:ascii="Symbol" w:hAnsi="Symbol" w:hint="default"/>
      </w:rPr>
    </w:lvl>
    <w:lvl w:ilvl="4" w:tplc="080C0003">
      <w:start w:val="1"/>
      <w:numFmt w:val="bullet"/>
      <w:lvlText w:val="o"/>
      <w:lvlJc w:val="left"/>
      <w:pPr>
        <w:ind w:left="4450" w:hanging="360"/>
      </w:pPr>
      <w:rPr>
        <w:rFonts w:ascii="Courier New" w:hAnsi="Courier New" w:cs="Courier New" w:hint="default"/>
      </w:rPr>
    </w:lvl>
    <w:lvl w:ilvl="5" w:tplc="080C0005">
      <w:start w:val="1"/>
      <w:numFmt w:val="bullet"/>
      <w:lvlText w:val=""/>
      <w:lvlJc w:val="left"/>
      <w:pPr>
        <w:ind w:left="5170" w:hanging="360"/>
      </w:pPr>
      <w:rPr>
        <w:rFonts w:ascii="Wingdings" w:hAnsi="Wingdings" w:hint="default"/>
      </w:rPr>
    </w:lvl>
    <w:lvl w:ilvl="6" w:tplc="080C0001">
      <w:start w:val="1"/>
      <w:numFmt w:val="bullet"/>
      <w:lvlText w:val=""/>
      <w:lvlJc w:val="left"/>
      <w:pPr>
        <w:ind w:left="5890" w:hanging="360"/>
      </w:pPr>
      <w:rPr>
        <w:rFonts w:ascii="Symbol" w:hAnsi="Symbol" w:hint="default"/>
      </w:rPr>
    </w:lvl>
    <w:lvl w:ilvl="7" w:tplc="080C0003">
      <w:start w:val="1"/>
      <w:numFmt w:val="bullet"/>
      <w:lvlText w:val="o"/>
      <w:lvlJc w:val="left"/>
      <w:pPr>
        <w:ind w:left="6610" w:hanging="360"/>
      </w:pPr>
      <w:rPr>
        <w:rFonts w:ascii="Courier New" w:hAnsi="Courier New" w:cs="Courier New" w:hint="default"/>
      </w:rPr>
    </w:lvl>
    <w:lvl w:ilvl="8" w:tplc="080C0005">
      <w:start w:val="1"/>
      <w:numFmt w:val="bullet"/>
      <w:lvlText w:val=""/>
      <w:lvlJc w:val="left"/>
      <w:pPr>
        <w:ind w:left="7330" w:hanging="360"/>
      </w:pPr>
      <w:rPr>
        <w:rFonts w:ascii="Wingdings" w:hAnsi="Wingdings" w:hint="default"/>
      </w:rPr>
    </w:lvl>
  </w:abstractNum>
  <w:abstractNum w:abstractNumId="42" w15:restartNumberingAfterBreak="0">
    <w:nsid w:val="68BE8DEA"/>
    <w:multiLevelType w:val="hybridMultilevel"/>
    <w:tmpl w:val="B4E8AF08"/>
    <w:lvl w:ilvl="0" w:tplc="4588EC56">
      <w:start w:val="1"/>
      <w:numFmt w:val="bullet"/>
      <w:lvlText w:val="-"/>
      <w:lvlJc w:val="left"/>
      <w:pPr>
        <w:ind w:left="720" w:hanging="360"/>
      </w:pPr>
      <w:rPr>
        <w:rFonts w:ascii="Calibri" w:hAnsi="Calibri" w:hint="default"/>
      </w:rPr>
    </w:lvl>
    <w:lvl w:ilvl="1" w:tplc="34DC3836">
      <w:start w:val="1"/>
      <w:numFmt w:val="bullet"/>
      <w:lvlText w:val="o"/>
      <w:lvlJc w:val="left"/>
      <w:pPr>
        <w:ind w:left="1440" w:hanging="360"/>
      </w:pPr>
      <w:rPr>
        <w:rFonts w:ascii="Courier New" w:hAnsi="Courier New" w:hint="default"/>
      </w:rPr>
    </w:lvl>
    <w:lvl w:ilvl="2" w:tplc="F14EBFF2">
      <w:start w:val="1"/>
      <w:numFmt w:val="bullet"/>
      <w:lvlText w:val=""/>
      <w:lvlJc w:val="left"/>
      <w:pPr>
        <w:ind w:left="2160" w:hanging="360"/>
      </w:pPr>
      <w:rPr>
        <w:rFonts w:ascii="Wingdings" w:hAnsi="Wingdings" w:hint="default"/>
      </w:rPr>
    </w:lvl>
    <w:lvl w:ilvl="3" w:tplc="3DD68504">
      <w:start w:val="1"/>
      <w:numFmt w:val="bullet"/>
      <w:lvlText w:val=""/>
      <w:lvlJc w:val="left"/>
      <w:pPr>
        <w:ind w:left="2880" w:hanging="360"/>
      </w:pPr>
      <w:rPr>
        <w:rFonts w:ascii="Symbol" w:hAnsi="Symbol" w:hint="default"/>
      </w:rPr>
    </w:lvl>
    <w:lvl w:ilvl="4" w:tplc="65865542">
      <w:start w:val="1"/>
      <w:numFmt w:val="bullet"/>
      <w:lvlText w:val="o"/>
      <w:lvlJc w:val="left"/>
      <w:pPr>
        <w:ind w:left="3600" w:hanging="360"/>
      </w:pPr>
      <w:rPr>
        <w:rFonts w:ascii="Courier New" w:hAnsi="Courier New" w:hint="default"/>
      </w:rPr>
    </w:lvl>
    <w:lvl w:ilvl="5" w:tplc="5BFEA0CE">
      <w:start w:val="1"/>
      <w:numFmt w:val="bullet"/>
      <w:lvlText w:val=""/>
      <w:lvlJc w:val="left"/>
      <w:pPr>
        <w:ind w:left="4320" w:hanging="360"/>
      </w:pPr>
      <w:rPr>
        <w:rFonts w:ascii="Wingdings" w:hAnsi="Wingdings" w:hint="default"/>
      </w:rPr>
    </w:lvl>
    <w:lvl w:ilvl="6" w:tplc="A3B83A52">
      <w:start w:val="1"/>
      <w:numFmt w:val="bullet"/>
      <w:lvlText w:val=""/>
      <w:lvlJc w:val="left"/>
      <w:pPr>
        <w:ind w:left="5040" w:hanging="360"/>
      </w:pPr>
      <w:rPr>
        <w:rFonts w:ascii="Symbol" w:hAnsi="Symbol" w:hint="default"/>
      </w:rPr>
    </w:lvl>
    <w:lvl w:ilvl="7" w:tplc="D9B2168C">
      <w:start w:val="1"/>
      <w:numFmt w:val="bullet"/>
      <w:lvlText w:val="o"/>
      <w:lvlJc w:val="left"/>
      <w:pPr>
        <w:ind w:left="5760" w:hanging="360"/>
      </w:pPr>
      <w:rPr>
        <w:rFonts w:ascii="Courier New" w:hAnsi="Courier New" w:hint="default"/>
      </w:rPr>
    </w:lvl>
    <w:lvl w:ilvl="8" w:tplc="70C243FE">
      <w:start w:val="1"/>
      <w:numFmt w:val="bullet"/>
      <w:lvlText w:val=""/>
      <w:lvlJc w:val="left"/>
      <w:pPr>
        <w:ind w:left="6480" w:hanging="360"/>
      </w:pPr>
      <w:rPr>
        <w:rFonts w:ascii="Wingdings" w:hAnsi="Wingdings" w:hint="default"/>
      </w:rPr>
    </w:lvl>
  </w:abstractNum>
  <w:abstractNum w:abstractNumId="43" w15:restartNumberingAfterBreak="0">
    <w:nsid w:val="6B474A30"/>
    <w:multiLevelType w:val="hybridMultilevel"/>
    <w:tmpl w:val="84EE004E"/>
    <w:lvl w:ilvl="0" w:tplc="17BCE34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44F4CAB"/>
    <w:multiLevelType w:val="hybridMultilevel"/>
    <w:tmpl w:val="1EDC2C1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45" w15:restartNumberingAfterBreak="0">
    <w:nsid w:val="77EBC351"/>
    <w:multiLevelType w:val="hybridMultilevel"/>
    <w:tmpl w:val="FFFFFFFF"/>
    <w:lvl w:ilvl="0" w:tplc="AE22DDBE">
      <w:start w:val="1"/>
      <w:numFmt w:val="bullet"/>
      <w:lvlText w:val="·"/>
      <w:lvlJc w:val="left"/>
      <w:pPr>
        <w:ind w:left="720" w:hanging="360"/>
      </w:pPr>
      <w:rPr>
        <w:rFonts w:ascii="Symbol" w:hAnsi="Symbol" w:hint="default"/>
      </w:rPr>
    </w:lvl>
    <w:lvl w:ilvl="1" w:tplc="71D2F2FC">
      <w:start w:val="1"/>
      <w:numFmt w:val="bullet"/>
      <w:lvlText w:val="o"/>
      <w:lvlJc w:val="left"/>
      <w:pPr>
        <w:ind w:left="1440" w:hanging="360"/>
      </w:pPr>
      <w:rPr>
        <w:rFonts w:ascii="Courier New" w:hAnsi="Courier New" w:hint="default"/>
      </w:rPr>
    </w:lvl>
    <w:lvl w:ilvl="2" w:tplc="4FACFC4E">
      <w:start w:val="1"/>
      <w:numFmt w:val="bullet"/>
      <w:lvlText w:val=""/>
      <w:lvlJc w:val="left"/>
      <w:pPr>
        <w:ind w:left="2160" w:hanging="360"/>
      </w:pPr>
      <w:rPr>
        <w:rFonts w:ascii="Wingdings" w:hAnsi="Wingdings" w:hint="default"/>
      </w:rPr>
    </w:lvl>
    <w:lvl w:ilvl="3" w:tplc="CC9AA438">
      <w:start w:val="1"/>
      <w:numFmt w:val="bullet"/>
      <w:lvlText w:val=""/>
      <w:lvlJc w:val="left"/>
      <w:pPr>
        <w:ind w:left="2880" w:hanging="360"/>
      </w:pPr>
      <w:rPr>
        <w:rFonts w:ascii="Symbol" w:hAnsi="Symbol" w:hint="default"/>
      </w:rPr>
    </w:lvl>
    <w:lvl w:ilvl="4" w:tplc="AB520526">
      <w:start w:val="1"/>
      <w:numFmt w:val="bullet"/>
      <w:lvlText w:val="o"/>
      <w:lvlJc w:val="left"/>
      <w:pPr>
        <w:ind w:left="3600" w:hanging="360"/>
      </w:pPr>
      <w:rPr>
        <w:rFonts w:ascii="Courier New" w:hAnsi="Courier New" w:hint="default"/>
      </w:rPr>
    </w:lvl>
    <w:lvl w:ilvl="5" w:tplc="E91A44F4">
      <w:start w:val="1"/>
      <w:numFmt w:val="bullet"/>
      <w:lvlText w:val=""/>
      <w:lvlJc w:val="left"/>
      <w:pPr>
        <w:ind w:left="4320" w:hanging="360"/>
      </w:pPr>
      <w:rPr>
        <w:rFonts w:ascii="Wingdings" w:hAnsi="Wingdings" w:hint="default"/>
      </w:rPr>
    </w:lvl>
    <w:lvl w:ilvl="6" w:tplc="95242AAA">
      <w:start w:val="1"/>
      <w:numFmt w:val="bullet"/>
      <w:lvlText w:val=""/>
      <w:lvlJc w:val="left"/>
      <w:pPr>
        <w:ind w:left="5040" w:hanging="360"/>
      </w:pPr>
      <w:rPr>
        <w:rFonts w:ascii="Symbol" w:hAnsi="Symbol" w:hint="default"/>
      </w:rPr>
    </w:lvl>
    <w:lvl w:ilvl="7" w:tplc="2A928DCA">
      <w:start w:val="1"/>
      <w:numFmt w:val="bullet"/>
      <w:lvlText w:val="o"/>
      <w:lvlJc w:val="left"/>
      <w:pPr>
        <w:ind w:left="5760" w:hanging="360"/>
      </w:pPr>
      <w:rPr>
        <w:rFonts w:ascii="Courier New" w:hAnsi="Courier New" w:hint="default"/>
      </w:rPr>
    </w:lvl>
    <w:lvl w:ilvl="8" w:tplc="FBB4DD50">
      <w:start w:val="1"/>
      <w:numFmt w:val="bullet"/>
      <w:lvlText w:val=""/>
      <w:lvlJc w:val="left"/>
      <w:pPr>
        <w:ind w:left="6480" w:hanging="360"/>
      </w:pPr>
      <w:rPr>
        <w:rFonts w:ascii="Wingdings" w:hAnsi="Wingdings"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DC7131B"/>
    <w:multiLevelType w:val="hybridMultilevel"/>
    <w:tmpl w:val="87146A80"/>
    <w:lvl w:ilvl="0" w:tplc="B3B6E6F2">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42"/>
  </w:num>
  <w:num w:numId="4">
    <w:abstractNumId w:val="7"/>
  </w:num>
  <w:num w:numId="5">
    <w:abstractNumId w:val="5"/>
  </w:num>
  <w:num w:numId="6">
    <w:abstractNumId w:val="4"/>
  </w:num>
  <w:num w:numId="7">
    <w:abstractNumId w:val="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36"/>
  </w:num>
  <w:num w:numId="15">
    <w:abstractNumId w:val="26"/>
  </w:num>
  <w:num w:numId="16">
    <w:abstractNumId w:val="40"/>
  </w:num>
  <w:num w:numId="17">
    <w:abstractNumId w:val="20"/>
  </w:num>
  <w:num w:numId="18">
    <w:abstractNumId w:val="27"/>
  </w:num>
  <w:num w:numId="19">
    <w:abstractNumId w:val="16"/>
  </w:num>
  <w:num w:numId="20">
    <w:abstractNumId w:val="38"/>
  </w:num>
  <w:num w:numId="21">
    <w:abstractNumId w:val="12"/>
  </w:num>
  <w:num w:numId="22">
    <w:abstractNumId w:val="29"/>
  </w:num>
  <w:num w:numId="23">
    <w:abstractNumId w:val="34"/>
  </w:num>
  <w:num w:numId="24">
    <w:abstractNumId w:val="35"/>
  </w:num>
  <w:num w:numId="25">
    <w:abstractNumId w:val="19"/>
  </w:num>
  <w:num w:numId="26">
    <w:abstractNumId w:val="32"/>
  </w:num>
  <w:num w:numId="27">
    <w:abstractNumId w:val="46"/>
  </w:num>
  <w:num w:numId="28">
    <w:abstractNumId w:val="41"/>
  </w:num>
  <w:num w:numId="29">
    <w:abstractNumId w:val="37"/>
  </w:num>
  <w:num w:numId="30">
    <w:abstractNumId w:val="44"/>
  </w:num>
  <w:num w:numId="31">
    <w:abstractNumId w:val="33"/>
  </w:num>
  <w:num w:numId="32">
    <w:abstractNumId w:val="1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22"/>
  </w:num>
  <w:num w:numId="38">
    <w:abstractNumId w:val="25"/>
  </w:num>
  <w:num w:numId="39">
    <w:abstractNumId w:val="23"/>
  </w:num>
  <w:num w:numId="40">
    <w:abstractNumId w:val="28"/>
  </w:num>
  <w:num w:numId="41">
    <w:abstractNumId w:val="15"/>
  </w:num>
  <w:num w:numId="42">
    <w:abstractNumId w:val="10"/>
  </w:num>
  <w:num w:numId="43">
    <w:abstractNumId w:val="30"/>
  </w:num>
  <w:num w:numId="44">
    <w:abstractNumId w:val="31"/>
  </w:num>
  <w:num w:numId="45">
    <w:abstractNumId w:val="9"/>
  </w:num>
  <w:num w:numId="46">
    <w:abstractNumId w:val="18"/>
  </w:num>
  <w:num w:numId="47">
    <w:abstractNumId w:val="13"/>
  </w:num>
  <w:num w:numId="48">
    <w:abstractNumId w:val="45"/>
  </w:num>
  <w:num w:numId="49">
    <w:abstractNumId w:val="21"/>
  </w:num>
  <w:num w:numId="50">
    <w:abstractNumId w:val="14"/>
  </w:num>
  <w:num w:numId="51">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0" w:nlCheck="1" w:checkStyle="0"/>
  <w:activeWritingStyle w:appName="MSWord" w:lang="de-DE" w:vendorID="64" w:dllVersion="0" w:nlCheck="1" w:checkStyle="0"/>
  <w:revisionView w:markup="0"/>
  <w:documentProtection w:edit="trackedChanges" w:enforcement="0"/>
  <w:defaultTabStop w:val="720"/>
  <w:hyphenationZone w:val="425"/>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Status" w:val="Green"/>
    <w:docVar w:name="DocuWriteMetaData" w:val="&lt;metadataset docuwriteversion=&quot;4.6.5&quot; technicalblockguid=&quot;539672074675766709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26&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 /&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2-05-31&lt;/text&gt;_x000d__x000a_  &lt;/metadata&gt;_x000d__x000a_  &lt;metadata key=&quot;md_Prefix&quot;&gt;_x000d__x000a_    &lt;text&gt;&lt;/text&gt;_x000d__x000a_  &lt;/metadata&gt;_x000d__x000a_  &lt;metadata key=&quot;md_DocumentNumber&quot;&gt;_x000d__x000a_    &lt;text&gt;8390&lt;/text&gt;_x000d__x000a_  &lt;/metadata&gt;_x000d__x000a_  &lt;metadata key=&quot;md_YearDocumentNumber&quot;&gt;_x000d__x000a_    &lt;text&gt;2022&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252&lt;/text&gt;_x000d__x000a_      &lt;text&gt;ECOFIN 366&lt;/text&gt;_x000d__x000a_      &lt;text&gt;CADREFIN 56&lt;/text&gt;_x000d__x000a_      &lt;text&gt;UEM 78&lt;/text&gt;_x000d__x000a_      &lt;text&gt;FIN 45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92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on the approval of the assessment of the recovery and resilience plan for Slovenia&quot;&gt;&amp;lt;FlowDocument FontFamily=&quot;Segoe UI&quot; FontSize=&quot;12&quot; LineHeight=&quot;6&quot; PageWidth=&quot;329&quot; PagePadding=&quot;5,0,5,0&quot; AllowDrop=&quot;False&quot; xmlns=&quot;http://schemas.microsoft.com/winfx/2006/xaml/presentation&quot;&amp;gt;&amp;lt;Paragraph LineHeight=&quot;6&quot; FontFamily=&quot;Arial Unicode MS&quot; FontSize=&quot;12&quot;&amp;gt;A&amp;lt;Run xml:lang=&quot;fr-be&quot;&amp;gt;nnex&amp;lt;/Run&amp;gt; to the Council Implementing Decision on the approval of the assessment of the recovery and resilience plan for Slovenia&amp;lt;/Paragraph&amp;gt;&amp;lt;/FlowDocument&amp;gt;&lt;/xaml&gt;_x000d__x000a_  &lt;/metadata&gt;_x000d__x000a_  &lt;metadata key=&quot;md_SubjectFootnote&quot; /&gt;_x000d__x000a_  &lt;metadata key=&quot;md_DG&quot;&gt;_x000d__x000a_    &lt;text&gt;JUR.7&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c&quot; text=&quot;Procedure 2c)&quot; /&gt;_x000d__x000a_    &lt;/basicdatatype&gt;_x000d__x000a_  &lt;/metadata&gt;_x000d__x000a_  &lt;metadata key=&quot;md_RectifLanguagesBase&quot;&gt;_x000d__x000a_    &lt;text&gt;24&lt;/text&gt;_x000d__x000a_  &lt;/metadata&gt;_x000d__x000a_  &lt;metadata key=&quot;md_RectifLanguagesConcerned&quot;&gt;_x000d__x000a_    &lt;text&gt;;BG;ES;CS;DA;DE;ET;EL;EN;FR;HR;IT;LV;LT;HU;MT;NL;PL;PT;RO;SK;SL;FI;SV;&lt;/text&gt;_x000d__x000a_  &lt;/metadata&gt;_x000d__x000a_  &lt;metadata key=&quot;md_RectifIsLangSpec&quot;&gt;_x000d__x000a_    &lt;text&gt;true&lt;/text&gt;_x000d__x000a_  &lt;/metadata&gt;_x000d__x000a_  &lt;metadata key=&quot;md_RectifLangSpecValue&quot;&gt;_x000d__x000a_    &lt;text&gt;EN&lt;/text&gt;_x000d__x000a_  &lt;/metadata&gt;_x000d__x000a_  &lt;metadata key=&quot;md_RectifNumberOfMistakes&quot;&gt;_x000d__x000a_    &lt;text&gt;Num_More&lt;/text&gt;_x000d__x000a_  &lt;/metadata&gt;_x000d__x000a_  &lt;metadata key=&quot;md_RectifHasRemarks&quot;&gt;_x000d__x000a_    &lt;text&gt;False&lt;/text&gt;_x000d__x000a_  &lt;/metadata&gt;_x000d__x000a_  &lt;metadata key=&quot;md_RectifUseDocRef&quot;&gt;_x000d__x000a_    &lt;text&gt;True&lt;/text&gt;_x000d__x000a_  &lt;/metadata&gt;_x000d__x000a_  &lt;metadata key=&quot;md_RectifDocRefNumber&quot;&gt;_x000d__x000a_    &lt;text&gt;ST 10612/21 ADD 1&lt;/text&gt;_x000d__x000a_  &lt;/metadata&gt;_x000d__x000a_  &lt;metadata key=&quot;md_RectifDocRefDate&quot;&gt;_x000d__x000a_    &lt;text&gt;2021-07-20T00:00:00&lt;/text&gt;_x000d__x000a_  &lt;/metadata&gt;_x000d__x000a_  &lt;metadata key=&quot;md_RectifUseOJRef&quot;&gt;_x000d__x000a_    &lt;text&gt;False&lt;/text&gt;_x000d__x000a_  &lt;/metadata&gt;_x000d__x000a_  &lt;metadata key=&quot;md_RectifOJRefType&quot;&gt;_x000d__x000a_    &lt;text&gt;&lt;/text&gt;_x000d__x000a_  &lt;/metadata&gt;_x000d__x000a_  &lt;metadata key=&quot;md_RectifOJLRefNumber&quot; /&gt;_x000d__x000a_  &lt;metadata key=&quot;md_RectifOJCRefNumber&quot;&gt;_x000d__x000a_    &lt;text&gt;&lt;/text&gt;_x000d__x000a_  &lt;/metadata&gt;_x000d__x000a_  &lt;metadata key=&quot;md_RectifOJLRefDate&quot; /&gt;_x000d__x000a_  &lt;metadata key=&quot;md_RectifOJCRefDate&quot;&gt;_x000d__x000a_    &lt;text&gt;&lt;/text&gt;_x000d__x000a_  &lt;/metadata&gt;_x000d__x000a_  &lt;metadata key=&quot;md_RectifOJLRefPage&quot; /&gt;_x000d__x000a_  &lt;metadata key=&quot;md_RectifOJCRefPage&quot;&gt;_x000d__x000a_    &lt;text&gt;&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8&lt;/text&gt;_x000d__x000a_  &lt;/metadata&gt;_x000d__x000a_  &lt;metadata key=&quot;md_RectifCodecision&quot;&gt;_x000d__x000a_    &lt;text&gt;Fals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2&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RECTIF"/>
    <w:docVar w:name="LW_ACCOMPAGNANT.CP" w:val="k"/>
    <w:docVar w:name="LW_ANNEX_NBR_FIRST" w:val="1"/>
    <w:docVar w:name="LW_ANNEX_NBR_LAST" w:val="1"/>
    <w:docVar w:name="LW_ANNEX_UNIQUE" w:val="1"/>
    <w:docVar w:name="LW_CORRIGENDUM" w:val="&lt;UNUSED&gt;"/>
    <w:docVar w:name="LW_COVERPAGE_EXISTS" w:val="True"/>
    <w:docVar w:name="LW_COVERPAGE_GUID" w:val="F9B8AB7A-3F67-4CAF-8524-1EFFA08D47F4"/>
    <w:docVar w:name="LW_COVERPAGE_TYPE" w:val="1"/>
    <w:docVar w:name="LW_CROSSREFERENCE" w:val="{SWD(2023) 325 final}"/>
    <w:docVar w:name="LW_DocType" w:val="DW_RECTIF"/>
    <w:docVar w:name="LW_EMISSION" w:val="29.9.2023"/>
    <w:docVar w:name="LW_EMISSION_ISODATE" w:val="2023-09-29"/>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o spremembi Izvedbenega sklepa (EU) (ST 10612/21; ST 10612/21 ADD 1) z dne 28. julija 2021 o odobritvi ocene načrta za okrevanje in odpornost za Slovenijo_x000d__x000b_"/>
    <w:docVar w:name="LW_PART_NBR" w:val="1"/>
    <w:docVar w:name="LW_PART_NBR_TOTAL" w:val="1"/>
    <w:docVar w:name="LW_REF.INST.NEW" w:val="COM"/>
    <w:docVar w:name="LW_REF.INST.NEW_ADOPTED" w:val="final"/>
    <w:docVar w:name="LW_REF.INST.NEW_TEXT" w:val="(2023)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IZVEDBENEGA SKLEPA SVETA"/>
    <w:docVar w:name="LwApiVersions" w:val="LW4CoDe 1.23.2.0; LW 8.0, Build 20211117"/>
    <w:docVar w:name="VSSDB_IniPath" w:val="\\at100\user\wovo\SEILEG\vss\srcsafe.ini"/>
    <w:docVar w:name="VSSDB_ProjectPath" w:val="$/DocuWrite/DOT/DW_RECTIF"/>
  </w:docVars>
  <w:rsids>
    <w:rsidRoot w:val="00EB0D1F"/>
    <w:rsid w:val="00000B95"/>
    <w:rsid w:val="00000EE4"/>
    <w:rsid w:val="000011E8"/>
    <w:rsid w:val="0000120F"/>
    <w:rsid w:val="0000138B"/>
    <w:rsid w:val="000013BA"/>
    <w:rsid w:val="000018E7"/>
    <w:rsid w:val="00001FC9"/>
    <w:rsid w:val="0000215A"/>
    <w:rsid w:val="000025E8"/>
    <w:rsid w:val="00002740"/>
    <w:rsid w:val="0000277A"/>
    <w:rsid w:val="00002783"/>
    <w:rsid w:val="00002FA6"/>
    <w:rsid w:val="000032B8"/>
    <w:rsid w:val="00003529"/>
    <w:rsid w:val="000037DD"/>
    <w:rsid w:val="000038AB"/>
    <w:rsid w:val="00003D2D"/>
    <w:rsid w:val="00003F1A"/>
    <w:rsid w:val="00003F75"/>
    <w:rsid w:val="0000404D"/>
    <w:rsid w:val="000040EA"/>
    <w:rsid w:val="000041F7"/>
    <w:rsid w:val="000043D3"/>
    <w:rsid w:val="000044CF"/>
    <w:rsid w:val="0000454F"/>
    <w:rsid w:val="00005003"/>
    <w:rsid w:val="000054A3"/>
    <w:rsid w:val="000055B0"/>
    <w:rsid w:val="00005763"/>
    <w:rsid w:val="00005843"/>
    <w:rsid w:val="00005B0F"/>
    <w:rsid w:val="0000623A"/>
    <w:rsid w:val="00006325"/>
    <w:rsid w:val="0000638B"/>
    <w:rsid w:val="000064D8"/>
    <w:rsid w:val="000067BA"/>
    <w:rsid w:val="000068F9"/>
    <w:rsid w:val="00006DAC"/>
    <w:rsid w:val="00006E6E"/>
    <w:rsid w:val="000072D8"/>
    <w:rsid w:val="00007ABB"/>
    <w:rsid w:val="00007C75"/>
    <w:rsid w:val="00010323"/>
    <w:rsid w:val="0001062F"/>
    <w:rsid w:val="000109F1"/>
    <w:rsid w:val="00010A25"/>
    <w:rsid w:val="00010AE6"/>
    <w:rsid w:val="00010CED"/>
    <w:rsid w:val="00011398"/>
    <w:rsid w:val="00011B9D"/>
    <w:rsid w:val="00011E4A"/>
    <w:rsid w:val="000120D8"/>
    <w:rsid w:val="00012337"/>
    <w:rsid w:val="0001247A"/>
    <w:rsid w:val="0001270F"/>
    <w:rsid w:val="000128BF"/>
    <w:rsid w:val="00012DC9"/>
    <w:rsid w:val="00012E46"/>
    <w:rsid w:val="00012F75"/>
    <w:rsid w:val="0001310E"/>
    <w:rsid w:val="0001356D"/>
    <w:rsid w:val="000137C2"/>
    <w:rsid w:val="000137CA"/>
    <w:rsid w:val="000138DE"/>
    <w:rsid w:val="00013E67"/>
    <w:rsid w:val="000149A3"/>
    <w:rsid w:val="00014A27"/>
    <w:rsid w:val="00015366"/>
    <w:rsid w:val="000156F9"/>
    <w:rsid w:val="00015B9E"/>
    <w:rsid w:val="00015C90"/>
    <w:rsid w:val="00015D5B"/>
    <w:rsid w:val="00015E34"/>
    <w:rsid w:val="000164F3"/>
    <w:rsid w:val="00016818"/>
    <w:rsid w:val="00016913"/>
    <w:rsid w:val="0001699F"/>
    <w:rsid w:val="00016CC7"/>
    <w:rsid w:val="00016EDF"/>
    <w:rsid w:val="00017677"/>
    <w:rsid w:val="0001789C"/>
    <w:rsid w:val="00017B16"/>
    <w:rsid w:val="00020871"/>
    <w:rsid w:val="00020A47"/>
    <w:rsid w:val="00021220"/>
    <w:rsid w:val="00021A0E"/>
    <w:rsid w:val="00021BFF"/>
    <w:rsid w:val="00022680"/>
    <w:rsid w:val="00022E4A"/>
    <w:rsid w:val="000231D1"/>
    <w:rsid w:val="000231DB"/>
    <w:rsid w:val="00023325"/>
    <w:rsid w:val="0002355F"/>
    <w:rsid w:val="00023617"/>
    <w:rsid w:val="00023666"/>
    <w:rsid w:val="000237CB"/>
    <w:rsid w:val="00023F72"/>
    <w:rsid w:val="000241C5"/>
    <w:rsid w:val="00024273"/>
    <w:rsid w:val="00024761"/>
    <w:rsid w:val="000247CB"/>
    <w:rsid w:val="00024905"/>
    <w:rsid w:val="00024E7D"/>
    <w:rsid w:val="0002543F"/>
    <w:rsid w:val="00025503"/>
    <w:rsid w:val="0002552B"/>
    <w:rsid w:val="00026007"/>
    <w:rsid w:val="0002696B"/>
    <w:rsid w:val="0002719D"/>
    <w:rsid w:val="00027481"/>
    <w:rsid w:val="000275FD"/>
    <w:rsid w:val="00027A40"/>
    <w:rsid w:val="00027B85"/>
    <w:rsid w:val="00027D44"/>
    <w:rsid w:val="00027DFB"/>
    <w:rsid w:val="00027E7C"/>
    <w:rsid w:val="000301D8"/>
    <w:rsid w:val="000305F5"/>
    <w:rsid w:val="00030C93"/>
    <w:rsid w:val="00030DE2"/>
    <w:rsid w:val="00031136"/>
    <w:rsid w:val="000311EB"/>
    <w:rsid w:val="000316E1"/>
    <w:rsid w:val="00031902"/>
    <w:rsid w:val="00031E38"/>
    <w:rsid w:val="00031EA1"/>
    <w:rsid w:val="00031FF5"/>
    <w:rsid w:val="0003223D"/>
    <w:rsid w:val="000327FB"/>
    <w:rsid w:val="000328CB"/>
    <w:rsid w:val="00032A1C"/>
    <w:rsid w:val="00032BD2"/>
    <w:rsid w:val="00032C02"/>
    <w:rsid w:val="00032D80"/>
    <w:rsid w:val="00032D81"/>
    <w:rsid w:val="00033064"/>
    <w:rsid w:val="0003306E"/>
    <w:rsid w:val="00033387"/>
    <w:rsid w:val="000334FE"/>
    <w:rsid w:val="0003357D"/>
    <w:rsid w:val="00033A7F"/>
    <w:rsid w:val="000346B2"/>
    <w:rsid w:val="000347CF"/>
    <w:rsid w:val="00034A7D"/>
    <w:rsid w:val="00034E47"/>
    <w:rsid w:val="00035182"/>
    <w:rsid w:val="000352F7"/>
    <w:rsid w:val="0003560C"/>
    <w:rsid w:val="000356C8"/>
    <w:rsid w:val="0003615D"/>
    <w:rsid w:val="0003624D"/>
    <w:rsid w:val="00036499"/>
    <w:rsid w:val="000365FA"/>
    <w:rsid w:val="000369BD"/>
    <w:rsid w:val="00037510"/>
    <w:rsid w:val="00037751"/>
    <w:rsid w:val="000379C1"/>
    <w:rsid w:val="00037AEA"/>
    <w:rsid w:val="00037BB4"/>
    <w:rsid w:val="00037CB3"/>
    <w:rsid w:val="00037D55"/>
    <w:rsid w:val="00040296"/>
    <w:rsid w:val="00040967"/>
    <w:rsid w:val="00040E32"/>
    <w:rsid w:val="00041389"/>
    <w:rsid w:val="0004140A"/>
    <w:rsid w:val="00041542"/>
    <w:rsid w:val="00041559"/>
    <w:rsid w:val="00041561"/>
    <w:rsid w:val="00041670"/>
    <w:rsid w:val="00041961"/>
    <w:rsid w:val="00041C2D"/>
    <w:rsid w:val="00041D72"/>
    <w:rsid w:val="0004209F"/>
    <w:rsid w:val="00042DAA"/>
    <w:rsid w:val="0004303A"/>
    <w:rsid w:val="000430CC"/>
    <w:rsid w:val="0004341D"/>
    <w:rsid w:val="0004369C"/>
    <w:rsid w:val="0004373F"/>
    <w:rsid w:val="000438AB"/>
    <w:rsid w:val="000439F3"/>
    <w:rsid w:val="000440BD"/>
    <w:rsid w:val="00044137"/>
    <w:rsid w:val="000442E2"/>
    <w:rsid w:val="00044797"/>
    <w:rsid w:val="00044FC9"/>
    <w:rsid w:val="0004538D"/>
    <w:rsid w:val="00045AD0"/>
    <w:rsid w:val="00045B00"/>
    <w:rsid w:val="00045B04"/>
    <w:rsid w:val="000461B9"/>
    <w:rsid w:val="00046A0E"/>
    <w:rsid w:val="00046B2F"/>
    <w:rsid w:val="00046DF2"/>
    <w:rsid w:val="000477A5"/>
    <w:rsid w:val="000478BD"/>
    <w:rsid w:val="00047D6E"/>
    <w:rsid w:val="000502A4"/>
    <w:rsid w:val="00050592"/>
    <w:rsid w:val="000509F9"/>
    <w:rsid w:val="00050BCD"/>
    <w:rsid w:val="00050C46"/>
    <w:rsid w:val="00050CBA"/>
    <w:rsid w:val="00050E7D"/>
    <w:rsid w:val="00051341"/>
    <w:rsid w:val="00051420"/>
    <w:rsid w:val="00051562"/>
    <w:rsid w:val="00052103"/>
    <w:rsid w:val="000523E9"/>
    <w:rsid w:val="000525CE"/>
    <w:rsid w:val="000525F5"/>
    <w:rsid w:val="000526B0"/>
    <w:rsid w:val="000529C3"/>
    <w:rsid w:val="00052AAC"/>
    <w:rsid w:val="00052B81"/>
    <w:rsid w:val="00052BC2"/>
    <w:rsid w:val="00052CE8"/>
    <w:rsid w:val="00052D1B"/>
    <w:rsid w:val="00053F3B"/>
    <w:rsid w:val="00053F94"/>
    <w:rsid w:val="000541FE"/>
    <w:rsid w:val="0005422E"/>
    <w:rsid w:val="00054932"/>
    <w:rsid w:val="00054C8A"/>
    <w:rsid w:val="0005514B"/>
    <w:rsid w:val="00055422"/>
    <w:rsid w:val="00055615"/>
    <w:rsid w:val="0005563B"/>
    <w:rsid w:val="00055D11"/>
    <w:rsid w:val="00055D75"/>
    <w:rsid w:val="00055FE1"/>
    <w:rsid w:val="000565A0"/>
    <w:rsid w:val="00057B14"/>
    <w:rsid w:val="00057CA7"/>
    <w:rsid w:val="0006021A"/>
    <w:rsid w:val="00060251"/>
    <w:rsid w:val="000606B7"/>
    <w:rsid w:val="0006076C"/>
    <w:rsid w:val="000607D1"/>
    <w:rsid w:val="00060F49"/>
    <w:rsid w:val="000614AA"/>
    <w:rsid w:val="0006155C"/>
    <w:rsid w:val="00061B25"/>
    <w:rsid w:val="00061B5F"/>
    <w:rsid w:val="00061BD4"/>
    <w:rsid w:val="00061CF6"/>
    <w:rsid w:val="000622C1"/>
    <w:rsid w:val="000623DE"/>
    <w:rsid w:val="000624B9"/>
    <w:rsid w:val="000624E2"/>
    <w:rsid w:val="00062766"/>
    <w:rsid w:val="000628D3"/>
    <w:rsid w:val="00062A0A"/>
    <w:rsid w:val="00062A93"/>
    <w:rsid w:val="000632B8"/>
    <w:rsid w:val="00063388"/>
    <w:rsid w:val="000634D1"/>
    <w:rsid w:val="00063690"/>
    <w:rsid w:val="00063752"/>
    <w:rsid w:val="00063B96"/>
    <w:rsid w:val="00063F67"/>
    <w:rsid w:val="00064737"/>
    <w:rsid w:val="00064B16"/>
    <w:rsid w:val="00065ABE"/>
    <w:rsid w:val="00065F8A"/>
    <w:rsid w:val="00066290"/>
    <w:rsid w:val="00066434"/>
    <w:rsid w:val="00066797"/>
    <w:rsid w:val="00066C8E"/>
    <w:rsid w:val="00067652"/>
    <w:rsid w:val="00067A6E"/>
    <w:rsid w:val="000703D6"/>
    <w:rsid w:val="0007060D"/>
    <w:rsid w:val="00070768"/>
    <w:rsid w:val="00070D08"/>
    <w:rsid w:val="0007118C"/>
    <w:rsid w:val="000711AA"/>
    <w:rsid w:val="000719E6"/>
    <w:rsid w:val="00071A6B"/>
    <w:rsid w:val="00071D40"/>
    <w:rsid w:val="00071DB6"/>
    <w:rsid w:val="00071DD3"/>
    <w:rsid w:val="00071EAC"/>
    <w:rsid w:val="00072104"/>
    <w:rsid w:val="0007228B"/>
    <w:rsid w:val="00072384"/>
    <w:rsid w:val="000723DC"/>
    <w:rsid w:val="000724C8"/>
    <w:rsid w:val="0007291F"/>
    <w:rsid w:val="00072992"/>
    <w:rsid w:val="00072AE2"/>
    <w:rsid w:val="00072B3B"/>
    <w:rsid w:val="00072BD8"/>
    <w:rsid w:val="00072E91"/>
    <w:rsid w:val="00073155"/>
    <w:rsid w:val="000731D4"/>
    <w:rsid w:val="000737DF"/>
    <w:rsid w:val="00073927"/>
    <w:rsid w:val="00073BC7"/>
    <w:rsid w:val="00073E42"/>
    <w:rsid w:val="00073E81"/>
    <w:rsid w:val="0007409F"/>
    <w:rsid w:val="00074279"/>
    <w:rsid w:val="000747A7"/>
    <w:rsid w:val="0007506A"/>
    <w:rsid w:val="0007598A"/>
    <w:rsid w:val="00075A3F"/>
    <w:rsid w:val="00075B39"/>
    <w:rsid w:val="00075CBC"/>
    <w:rsid w:val="00075D59"/>
    <w:rsid w:val="00075E87"/>
    <w:rsid w:val="0007613B"/>
    <w:rsid w:val="000762D6"/>
    <w:rsid w:val="00076C60"/>
    <w:rsid w:val="00076CCB"/>
    <w:rsid w:val="000771BB"/>
    <w:rsid w:val="00077312"/>
    <w:rsid w:val="00077542"/>
    <w:rsid w:val="000775C9"/>
    <w:rsid w:val="000777CC"/>
    <w:rsid w:val="00077D54"/>
    <w:rsid w:val="00077ED6"/>
    <w:rsid w:val="00077F51"/>
    <w:rsid w:val="00080221"/>
    <w:rsid w:val="0008023C"/>
    <w:rsid w:val="00080357"/>
    <w:rsid w:val="000805F2"/>
    <w:rsid w:val="000819AF"/>
    <w:rsid w:val="00081C71"/>
    <w:rsid w:val="000823AE"/>
    <w:rsid w:val="00082644"/>
    <w:rsid w:val="00082A74"/>
    <w:rsid w:val="00082B56"/>
    <w:rsid w:val="00082BB8"/>
    <w:rsid w:val="00082D34"/>
    <w:rsid w:val="00083258"/>
    <w:rsid w:val="0008344E"/>
    <w:rsid w:val="0008363E"/>
    <w:rsid w:val="000838CC"/>
    <w:rsid w:val="00083E16"/>
    <w:rsid w:val="00083F3D"/>
    <w:rsid w:val="00084B95"/>
    <w:rsid w:val="0008541C"/>
    <w:rsid w:val="0008550D"/>
    <w:rsid w:val="00085986"/>
    <w:rsid w:val="00086288"/>
    <w:rsid w:val="00086361"/>
    <w:rsid w:val="00086564"/>
    <w:rsid w:val="000867B8"/>
    <w:rsid w:val="000867BA"/>
    <w:rsid w:val="00086A02"/>
    <w:rsid w:val="00086A3F"/>
    <w:rsid w:val="00086CD1"/>
    <w:rsid w:val="00086DCC"/>
    <w:rsid w:val="00086DF1"/>
    <w:rsid w:val="000875EF"/>
    <w:rsid w:val="000876B8"/>
    <w:rsid w:val="0008775B"/>
    <w:rsid w:val="00087AB1"/>
    <w:rsid w:val="00087B4F"/>
    <w:rsid w:val="00087ED4"/>
    <w:rsid w:val="00087F6C"/>
    <w:rsid w:val="000901FD"/>
    <w:rsid w:val="0009078C"/>
    <w:rsid w:val="00090F0B"/>
    <w:rsid w:val="0009104B"/>
    <w:rsid w:val="00091107"/>
    <w:rsid w:val="000911BB"/>
    <w:rsid w:val="00091682"/>
    <w:rsid w:val="00091771"/>
    <w:rsid w:val="0009197F"/>
    <w:rsid w:val="00091AC7"/>
    <w:rsid w:val="00091BC7"/>
    <w:rsid w:val="000921B0"/>
    <w:rsid w:val="000922A0"/>
    <w:rsid w:val="000925E8"/>
    <w:rsid w:val="00092601"/>
    <w:rsid w:val="00092864"/>
    <w:rsid w:val="000929F3"/>
    <w:rsid w:val="00092DB4"/>
    <w:rsid w:val="0009302C"/>
    <w:rsid w:val="000931F1"/>
    <w:rsid w:val="00093BF7"/>
    <w:rsid w:val="00093FD7"/>
    <w:rsid w:val="0009405D"/>
    <w:rsid w:val="000942C8"/>
    <w:rsid w:val="00094474"/>
    <w:rsid w:val="00094527"/>
    <w:rsid w:val="0009471D"/>
    <w:rsid w:val="000948F0"/>
    <w:rsid w:val="00094B42"/>
    <w:rsid w:val="00094BC5"/>
    <w:rsid w:val="00094D89"/>
    <w:rsid w:val="00095198"/>
    <w:rsid w:val="000951E9"/>
    <w:rsid w:val="0009551E"/>
    <w:rsid w:val="00095857"/>
    <w:rsid w:val="00095B06"/>
    <w:rsid w:val="00095B5A"/>
    <w:rsid w:val="0009676C"/>
    <w:rsid w:val="00096935"/>
    <w:rsid w:val="00096AAF"/>
    <w:rsid w:val="00096B70"/>
    <w:rsid w:val="00096FCE"/>
    <w:rsid w:val="0009700F"/>
    <w:rsid w:val="00097033"/>
    <w:rsid w:val="0009792A"/>
    <w:rsid w:val="00097A28"/>
    <w:rsid w:val="000A01A2"/>
    <w:rsid w:val="000A08AB"/>
    <w:rsid w:val="000A0A80"/>
    <w:rsid w:val="000A0B72"/>
    <w:rsid w:val="000A0E89"/>
    <w:rsid w:val="000A124E"/>
    <w:rsid w:val="000A1937"/>
    <w:rsid w:val="000A19E3"/>
    <w:rsid w:val="000A1C15"/>
    <w:rsid w:val="000A1C28"/>
    <w:rsid w:val="000A1EC6"/>
    <w:rsid w:val="000A1FCD"/>
    <w:rsid w:val="000A2206"/>
    <w:rsid w:val="000A2266"/>
    <w:rsid w:val="000A2570"/>
    <w:rsid w:val="000A2640"/>
    <w:rsid w:val="000A28F0"/>
    <w:rsid w:val="000A2934"/>
    <w:rsid w:val="000A3403"/>
    <w:rsid w:val="000A347B"/>
    <w:rsid w:val="000A3747"/>
    <w:rsid w:val="000A3842"/>
    <w:rsid w:val="000A3ED5"/>
    <w:rsid w:val="000A3EF8"/>
    <w:rsid w:val="000A452A"/>
    <w:rsid w:val="000A45EA"/>
    <w:rsid w:val="000A4886"/>
    <w:rsid w:val="000A49BC"/>
    <w:rsid w:val="000A4DE3"/>
    <w:rsid w:val="000A4F84"/>
    <w:rsid w:val="000A518B"/>
    <w:rsid w:val="000A530E"/>
    <w:rsid w:val="000A55C6"/>
    <w:rsid w:val="000A58DE"/>
    <w:rsid w:val="000A5978"/>
    <w:rsid w:val="000A59F8"/>
    <w:rsid w:val="000A5A01"/>
    <w:rsid w:val="000A5B97"/>
    <w:rsid w:val="000A615C"/>
    <w:rsid w:val="000A6211"/>
    <w:rsid w:val="000A62CE"/>
    <w:rsid w:val="000A6504"/>
    <w:rsid w:val="000A6519"/>
    <w:rsid w:val="000A664A"/>
    <w:rsid w:val="000A71BD"/>
    <w:rsid w:val="000A7218"/>
    <w:rsid w:val="000A73C0"/>
    <w:rsid w:val="000A75D1"/>
    <w:rsid w:val="000A7BCF"/>
    <w:rsid w:val="000A7E4F"/>
    <w:rsid w:val="000B01A7"/>
    <w:rsid w:val="000B01E8"/>
    <w:rsid w:val="000B049C"/>
    <w:rsid w:val="000B052B"/>
    <w:rsid w:val="000B0862"/>
    <w:rsid w:val="000B0A25"/>
    <w:rsid w:val="000B16A3"/>
    <w:rsid w:val="000B21D1"/>
    <w:rsid w:val="000B290B"/>
    <w:rsid w:val="000B3038"/>
    <w:rsid w:val="000B36C8"/>
    <w:rsid w:val="000B3777"/>
    <w:rsid w:val="000B37BF"/>
    <w:rsid w:val="000B3932"/>
    <w:rsid w:val="000B3E4F"/>
    <w:rsid w:val="000B431C"/>
    <w:rsid w:val="000B4390"/>
    <w:rsid w:val="000B4E33"/>
    <w:rsid w:val="000B513D"/>
    <w:rsid w:val="000B579F"/>
    <w:rsid w:val="000B5850"/>
    <w:rsid w:val="000B58A4"/>
    <w:rsid w:val="000B5958"/>
    <w:rsid w:val="000B5B8E"/>
    <w:rsid w:val="000B5EDB"/>
    <w:rsid w:val="000B64B0"/>
    <w:rsid w:val="000B68C9"/>
    <w:rsid w:val="000B6958"/>
    <w:rsid w:val="000B69C5"/>
    <w:rsid w:val="000B6B81"/>
    <w:rsid w:val="000B6BDB"/>
    <w:rsid w:val="000B7235"/>
    <w:rsid w:val="000B76B8"/>
    <w:rsid w:val="000B76D2"/>
    <w:rsid w:val="000B7801"/>
    <w:rsid w:val="000B786B"/>
    <w:rsid w:val="000B78D5"/>
    <w:rsid w:val="000B7C51"/>
    <w:rsid w:val="000B7F2A"/>
    <w:rsid w:val="000C0045"/>
    <w:rsid w:val="000C0364"/>
    <w:rsid w:val="000C0438"/>
    <w:rsid w:val="000C051D"/>
    <w:rsid w:val="000C0556"/>
    <w:rsid w:val="000C090B"/>
    <w:rsid w:val="000C1844"/>
    <w:rsid w:val="000C1917"/>
    <w:rsid w:val="000C219F"/>
    <w:rsid w:val="000C220D"/>
    <w:rsid w:val="000C2300"/>
    <w:rsid w:val="000C2498"/>
    <w:rsid w:val="000C2712"/>
    <w:rsid w:val="000C27FF"/>
    <w:rsid w:val="000C29BC"/>
    <w:rsid w:val="000C2AA9"/>
    <w:rsid w:val="000C2BC9"/>
    <w:rsid w:val="000C2C3D"/>
    <w:rsid w:val="000C2E77"/>
    <w:rsid w:val="000C2FCC"/>
    <w:rsid w:val="000C3159"/>
    <w:rsid w:val="000C4DC8"/>
    <w:rsid w:val="000C4FF8"/>
    <w:rsid w:val="000C5319"/>
    <w:rsid w:val="000C5842"/>
    <w:rsid w:val="000C5849"/>
    <w:rsid w:val="000C5B49"/>
    <w:rsid w:val="000C5CAA"/>
    <w:rsid w:val="000C5CDF"/>
    <w:rsid w:val="000C5DB3"/>
    <w:rsid w:val="000C62A6"/>
    <w:rsid w:val="000C6AAA"/>
    <w:rsid w:val="000C6EFA"/>
    <w:rsid w:val="000C70C8"/>
    <w:rsid w:val="000C71CF"/>
    <w:rsid w:val="000C7479"/>
    <w:rsid w:val="000C7690"/>
    <w:rsid w:val="000C7A24"/>
    <w:rsid w:val="000D01E0"/>
    <w:rsid w:val="000D08A9"/>
    <w:rsid w:val="000D0B61"/>
    <w:rsid w:val="000D0D49"/>
    <w:rsid w:val="000D108C"/>
    <w:rsid w:val="000D10DD"/>
    <w:rsid w:val="000D162E"/>
    <w:rsid w:val="000D168F"/>
    <w:rsid w:val="000D1995"/>
    <w:rsid w:val="000D1D1E"/>
    <w:rsid w:val="000D1E8F"/>
    <w:rsid w:val="000D1F9A"/>
    <w:rsid w:val="000D2017"/>
    <w:rsid w:val="000D2428"/>
    <w:rsid w:val="000D29DD"/>
    <w:rsid w:val="000D2ACB"/>
    <w:rsid w:val="000D2B70"/>
    <w:rsid w:val="000D2C4D"/>
    <w:rsid w:val="000D2E3D"/>
    <w:rsid w:val="000D2F0C"/>
    <w:rsid w:val="000D30E5"/>
    <w:rsid w:val="000D374F"/>
    <w:rsid w:val="000D3FF1"/>
    <w:rsid w:val="000D4233"/>
    <w:rsid w:val="000D42A2"/>
    <w:rsid w:val="000D42B9"/>
    <w:rsid w:val="000D4608"/>
    <w:rsid w:val="000D4726"/>
    <w:rsid w:val="000D497C"/>
    <w:rsid w:val="000D4F41"/>
    <w:rsid w:val="000D5421"/>
    <w:rsid w:val="000D5CFA"/>
    <w:rsid w:val="000D5EEF"/>
    <w:rsid w:val="000D6338"/>
    <w:rsid w:val="000D6480"/>
    <w:rsid w:val="000D66BE"/>
    <w:rsid w:val="000D6769"/>
    <w:rsid w:val="000D6C1B"/>
    <w:rsid w:val="000D7396"/>
    <w:rsid w:val="000D759A"/>
    <w:rsid w:val="000D7BBF"/>
    <w:rsid w:val="000E01BC"/>
    <w:rsid w:val="000E0561"/>
    <w:rsid w:val="000E0722"/>
    <w:rsid w:val="000E07B5"/>
    <w:rsid w:val="000E0937"/>
    <w:rsid w:val="000E0D2E"/>
    <w:rsid w:val="000E0E9D"/>
    <w:rsid w:val="000E0F92"/>
    <w:rsid w:val="000E10B2"/>
    <w:rsid w:val="000E12FC"/>
    <w:rsid w:val="000E1310"/>
    <w:rsid w:val="000E1348"/>
    <w:rsid w:val="000E1707"/>
    <w:rsid w:val="000E178C"/>
    <w:rsid w:val="000E1C5F"/>
    <w:rsid w:val="000E22F0"/>
    <w:rsid w:val="000E2514"/>
    <w:rsid w:val="000E2781"/>
    <w:rsid w:val="000E288C"/>
    <w:rsid w:val="000E28B6"/>
    <w:rsid w:val="000E2B2E"/>
    <w:rsid w:val="000E2EF0"/>
    <w:rsid w:val="000E2FCC"/>
    <w:rsid w:val="000E301E"/>
    <w:rsid w:val="000E3196"/>
    <w:rsid w:val="000E3211"/>
    <w:rsid w:val="000E32B2"/>
    <w:rsid w:val="000E3593"/>
    <w:rsid w:val="000E378A"/>
    <w:rsid w:val="000E3B03"/>
    <w:rsid w:val="000E3C61"/>
    <w:rsid w:val="000E3C7C"/>
    <w:rsid w:val="000E3DAB"/>
    <w:rsid w:val="000E4430"/>
    <w:rsid w:val="000E4490"/>
    <w:rsid w:val="000E49B2"/>
    <w:rsid w:val="000E4ADF"/>
    <w:rsid w:val="000E513C"/>
    <w:rsid w:val="000E5211"/>
    <w:rsid w:val="000E5656"/>
    <w:rsid w:val="000E5963"/>
    <w:rsid w:val="000E5B5A"/>
    <w:rsid w:val="000E67C4"/>
    <w:rsid w:val="000E68CE"/>
    <w:rsid w:val="000E6BDB"/>
    <w:rsid w:val="000E6C39"/>
    <w:rsid w:val="000E6D71"/>
    <w:rsid w:val="000E7023"/>
    <w:rsid w:val="000E748A"/>
    <w:rsid w:val="000E7518"/>
    <w:rsid w:val="000E75B2"/>
    <w:rsid w:val="000E763B"/>
    <w:rsid w:val="000E7685"/>
    <w:rsid w:val="000E76FB"/>
    <w:rsid w:val="000E7833"/>
    <w:rsid w:val="000E79CA"/>
    <w:rsid w:val="000F0027"/>
    <w:rsid w:val="000F030F"/>
    <w:rsid w:val="000F045C"/>
    <w:rsid w:val="000F07AF"/>
    <w:rsid w:val="000F07E5"/>
    <w:rsid w:val="000F0B78"/>
    <w:rsid w:val="000F0C94"/>
    <w:rsid w:val="000F0CD2"/>
    <w:rsid w:val="000F0E8E"/>
    <w:rsid w:val="000F16CF"/>
    <w:rsid w:val="000F1B58"/>
    <w:rsid w:val="000F23BA"/>
    <w:rsid w:val="000F2460"/>
    <w:rsid w:val="000F2626"/>
    <w:rsid w:val="000F275E"/>
    <w:rsid w:val="000F287C"/>
    <w:rsid w:val="000F365A"/>
    <w:rsid w:val="000F3842"/>
    <w:rsid w:val="000F4289"/>
    <w:rsid w:val="000F4E21"/>
    <w:rsid w:val="000F4EF8"/>
    <w:rsid w:val="000F543E"/>
    <w:rsid w:val="000F5482"/>
    <w:rsid w:val="000F585B"/>
    <w:rsid w:val="000F5D85"/>
    <w:rsid w:val="000F61C4"/>
    <w:rsid w:val="000F6408"/>
    <w:rsid w:val="000F6423"/>
    <w:rsid w:val="000F6537"/>
    <w:rsid w:val="000F657A"/>
    <w:rsid w:val="000F670C"/>
    <w:rsid w:val="000F6781"/>
    <w:rsid w:val="000F67C2"/>
    <w:rsid w:val="000F6DCC"/>
    <w:rsid w:val="000F735B"/>
    <w:rsid w:val="000F73E8"/>
    <w:rsid w:val="00100849"/>
    <w:rsid w:val="00100854"/>
    <w:rsid w:val="00100DA9"/>
    <w:rsid w:val="00100FBA"/>
    <w:rsid w:val="00101222"/>
    <w:rsid w:val="00101481"/>
    <w:rsid w:val="001015BE"/>
    <w:rsid w:val="00101DE2"/>
    <w:rsid w:val="001020DF"/>
    <w:rsid w:val="001025FA"/>
    <w:rsid w:val="00102A03"/>
    <w:rsid w:val="00102DF6"/>
    <w:rsid w:val="00102E68"/>
    <w:rsid w:val="00102ECC"/>
    <w:rsid w:val="001030BF"/>
    <w:rsid w:val="00103532"/>
    <w:rsid w:val="0010357D"/>
    <w:rsid w:val="00103770"/>
    <w:rsid w:val="00103985"/>
    <w:rsid w:val="00103A1A"/>
    <w:rsid w:val="00103AB2"/>
    <w:rsid w:val="0010401D"/>
    <w:rsid w:val="001043F7"/>
    <w:rsid w:val="00104443"/>
    <w:rsid w:val="0010448D"/>
    <w:rsid w:val="001047AC"/>
    <w:rsid w:val="001048B8"/>
    <w:rsid w:val="00104B92"/>
    <w:rsid w:val="00104C13"/>
    <w:rsid w:val="00104CA5"/>
    <w:rsid w:val="00104FCA"/>
    <w:rsid w:val="001050BB"/>
    <w:rsid w:val="001053BB"/>
    <w:rsid w:val="00105ACC"/>
    <w:rsid w:val="00105DAD"/>
    <w:rsid w:val="001061DB"/>
    <w:rsid w:val="0010675A"/>
    <w:rsid w:val="001068B3"/>
    <w:rsid w:val="00106932"/>
    <w:rsid w:val="00106992"/>
    <w:rsid w:val="00106BC1"/>
    <w:rsid w:val="00106C70"/>
    <w:rsid w:val="00106D24"/>
    <w:rsid w:val="00106FBA"/>
    <w:rsid w:val="00107004"/>
    <w:rsid w:val="0010751D"/>
    <w:rsid w:val="00107DFE"/>
    <w:rsid w:val="00107E70"/>
    <w:rsid w:val="001103DC"/>
    <w:rsid w:val="001103F2"/>
    <w:rsid w:val="00110F1B"/>
    <w:rsid w:val="001116E0"/>
    <w:rsid w:val="00111B78"/>
    <w:rsid w:val="00111CD2"/>
    <w:rsid w:val="00111ED8"/>
    <w:rsid w:val="001123A9"/>
    <w:rsid w:val="00112402"/>
    <w:rsid w:val="001124CE"/>
    <w:rsid w:val="00112CA8"/>
    <w:rsid w:val="0011318A"/>
    <w:rsid w:val="00113196"/>
    <w:rsid w:val="001134D9"/>
    <w:rsid w:val="001136E5"/>
    <w:rsid w:val="00113C29"/>
    <w:rsid w:val="00113CB2"/>
    <w:rsid w:val="001140C2"/>
    <w:rsid w:val="00114170"/>
    <w:rsid w:val="0011425B"/>
    <w:rsid w:val="00114480"/>
    <w:rsid w:val="001146A0"/>
    <w:rsid w:val="00114C5F"/>
    <w:rsid w:val="00114CA5"/>
    <w:rsid w:val="00114D79"/>
    <w:rsid w:val="00114FD6"/>
    <w:rsid w:val="0011557D"/>
    <w:rsid w:val="001157E2"/>
    <w:rsid w:val="00115FB9"/>
    <w:rsid w:val="001160BF"/>
    <w:rsid w:val="00116134"/>
    <w:rsid w:val="0011613C"/>
    <w:rsid w:val="0011624A"/>
    <w:rsid w:val="0011689C"/>
    <w:rsid w:val="00116FC8"/>
    <w:rsid w:val="00117687"/>
    <w:rsid w:val="00117CF6"/>
    <w:rsid w:val="00117DD2"/>
    <w:rsid w:val="00117DEF"/>
    <w:rsid w:val="00120215"/>
    <w:rsid w:val="0012088E"/>
    <w:rsid w:val="00121049"/>
    <w:rsid w:val="00121089"/>
    <w:rsid w:val="00121162"/>
    <w:rsid w:val="0012122D"/>
    <w:rsid w:val="001214E7"/>
    <w:rsid w:val="001218A7"/>
    <w:rsid w:val="001218E8"/>
    <w:rsid w:val="00121D28"/>
    <w:rsid w:val="00121DF2"/>
    <w:rsid w:val="001222D4"/>
    <w:rsid w:val="00122B4C"/>
    <w:rsid w:val="00122CA4"/>
    <w:rsid w:val="00122D9B"/>
    <w:rsid w:val="00122E4A"/>
    <w:rsid w:val="00122FEB"/>
    <w:rsid w:val="001231E2"/>
    <w:rsid w:val="00123783"/>
    <w:rsid w:val="00123862"/>
    <w:rsid w:val="00123E5A"/>
    <w:rsid w:val="00123FA5"/>
    <w:rsid w:val="00124772"/>
    <w:rsid w:val="00124B5F"/>
    <w:rsid w:val="00125334"/>
    <w:rsid w:val="0012580C"/>
    <w:rsid w:val="001259DF"/>
    <w:rsid w:val="00125B71"/>
    <w:rsid w:val="00125D47"/>
    <w:rsid w:val="001263BF"/>
    <w:rsid w:val="00126A72"/>
    <w:rsid w:val="00126B3D"/>
    <w:rsid w:val="00126EF3"/>
    <w:rsid w:val="00126FD2"/>
    <w:rsid w:val="001272DE"/>
    <w:rsid w:val="001273FE"/>
    <w:rsid w:val="0012751A"/>
    <w:rsid w:val="00127577"/>
    <w:rsid w:val="00127ACD"/>
    <w:rsid w:val="00127CAE"/>
    <w:rsid w:val="00127DD1"/>
    <w:rsid w:val="00130260"/>
    <w:rsid w:val="00131520"/>
    <w:rsid w:val="00131649"/>
    <w:rsid w:val="0013168E"/>
    <w:rsid w:val="00131880"/>
    <w:rsid w:val="00131CF4"/>
    <w:rsid w:val="0013215A"/>
    <w:rsid w:val="001327BD"/>
    <w:rsid w:val="00132870"/>
    <w:rsid w:val="001328EC"/>
    <w:rsid w:val="001328F3"/>
    <w:rsid w:val="001328F7"/>
    <w:rsid w:val="00132B9D"/>
    <w:rsid w:val="00132CC0"/>
    <w:rsid w:val="0013319F"/>
    <w:rsid w:val="0013328A"/>
    <w:rsid w:val="00133683"/>
    <w:rsid w:val="00133ADA"/>
    <w:rsid w:val="00133E7F"/>
    <w:rsid w:val="00133FF8"/>
    <w:rsid w:val="00134516"/>
    <w:rsid w:val="0013459D"/>
    <w:rsid w:val="001345DE"/>
    <w:rsid w:val="00134872"/>
    <w:rsid w:val="0013505C"/>
    <w:rsid w:val="00135471"/>
    <w:rsid w:val="00135600"/>
    <w:rsid w:val="00135AEE"/>
    <w:rsid w:val="00135D4E"/>
    <w:rsid w:val="00136104"/>
    <w:rsid w:val="001363D3"/>
    <w:rsid w:val="0013663B"/>
    <w:rsid w:val="0013693A"/>
    <w:rsid w:val="00136A2A"/>
    <w:rsid w:val="00136AD7"/>
    <w:rsid w:val="00136F8E"/>
    <w:rsid w:val="001372EA"/>
    <w:rsid w:val="0013748E"/>
    <w:rsid w:val="00137501"/>
    <w:rsid w:val="001376C2"/>
    <w:rsid w:val="00137BBA"/>
    <w:rsid w:val="00137E31"/>
    <w:rsid w:val="00137F1A"/>
    <w:rsid w:val="0014084F"/>
    <w:rsid w:val="00140A32"/>
    <w:rsid w:val="00140F9A"/>
    <w:rsid w:val="00141457"/>
    <w:rsid w:val="001419D4"/>
    <w:rsid w:val="00141A37"/>
    <w:rsid w:val="00141E2D"/>
    <w:rsid w:val="00141F85"/>
    <w:rsid w:val="001422CF"/>
    <w:rsid w:val="00142318"/>
    <w:rsid w:val="001426D1"/>
    <w:rsid w:val="00142B7A"/>
    <w:rsid w:val="00142EEC"/>
    <w:rsid w:val="00142FBF"/>
    <w:rsid w:val="00142FC8"/>
    <w:rsid w:val="00143119"/>
    <w:rsid w:val="001431A0"/>
    <w:rsid w:val="001432BA"/>
    <w:rsid w:val="00143668"/>
    <w:rsid w:val="00143720"/>
    <w:rsid w:val="00143939"/>
    <w:rsid w:val="00144512"/>
    <w:rsid w:val="00144716"/>
    <w:rsid w:val="00144C20"/>
    <w:rsid w:val="00144CC7"/>
    <w:rsid w:val="00145083"/>
    <w:rsid w:val="001450C4"/>
    <w:rsid w:val="001454BE"/>
    <w:rsid w:val="0014569F"/>
    <w:rsid w:val="0014593B"/>
    <w:rsid w:val="00145DAC"/>
    <w:rsid w:val="0014740A"/>
    <w:rsid w:val="001479C9"/>
    <w:rsid w:val="00147C7B"/>
    <w:rsid w:val="00147EF6"/>
    <w:rsid w:val="00150473"/>
    <w:rsid w:val="001504D6"/>
    <w:rsid w:val="0015072C"/>
    <w:rsid w:val="0015084F"/>
    <w:rsid w:val="00150957"/>
    <w:rsid w:val="00150AE6"/>
    <w:rsid w:val="00150D66"/>
    <w:rsid w:val="001515BD"/>
    <w:rsid w:val="0015166D"/>
    <w:rsid w:val="001518F2"/>
    <w:rsid w:val="00151BE6"/>
    <w:rsid w:val="00151D2D"/>
    <w:rsid w:val="00151E55"/>
    <w:rsid w:val="00151F9C"/>
    <w:rsid w:val="001522CB"/>
    <w:rsid w:val="00152741"/>
    <w:rsid w:val="00152934"/>
    <w:rsid w:val="00152BBE"/>
    <w:rsid w:val="00152C70"/>
    <w:rsid w:val="00152F6A"/>
    <w:rsid w:val="0015309E"/>
    <w:rsid w:val="00153361"/>
    <w:rsid w:val="00153756"/>
    <w:rsid w:val="00153873"/>
    <w:rsid w:val="0015398E"/>
    <w:rsid w:val="00153B4F"/>
    <w:rsid w:val="001543F5"/>
    <w:rsid w:val="001544CB"/>
    <w:rsid w:val="0015472B"/>
    <w:rsid w:val="00154EF6"/>
    <w:rsid w:val="00155014"/>
    <w:rsid w:val="00155496"/>
    <w:rsid w:val="001559AE"/>
    <w:rsid w:val="00155B2A"/>
    <w:rsid w:val="00155BD1"/>
    <w:rsid w:val="00155C97"/>
    <w:rsid w:val="00156261"/>
    <w:rsid w:val="00156442"/>
    <w:rsid w:val="0015675C"/>
    <w:rsid w:val="00156912"/>
    <w:rsid w:val="00156B51"/>
    <w:rsid w:val="00156C7B"/>
    <w:rsid w:val="00156FCA"/>
    <w:rsid w:val="0015712B"/>
    <w:rsid w:val="00157371"/>
    <w:rsid w:val="001579F4"/>
    <w:rsid w:val="0016025E"/>
    <w:rsid w:val="00160632"/>
    <w:rsid w:val="0016066A"/>
    <w:rsid w:val="001609C9"/>
    <w:rsid w:val="001612CE"/>
    <w:rsid w:val="001615B5"/>
    <w:rsid w:val="00161879"/>
    <w:rsid w:val="00161920"/>
    <w:rsid w:val="00161E16"/>
    <w:rsid w:val="00161F62"/>
    <w:rsid w:val="00161F86"/>
    <w:rsid w:val="0016203B"/>
    <w:rsid w:val="0016215B"/>
    <w:rsid w:val="0016245F"/>
    <w:rsid w:val="00162CEF"/>
    <w:rsid w:val="00162DDE"/>
    <w:rsid w:val="00163957"/>
    <w:rsid w:val="0016472A"/>
    <w:rsid w:val="00164E0E"/>
    <w:rsid w:val="00165327"/>
    <w:rsid w:val="00165552"/>
    <w:rsid w:val="001655A2"/>
    <w:rsid w:val="00165763"/>
    <w:rsid w:val="00165A85"/>
    <w:rsid w:val="00165D9D"/>
    <w:rsid w:val="00165FEC"/>
    <w:rsid w:val="0016654B"/>
    <w:rsid w:val="001665A7"/>
    <w:rsid w:val="00166732"/>
    <w:rsid w:val="00166EF8"/>
    <w:rsid w:val="00166FA6"/>
    <w:rsid w:val="00167221"/>
    <w:rsid w:val="00167246"/>
    <w:rsid w:val="00167795"/>
    <w:rsid w:val="0016798D"/>
    <w:rsid w:val="00167C4A"/>
    <w:rsid w:val="001703AB"/>
    <w:rsid w:val="0017047A"/>
    <w:rsid w:val="00170522"/>
    <w:rsid w:val="001705FC"/>
    <w:rsid w:val="00170708"/>
    <w:rsid w:val="0017098B"/>
    <w:rsid w:val="00170A38"/>
    <w:rsid w:val="00170B2F"/>
    <w:rsid w:val="00170BBD"/>
    <w:rsid w:val="001713AA"/>
    <w:rsid w:val="00171402"/>
    <w:rsid w:val="001719F7"/>
    <w:rsid w:val="00171D67"/>
    <w:rsid w:val="001722BD"/>
    <w:rsid w:val="00172395"/>
    <w:rsid w:val="001723E8"/>
    <w:rsid w:val="001724F0"/>
    <w:rsid w:val="00172738"/>
    <w:rsid w:val="0017274E"/>
    <w:rsid w:val="0017283C"/>
    <w:rsid w:val="00172872"/>
    <w:rsid w:val="0017294D"/>
    <w:rsid w:val="00172AD3"/>
    <w:rsid w:val="00172C46"/>
    <w:rsid w:val="00172CC8"/>
    <w:rsid w:val="00173068"/>
    <w:rsid w:val="001737D5"/>
    <w:rsid w:val="00173C17"/>
    <w:rsid w:val="00173FD4"/>
    <w:rsid w:val="0017419E"/>
    <w:rsid w:val="00174370"/>
    <w:rsid w:val="0017450C"/>
    <w:rsid w:val="001745E9"/>
    <w:rsid w:val="00174D80"/>
    <w:rsid w:val="001751CF"/>
    <w:rsid w:val="001752E5"/>
    <w:rsid w:val="0017594B"/>
    <w:rsid w:val="00175961"/>
    <w:rsid w:val="00175D51"/>
    <w:rsid w:val="00175DD2"/>
    <w:rsid w:val="00175FB7"/>
    <w:rsid w:val="00175FBE"/>
    <w:rsid w:val="00176179"/>
    <w:rsid w:val="00176247"/>
    <w:rsid w:val="001763F8"/>
    <w:rsid w:val="0017667A"/>
    <w:rsid w:val="00176717"/>
    <w:rsid w:val="00176998"/>
    <w:rsid w:val="00176B47"/>
    <w:rsid w:val="00176C8A"/>
    <w:rsid w:val="00176D0C"/>
    <w:rsid w:val="0017708C"/>
    <w:rsid w:val="00177217"/>
    <w:rsid w:val="00177309"/>
    <w:rsid w:val="001773AC"/>
    <w:rsid w:val="001775A1"/>
    <w:rsid w:val="001777B1"/>
    <w:rsid w:val="00177C8F"/>
    <w:rsid w:val="00177D2A"/>
    <w:rsid w:val="001800C9"/>
    <w:rsid w:val="0018012E"/>
    <w:rsid w:val="0018069A"/>
    <w:rsid w:val="001807BF"/>
    <w:rsid w:val="00180B9D"/>
    <w:rsid w:val="00180BBC"/>
    <w:rsid w:val="00181033"/>
    <w:rsid w:val="001810D6"/>
    <w:rsid w:val="0018129C"/>
    <w:rsid w:val="001812AE"/>
    <w:rsid w:val="001812C8"/>
    <w:rsid w:val="0018161E"/>
    <w:rsid w:val="00181EAD"/>
    <w:rsid w:val="00182968"/>
    <w:rsid w:val="00182C30"/>
    <w:rsid w:val="00182D44"/>
    <w:rsid w:val="00183174"/>
    <w:rsid w:val="00183702"/>
    <w:rsid w:val="001839AF"/>
    <w:rsid w:val="001848D6"/>
    <w:rsid w:val="00184A27"/>
    <w:rsid w:val="00184BC9"/>
    <w:rsid w:val="00184F79"/>
    <w:rsid w:val="0018506A"/>
    <w:rsid w:val="00185791"/>
    <w:rsid w:val="00185841"/>
    <w:rsid w:val="001858EB"/>
    <w:rsid w:val="00185D17"/>
    <w:rsid w:val="00185E4F"/>
    <w:rsid w:val="00186785"/>
    <w:rsid w:val="0018691C"/>
    <w:rsid w:val="00186A1A"/>
    <w:rsid w:val="00186C77"/>
    <w:rsid w:val="0018713C"/>
    <w:rsid w:val="00187433"/>
    <w:rsid w:val="001876D5"/>
    <w:rsid w:val="00190266"/>
    <w:rsid w:val="0019049A"/>
    <w:rsid w:val="00190961"/>
    <w:rsid w:val="00190E31"/>
    <w:rsid w:val="001914E0"/>
    <w:rsid w:val="00191819"/>
    <w:rsid w:val="001919D7"/>
    <w:rsid w:val="00191FC3"/>
    <w:rsid w:val="001920A1"/>
    <w:rsid w:val="0019215A"/>
    <w:rsid w:val="00192567"/>
    <w:rsid w:val="00192E91"/>
    <w:rsid w:val="001933D3"/>
    <w:rsid w:val="0019362C"/>
    <w:rsid w:val="00193997"/>
    <w:rsid w:val="00193DF6"/>
    <w:rsid w:val="00194183"/>
    <w:rsid w:val="00194671"/>
    <w:rsid w:val="0019473D"/>
    <w:rsid w:val="00194816"/>
    <w:rsid w:val="0019489B"/>
    <w:rsid w:val="001948CC"/>
    <w:rsid w:val="00194B95"/>
    <w:rsid w:val="00194C72"/>
    <w:rsid w:val="00194FB0"/>
    <w:rsid w:val="001950D8"/>
    <w:rsid w:val="001959D9"/>
    <w:rsid w:val="00195BC2"/>
    <w:rsid w:val="00195E9F"/>
    <w:rsid w:val="0019604B"/>
    <w:rsid w:val="00196CA3"/>
    <w:rsid w:val="00196D2C"/>
    <w:rsid w:val="00196D49"/>
    <w:rsid w:val="00196EA7"/>
    <w:rsid w:val="00196F23"/>
    <w:rsid w:val="0019706D"/>
    <w:rsid w:val="00197383"/>
    <w:rsid w:val="0019776F"/>
    <w:rsid w:val="00197D99"/>
    <w:rsid w:val="00197DA0"/>
    <w:rsid w:val="00197ECE"/>
    <w:rsid w:val="001A0080"/>
    <w:rsid w:val="001A0133"/>
    <w:rsid w:val="001A02BD"/>
    <w:rsid w:val="001A0992"/>
    <w:rsid w:val="001A0BB6"/>
    <w:rsid w:val="001A0BDD"/>
    <w:rsid w:val="001A163C"/>
    <w:rsid w:val="001A1AE7"/>
    <w:rsid w:val="001A2C5E"/>
    <w:rsid w:val="001A2E68"/>
    <w:rsid w:val="001A2F53"/>
    <w:rsid w:val="001A30F2"/>
    <w:rsid w:val="001A416B"/>
    <w:rsid w:val="001A4C05"/>
    <w:rsid w:val="001A4CB5"/>
    <w:rsid w:val="001A4D84"/>
    <w:rsid w:val="001A512F"/>
    <w:rsid w:val="001A54FC"/>
    <w:rsid w:val="001A5BB3"/>
    <w:rsid w:val="001A5BEE"/>
    <w:rsid w:val="001A5C0C"/>
    <w:rsid w:val="001A5C6B"/>
    <w:rsid w:val="001A5F90"/>
    <w:rsid w:val="001A641B"/>
    <w:rsid w:val="001A676E"/>
    <w:rsid w:val="001A6C46"/>
    <w:rsid w:val="001A6F1E"/>
    <w:rsid w:val="001A70D8"/>
    <w:rsid w:val="001A7A16"/>
    <w:rsid w:val="001A7A26"/>
    <w:rsid w:val="001A7ADB"/>
    <w:rsid w:val="001A7FF0"/>
    <w:rsid w:val="001B001F"/>
    <w:rsid w:val="001B01CC"/>
    <w:rsid w:val="001B0451"/>
    <w:rsid w:val="001B0A8B"/>
    <w:rsid w:val="001B0E3B"/>
    <w:rsid w:val="001B0E97"/>
    <w:rsid w:val="001B161A"/>
    <w:rsid w:val="001B1DB4"/>
    <w:rsid w:val="001B20B1"/>
    <w:rsid w:val="001B226A"/>
    <w:rsid w:val="001B26A1"/>
    <w:rsid w:val="001B29AD"/>
    <w:rsid w:val="001B2C97"/>
    <w:rsid w:val="001B2EB1"/>
    <w:rsid w:val="001B2FD7"/>
    <w:rsid w:val="001B3536"/>
    <w:rsid w:val="001B3574"/>
    <w:rsid w:val="001B3625"/>
    <w:rsid w:val="001B372E"/>
    <w:rsid w:val="001B374E"/>
    <w:rsid w:val="001B3946"/>
    <w:rsid w:val="001B4257"/>
    <w:rsid w:val="001B430C"/>
    <w:rsid w:val="001B447D"/>
    <w:rsid w:val="001B461B"/>
    <w:rsid w:val="001B466B"/>
    <w:rsid w:val="001B4AD9"/>
    <w:rsid w:val="001B4E38"/>
    <w:rsid w:val="001B4E8C"/>
    <w:rsid w:val="001B51CF"/>
    <w:rsid w:val="001B5636"/>
    <w:rsid w:val="001B595C"/>
    <w:rsid w:val="001B59E2"/>
    <w:rsid w:val="001B5F01"/>
    <w:rsid w:val="001B64FB"/>
    <w:rsid w:val="001B6513"/>
    <w:rsid w:val="001B6A55"/>
    <w:rsid w:val="001B71EC"/>
    <w:rsid w:val="001B7799"/>
    <w:rsid w:val="001B7AF5"/>
    <w:rsid w:val="001B7DC9"/>
    <w:rsid w:val="001B7F75"/>
    <w:rsid w:val="001C0675"/>
    <w:rsid w:val="001C093E"/>
    <w:rsid w:val="001C0C61"/>
    <w:rsid w:val="001C1667"/>
    <w:rsid w:val="001C1722"/>
    <w:rsid w:val="001C1B05"/>
    <w:rsid w:val="001C1E27"/>
    <w:rsid w:val="001C1E4B"/>
    <w:rsid w:val="001C239E"/>
    <w:rsid w:val="001C2462"/>
    <w:rsid w:val="001C2669"/>
    <w:rsid w:val="001C284B"/>
    <w:rsid w:val="001C288B"/>
    <w:rsid w:val="001C2E92"/>
    <w:rsid w:val="001C3022"/>
    <w:rsid w:val="001C32F8"/>
    <w:rsid w:val="001C3975"/>
    <w:rsid w:val="001C3B43"/>
    <w:rsid w:val="001C3BB8"/>
    <w:rsid w:val="001C3D8C"/>
    <w:rsid w:val="001C3DED"/>
    <w:rsid w:val="001C4068"/>
    <w:rsid w:val="001C4109"/>
    <w:rsid w:val="001C42D4"/>
    <w:rsid w:val="001C46C6"/>
    <w:rsid w:val="001C4ABE"/>
    <w:rsid w:val="001C4B4A"/>
    <w:rsid w:val="001C51FA"/>
    <w:rsid w:val="001C5A50"/>
    <w:rsid w:val="001C60C6"/>
    <w:rsid w:val="001C65BE"/>
    <w:rsid w:val="001C6793"/>
    <w:rsid w:val="001C698D"/>
    <w:rsid w:val="001C6E11"/>
    <w:rsid w:val="001C7019"/>
    <w:rsid w:val="001C719C"/>
    <w:rsid w:val="001C7549"/>
    <w:rsid w:val="001C7BFA"/>
    <w:rsid w:val="001C7C31"/>
    <w:rsid w:val="001D06C9"/>
    <w:rsid w:val="001D07BD"/>
    <w:rsid w:val="001D0811"/>
    <w:rsid w:val="001D0A96"/>
    <w:rsid w:val="001D0FCC"/>
    <w:rsid w:val="001D11C5"/>
    <w:rsid w:val="001D1589"/>
    <w:rsid w:val="001D18FD"/>
    <w:rsid w:val="001D1E51"/>
    <w:rsid w:val="001D2070"/>
    <w:rsid w:val="001D23D2"/>
    <w:rsid w:val="001D24B7"/>
    <w:rsid w:val="001D250B"/>
    <w:rsid w:val="001D281F"/>
    <w:rsid w:val="001D2A9C"/>
    <w:rsid w:val="001D2C10"/>
    <w:rsid w:val="001D309C"/>
    <w:rsid w:val="001D37FE"/>
    <w:rsid w:val="001D3B1F"/>
    <w:rsid w:val="001D41A8"/>
    <w:rsid w:val="001D42A1"/>
    <w:rsid w:val="001D436F"/>
    <w:rsid w:val="001D4984"/>
    <w:rsid w:val="001D4B42"/>
    <w:rsid w:val="001D4C46"/>
    <w:rsid w:val="001D5359"/>
    <w:rsid w:val="001D5F4F"/>
    <w:rsid w:val="001D68EA"/>
    <w:rsid w:val="001D7228"/>
    <w:rsid w:val="001D732A"/>
    <w:rsid w:val="001D7C60"/>
    <w:rsid w:val="001D7EA2"/>
    <w:rsid w:val="001E0424"/>
    <w:rsid w:val="001E04EF"/>
    <w:rsid w:val="001E074E"/>
    <w:rsid w:val="001E1229"/>
    <w:rsid w:val="001E143D"/>
    <w:rsid w:val="001E1734"/>
    <w:rsid w:val="001E188A"/>
    <w:rsid w:val="001E188F"/>
    <w:rsid w:val="001E1926"/>
    <w:rsid w:val="001E1A30"/>
    <w:rsid w:val="001E1A7A"/>
    <w:rsid w:val="001E1B62"/>
    <w:rsid w:val="001E1D4C"/>
    <w:rsid w:val="001E211E"/>
    <w:rsid w:val="001E2652"/>
    <w:rsid w:val="001E29BE"/>
    <w:rsid w:val="001E29E4"/>
    <w:rsid w:val="001E2ABB"/>
    <w:rsid w:val="001E2C72"/>
    <w:rsid w:val="001E2EAE"/>
    <w:rsid w:val="001E33E7"/>
    <w:rsid w:val="001E3558"/>
    <w:rsid w:val="001E3DE3"/>
    <w:rsid w:val="001E4071"/>
    <w:rsid w:val="001E41F5"/>
    <w:rsid w:val="001E464B"/>
    <w:rsid w:val="001E4860"/>
    <w:rsid w:val="001E4E09"/>
    <w:rsid w:val="001E4EE2"/>
    <w:rsid w:val="001E5027"/>
    <w:rsid w:val="001E5053"/>
    <w:rsid w:val="001E5164"/>
    <w:rsid w:val="001E533D"/>
    <w:rsid w:val="001E577F"/>
    <w:rsid w:val="001E5AC1"/>
    <w:rsid w:val="001E5CDB"/>
    <w:rsid w:val="001E5DD0"/>
    <w:rsid w:val="001E60BD"/>
    <w:rsid w:val="001E6115"/>
    <w:rsid w:val="001E63B6"/>
    <w:rsid w:val="001E6446"/>
    <w:rsid w:val="001E687A"/>
    <w:rsid w:val="001E6D2D"/>
    <w:rsid w:val="001E6D93"/>
    <w:rsid w:val="001E7182"/>
    <w:rsid w:val="001E724B"/>
    <w:rsid w:val="001E7328"/>
    <w:rsid w:val="001E76D1"/>
    <w:rsid w:val="001E7816"/>
    <w:rsid w:val="001E78EA"/>
    <w:rsid w:val="001E79AA"/>
    <w:rsid w:val="001E7A7B"/>
    <w:rsid w:val="001E7AC9"/>
    <w:rsid w:val="001E7B0D"/>
    <w:rsid w:val="001E7BD1"/>
    <w:rsid w:val="001E7C84"/>
    <w:rsid w:val="001E7ECA"/>
    <w:rsid w:val="001F0F45"/>
    <w:rsid w:val="001F1017"/>
    <w:rsid w:val="001F1103"/>
    <w:rsid w:val="001F1348"/>
    <w:rsid w:val="001F1550"/>
    <w:rsid w:val="001F1870"/>
    <w:rsid w:val="001F18AF"/>
    <w:rsid w:val="001F1B50"/>
    <w:rsid w:val="001F1BEA"/>
    <w:rsid w:val="001F1C1A"/>
    <w:rsid w:val="001F25D1"/>
    <w:rsid w:val="001F2783"/>
    <w:rsid w:val="001F2791"/>
    <w:rsid w:val="001F2815"/>
    <w:rsid w:val="001F2A51"/>
    <w:rsid w:val="001F2C27"/>
    <w:rsid w:val="001F314B"/>
    <w:rsid w:val="001F339E"/>
    <w:rsid w:val="001F37D2"/>
    <w:rsid w:val="001F3979"/>
    <w:rsid w:val="001F3ED5"/>
    <w:rsid w:val="001F3F0F"/>
    <w:rsid w:val="001F4168"/>
    <w:rsid w:val="001F4284"/>
    <w:rsid w:val="001F4315"/>
    <w:rsid w:val="001F45B6"/>
    <w:rsid w:val="001F45DE"/>
    <w:rsid w:val="001F4880"/>
    <w:rsid w:val="001F49A0"/>
    <w:rsid w:val="001F4AB5"/>
    <w:rsid w:val="001F4B2A"/>
    <w:rsid w:val="001F525D"/>
    <w:rsid w:val="001F6223"/>
    <w:rsid w:val="001F6D0B"/>
    <w:rsid w:val="001F70FF"/>
    <w:rsid w:val="001F7159"/>
    <w:rsid w:val="001F76CD"/>
    <w:rsid w:val="002001E0"/>
    <w:rsid w:val="0020028D"/>
    <w:rsid w:val="002003E7"/>
    <w:rsid w:val="00200A8A"/>
    <w:rsid w:val="00201157"/>
    <w:rsid w:val="002011B1"/>
    <w:rsid w:val="002014E4"/>
    <w:rsid w:val="00201E2C"/>
    <w:rsid w:val="0020228D"/>
    <w:rsid w:val="00202975"/>
    <w:rsid w:val="00202A3E"/>
    <w:rsid w:val="00202F91"/>
    <w:rsid w:val="002030AC"/>
    <w:rsid w:val="002033EC"/>
    <w:rsid w:val="002035D6"/>
    <w:rsid w:val="00203651"/>
    <w:rsid w:val="00203986"/>
    <w:rsid w:val="002039EB"/>
    <w:rsid w:val="00204674"/>
    <w:rsid w:val="002053D6"/>
    <w:rsid w:val="002055C3"/>
    <w:rsid w:val="002056B9"/>
    <w:rsid w:val="002056C1"/>
    <w:rsid w:val="00205960"/>
    <w:rsid w:val="00205A79"/>
    <w:rsid w:val="00205AF8"/>
    <w:rsid w:val="00205B18"/>
    <w:rsid w:val="00205ECC"/>
    <w:rsid w:val="00205F19"/>
    <w:rsid w:val="00205F8F"/>
    <w:rsid w:val="002061F7"/>
    <w:rsid w:val="002066A2"/>
    <w:rsid w:val="00206E81"/>
    <w:rsid w:val="00206F4D"/>
    <w:rsid w:val="00206F6B"/>
    <w:rsid w:val="00207000"/>
    <w:rsid w:val="002076A0"/>
    <w:rsid w:val="0020776B"/>
    <w:rsid w:val="002078DF"/>
    <w:rsid w:val="00207A7F"/>
    <w:rsid w:val="00207D32"/>
    <w:rsid w:val="00207F70"/>
    <w:rsid w:val="00207F8B"/>
    <w:rsid w:val="002099B6"/>
    <w:rsid w:val="002103B9"/>
    <w:rsid w:val="00210455"/>
    <w:rsid w:val="00210657"/>
    <w:rsid w:val="00210E88"/>
    <w:rsid w:val="00210FCB"/>
    <w:rsid w:val="00211152"/>
    <w:rsid w:val="002112F9"/>
    <w:rsid w:val="00211348"/>
    <w:rsid w:val="00211496"/>
    <w:rsid w:val="00211BAC"/>
    <w:rsid w:val="00211D3B"/>
    <w:rsid w:val="00211D99"/>
    <w:rsid w:val="00211F8F"/>
    <w:rsid w:val="002124D9"/>
    <w:rsid w:val="00212646"/>
    <w:rsid w:val="002128B2"/>
    <w:rsid w:val="00212AC8"/>
    <w:rsid w:val="00212F0D"/>
    <w:rsid w:val="00213226"/>
    <w:rsid w:val="00213457"/>
    <w:rsid w:val="00213516"/>
    <w:rsid w:val="00213555"/>
    <w:rsid w:val="00213622"/>
    <w:rsid w:val="00213865"/>
    <w:rsid w:val="002144D8"/>
    <w:rsid w:val="002144F2"/>
    <w:rsid w:val="00214604"/>
    <w:rsid w:val="00214635"/>
    <w:rsid w:val="002148B8"/>
    <w:rsid w:val="00214E84"/>
    <w:rsid w:val="00214F8C"/>
    <w:rsid w:val="00215214"/>
    <w:rsid w:val="00215629"/>
    <w:rsid w:val="0021583F"/>
    <w:rsid w:val="002158CC"/>
    <w:rsid w:val="0021605D"/>
    <w:rsid w:val="00216089"/>
    <w:rsid w:val="002160C2"/>
    <w:rsid w:val="00216428"/>
    <w:rsid w:val="002167A8"/>
    <w:rsid w:val="0021692C"/>
    <w:rsid w:val="00216AE7"/>
    <w:rsid w:val="00216C0B"/>
    <w:rsid w:val="00216FAA"/>
    <w:rsid w:val="002177E8"/>
    <w:rsid w:val="00217A08"/>
    <w:rsid w:val="00217B9C"/>
    <w:rsid w:val="0022001A"/>
    <w:rsid w:val="00220123"/>
    <w:rsid w:val="00220185"/>
    <w:rsid w:val="00220373"/>
    <w:rsid w:val="002203B8"/>
    <w:rsid w:val="0022069C"/>
    <w:rsid w:val="00220ECC"/>
    <w:rsid w:val="002212A7"/>
    <w:rsid w:val="00221866"/>
    <w:rsid w:val="00221897"/>
    <w:rsid w:val="00221C8F"/>
    <w:rsid w:val="00222008"/>
    <w:rsid w:val="0022238A"/>
    <w:rsid w:val="00222C62"/>
    <w:rsid w:val="00222DCA"/>
    <w:rsid w:val="00222E2A"/>
    <w:rsid w:val="00223078"/>
    <w:rsid w:val="00223240"/>
    <w:rsid w:val="002239D1"/>
    <w:rsid w:val="00223CA2"/>
    <w:rsid w:val="00223E0D"/>
    <w:rsid w:val="0022429A"/>
    <w:rsid w:val="0022431F"/>
    <w:rsid w:val="00224372"/>
    <w:rsid w:val="00224512"/>
    <w:rsid w:val="002247DD"/>
    <w:rsid w:val="002248CD"/>
    <w:rsid w:val="00224A25"/>
    <w:rsid w:val="00224ADE"/>
    <w:rsid w:val="00224F5F"/>
    <w:rsid w:val="002250FA"/>
    <w:rsid w:val="00226176"/>
    <w:rsid w:val="002262CA"/>
    <w:rsid w:val="002265DB"/>
    <w:rsid w:val="002265E3"/>
    <w:rsid w:val="00226B02"/>
    <w:rsid w:val="00226EEB"/>
    <w:rsid w:val="00226FF7"/>
    <w:rsid w:val="002270C6"/>
    <w:rsid w:val="002274A2"/>
    <w:rsid w:val="00227733"/>
    <w:rsid w:val="00227818"/>
    <w:rsid w:val="00227869"/>
    <w:rsid w:val="00227B6F"/>
    <w:rsid w:val="00227BB6"/>
    <w:rsid w:val="00227CAF"/>
    <w:rsid w:val="00227D9C"/>
    <w:rsid w:val="00227FC7"/>
    <w:rsid w:val="00230690"/>
    <w:rsid w:val="00230B1C"/>
    <w:rsid w:val="00230C76"/>
    <w:rsid w:val="00230CAA"/>
    <w:rsid w:val="00230E07"/>
    <w:rsid w:val="00231171"/>
    <w:rsid w:val="002313A1"/>
    <w:rsid w:val="002315E7"/>
    <w:rsid w:val="002319EB"/>
    <w:rsid w:val="00231C59"/>
    <w:rsid w:val="00231CF4"/>
    <w:rsid w:val="002320F4"/>
    <w:rsid w:val="002323CF"/>
    <w:rsid w:val="002325B4"/>
    <w:rsid w:val="0023367E"/>
    <w:rsid w:val="00233812"/>
    <w:rsid w:val="002338A7"/>
    <w:rsid w:val="00233F5A"/>
    <w:rsid w:val="002342E8"/>
    <w:rsid w:val="00234AA0"/>
    <w:rsid w:val="00235867"/>
    <w:rsid w:val="00235C73"/>
    <w:rsid w:val="00235D4F"/>
    <w:rsid w:val="00236156"/>
    <w:rsid w:val="00236E07"/>
    <w:rsid w:val="00236FE5"/>
    <w:rsid w:val="002371EF"/>
    <w:rsid w:val="0023774F"/>
    <w:rsid w:val="0023782B"/>
    <w:rsid w:val="00240163"/>
    <w:rsid w:val="002410B9"/>
    <w:rsid w:val="00241531"/>
    <w:rsid w:val="00241629"/>
    <w:rsid w:val="00241730"/>
    <w:rsid w:val="0024183D"/>
    <w:rsid w:val="00241F7E"/>
    <w:rsid w:val="00242336"/>
    <w:rsid w:val="00242372"/>
    <w:rsid w:val="0024252B"/>
    <w:rsid w:val="0024273E"/>
    <w:rsid w:val="00242B16"/>
    <w:rsid w:val="00242DFE"/>
    <w:rsid w:val="0024305B"/>
    <w:rsid w:val="00243093"/>
    <w:rsid w:val="002432B7"/>
    <w:rsid w:val="002439BF"/>
    <w:rsid w:val="00243B2E"/>
    <w:rsid w:val="00243BF6"/>
    <w:rsid w:val="00243DEC"/>
    <w:rsid w:val="00243F76"/>
    <w:rsid w:val="00244229"/>
    <w:rsid w:val="002448D6"/>
    <w:rsid w:val="00244939"/>
    <w:rsid w:val="00244AC5"/>
    <w:rsid w:val="00244ED4"/>
    <w:rsid w:val="00245235"/>
    <w:rsid w:val="00245479"/>
    <w:rsid w:val="002458DD"/>
    <w:rsid w:val="00245CCC"/>
    <w:rsid w:val="00245EAB"/>
    <w:rsid w:val="00245F2B"/>
    <w:rsid w:val="00246483"/>
    <w:rsid w:val="00246B13"/>
    <w:rsid w:val="00246C35"/>
    <w:rsid w:val="00246FF4"/>
    <w:rsid w:val="0024783A"/>
    <w:rsid w:val="0024786C"/>
    <w:rsid w:val="002479CD"/>
    <w:rsid w:val="0025045A"/>
    <w:rsid w:val="0025088B"/>
    <w:rsid w:val="002508E7"/>
    <w:rsid w:val="00250C23"/>
    <w:rsid w:val="00250C78"/>
    <w:rsid w:val="00251591"/>
    <w:rsid w:val="00251671"/>
    <w:rsid w:val="0025175D"/>
    <w:rsid w:val="0025177D"/>
    <w:rsid w:val="002519E2"/>
    <w:rsid w:val="00251C35"/>
    <w:rsid w:val="00251E8A"/>
    <w:rsid w:val="002521BC"/>
    <w:rsid w:val="0025250A"/>
    <w:rsid w:val="002529AA"/>
    <w:rsid w:val="00252BD7"/>
    <w:rsid w:val="00252CD4"/>
    <w:rsid w:val="0025305A"/>
    <w:rsid w:val="002532B9"/>
    <w:rsid w:val="00253455"/>
    <w:rsid w:val="00253495"/>
    <w:rsid w:val="002538EA"/>
    <w:rsid w:val="0025407A"/>
    <w:rsid w:val="002541A9"/>
    <w:rsid w:val="0025421A"/>
    <w:rsid w:val="0025429A"/>
    <w:rsid w:val="0025429C"/>
    <w:rsid w:val="00254307"/>
    <w:rsid w:val="00254567"/>
    <w:rsid w:val="00254B63"/>
    <w:rsid w:val="002551FA"/>
    <w:rsid w:val="0025540D"/>
    <w:rsid w:val="00255B44"/>
    <w:rsid w:val="00255BE8"/>
    <w:rsid w:val="00255D69"/>
    <w:rsid w:val="00255D7D"/>
    <w:rsid w:val="00255FD9"/>
    <w:rsid w:val="00255FF3"/>
    <w:rsid w:val="00256344"/>
    <w:rsid w:val="002563B9"/>
    <w:rsid w:val="0025664B"/>
    <w:rsid w:val="002568FD"/>
    <w:rsid w:val="00256B09"/>
    <w:rsid w:val="00256B98"/>
    <w:rsid w:val="00256F29"/>
    <w:rsid w:val="00256F8A"/>
    <w:rsid w:val="002572FD"/>
    <w:rsid w:val="00257988"/>
    <w:rsid w:val="00257A96"/>
    <w:rsid w:val="00257B7F"/>
    <w:rsid w:val="00257D86"/>
    <w:rsid w:val="00260187"/>
    <w:rsid w:val="002601AD"/>
    <w:rsid w:val="00260476"/>
    <w:rsid w:val="00260623"/>
    <w:rsid w:val="00260710"/>
    <w:rsid w:val="002607B5"/>
    <w:rsid w:val="0026085D"/>
    <w:rsid w:val="002609B4"/>
    <w:rsid w:val="0026158A"/>
    <w:rsid w:val="0026166F"/>
    <w:rsid w:val="002616B1"/>
    <w:rsid w:val="0026182F"/>
    <w:rsid w:val="00261BB7"/>
    <w:rsid w:val="00262205"/>
    <w:rsid w:val="002622D7"/>
    <w:rsid w:val="0026267D"/>
    <w:rsid w:val="00262A2D"/>
    <w:rsid w:val="00262A6D"/>
    <w:rsid w:val="002630A8"/>
    <w:rsid w:val="0026339F"/>
    <w:rsid w:val="002635E1"/>
    <w:rsid w:val="00263671"/>
    <w:rsid w:val="0026383D"/>
    <w:rsid w:val="00263FC2"/>
    <w:rsid w:val="0026403C"/>
    <w:rsid w:val="002640B5"/>
    <w:rsid w:val="00264709"/>
    <w:rsid w:val="00264ABA"/>
    <w:rsid w:val="00264C41"/>
    <w:rsid w:val="0026503F"/>
    <w:rsid w:val="0026515A"/>
    <w:rsid w:val="00265B38"/>
    <w:rsid w:val="00265C01"/>
    <w:rsid w:val="00266D5B"/>
    <w:rsid w:val="0026716B"/>
    <w:rsid w:val="002673E0"/>
    <w:rsid w:val="00267F98"/>
    <w:rsid w:val="00267FAE"/>
    <w:rsid w:val="0027045D"/>
    <w:rsid w:val="0027059A"/>
    <w:rsid w:val="00271042"/>
    <w:rsid w:val="002711FA"/>
    <w:rsid w:val="00271441"/>
    <w:rsid w:val="00271628"/>
    <w:rsid w:val="00271A38"/>
    <w:rsid w:val="00271B33"/>
    <w:rsid w:val="00272225"/>
    <w:rsid w:val="00272265"/>
    <w:rsid w:val="00272393"/>
    <w:rsid w:val="00272874"/>
    <w:rsid w:val="002728B7"/>
    <w:rsid w:val="00272D82"/>
    <w:rsid w:val="00272FCF"/>
    <w:rsid w:val="00273286"/>
    <w:rsid w:val="00273527"/>
    <w:rsid w:val="00273688"/>
    <w:rsid w:val="00273B71"/>
    <w:rsid w:val="00273EB8"/>
    <w:rsid w:val="00273FE0"/>
    <w:rsid w:val="002741EA"/>
    <w:rsid w:val="0027455E"/>
    <w:rsid w:val="002746D8"/>
    <w:rsid w:val="002749E4"/>
    <w:rsid w:val="00274A2E"/>
    <w:rsid w:val="002753E8"/>
    <w:rsid w:val="002753EE"/>
    <w:rsid w:val="002757CA"/>
    <w:rsid w:val="00275EB1"/>
    <w:rsid w:val="002761C5"/>
    <w:rsid w:val="002766DC"/>
    <w:rsid w:val="00276760"/>
    <w:rsid w:val="002767FC"/>
    <w:rsid w:val="00276A73"/>
    <w:rsid w:val="00276CBF"/>
    <w:rsid w:val="00276FA5"/>
    <w:rsid w:val="002775EB"/>
    <w:rsid w:val="00277B8F"/>
    <w:rsid w:val="00277FD2"/>
    <w:rsid w:val="00280216"/>
    <w:rsid w:val="0028031C"/>
    <w:rsid w:val="0028046E"/>
    <w:rsid w:val="0028080C"/>
    <w:rsid w:val="00280A05"/>
    <w:rsid w:val="00280CD1"/>
    <w:rsid w:val="002810BB"/>
    <w:rsid w:val="00281112"/>
    <w:rsid w:val="002811CC"/>
    <w:rsid w:val="0028164E"/>
    <w:rsid w:val="0028193A"/>
    <w:rsid w:val="00281D9E"/>
    <w:rsid w:val="00281DD5"/>
    <w:rsid w:val="00281E7A"/>
    <w:rsid w:val="002820E8"/>
    <w:rsid w:val="002821DD"/>
    <w:rsid w:val="002822D2"/>
    <w:rsid w:val="00282937"/>
    <w:rsid w:val="00282E7B"/>
    <w:rsid w:val="002830FA"/>
    <w:rsid w:val="002835B4"/>
    <w:rsid w:val="0028370B"/>
    <w:rsid w:val="00283786"/>
    <w:rsid w:val="00283CD9"/>
    <w:rsid w:val="00283EF9"/>
    <w:rsid w:val="00284214"/>
    <w:rsid w:val="00284314"/>
    <w:rsid w:val="0028439E"/>
    <w:rsid w:val="0028455B"/>
    <w:rsid w:val="00284E81"/>
    <w:rsid w:val="00285323"/>
    <w:rsid w:val="002855B3"/>
    <w:rsid w:val="00285707"/>
    <w:rsid w:val="002859B0"/>
    <w:rsid w:val="00285A34"/>
    <w:rsid w:val="00285D54"/>
    <w:rsid w:val="002862D0"/>
    <w:rsid w:val="002864A8"/>
    <w:rsid w:val="00286602"/>
    <w:rsid w:val="002868F4"/>
    <w:rsid w:val="00286E10"/>
    <w:rsid w:val="00286E85"/>
    <w:rsid w:val="00287057"/>
    <w:rsid w:val="00287585"/>
    <w:rsid w:val="00287DBC"/>
    <w:rsid w:val="00287DC3"/>
    <w:rsid w:val="00290035"/>
    <w:rsid w:val="002908B3"/>
    <w:rsid w:val="00290F6C"/>
    <w:rsid w:val="0029123A"/>
    <w:rsid w:val="002917F2"/>
    <w:rsid w:val="00292547"/>
    <w:rsid w:val="00292913"/>
    <w:rsid w:val="00292BA8"/>
    <w:rsid w:val="00292C7F"/>
    <w:rsid w:val="00292FDE"/>
    <w:rsid w:val="002934C7"/>
    <w:rsid w:val="00293571"/>
    <w:rsid w:val="00293909"/>
    <w:rsid w:val="00293A92"/>
    <w:rsid w:val="00293BEE"/>
    <w:rsid w:val="00293C85"/>
    <w:rsid w:val="002942EA"/>
    <w:rsid w:val="00294527"/>
    <w:rsid w:val="0029476A"/>
    <w:rsid w:val="00294E1C"/>
    <w:rsid w:val="00294E2D"/>
    <w:rsid w:val="0029531C"/>
    <w:rsid w:val="00295905"/>
    <w:rsid w:val="002961C3"/>
    <w:rsid w:val="00296314"/>
    <w:rsid w:val="00296387"/>
    <w:rsid w:val="002964F5"/>
    <w:rsid w:val="002965A0"/>
    <w:rsid w:val="0029668E"/>
    <w:rsid w:val="002971EE"/>
    <w:rsid w:val="00297287"/>
    <w:rsid w:val="00297429"/>
    <w:rsid w:val="002976CC"/>
    <w:rsid w:val="00297A51"/>
    <w:rsid w:val="002A0030"/>
    <w:rsid w:val="002A00A7"/>
    <w:rsid w:val="002A02E8"/>
    <w:rsid w:val="002A0338"/>
    <w:rsid w:val="002A043A"/>
    <w:rsid w:val="002A078C"/>
    <w:rsid w:val="002A0D99"/>
    <w:rsid w:val="002A0E5A"/>
    <w:rsid w:val="002A0F16"/>
    <w:rsid w:val="002A0F8C"/>
    <w:rsid w:val="002A0FD2"/>
    <w:rsid w:val="002A1246"/>
    <w:rsid w:val="002A14D5"/>
    <w:rsid w:val="002A1749"/>
    <w:rsid w:val="002A1A1F"/>
    <w:rsid w:val="002A1ACF"/>
    <w:rsid w:val="002A1BFA"/>
    <w:rsid w:val="002A228E"/>
    <w:rsid w:val="002A2D6C"/>
    <w:rsid w:val="002A2E63"/>
    <w:rsid w:val="002A318E"/>
    <w:rsid w:val="002A33AE"/>
    <w:rsid w:val="002A379F"/>
    <w:rsid w:val="002A3B17"/>
    <w:rsid w:val="002A3B2F"/>
    <w:rsid w:val="002A3C55"/>
    <w:rsid w:val="002A3C5C"/>
    <w:rsid w:val="002A3E50"/>
    <w:rsid w:val="002A3EA8"/>
    <w:rsid w:val="002A4004"/>
    <w:rsid w:val="002A4016"/>
    <w:rsid w:val="002A4484"/>
    <w:rsid w:val="002A454D"/>
    <w:rsid w:val="002A4813"/>
    <w:rsid w:val="002A4CD2"/>
    <w:rsid w:val="002A4F69"/>
    <w:rsid w:val="002A5014"/>
    <w:rsid w:val="002A5383"/>
    <w:rsid w:val="002A53C1"/>
    <w:rsid w:val="002A578F"/>
    <w:rsid w:val="002A5AD1"/>
    <w:rsid w:val="002A5CA4"/>
    <w:rsid w:val="002A5D8C"/>
    <w:rsid w:val="002A6054"/>
    <w:rsid w:val="002A649F"/>
    <w:rsid w:val="002A6A32"/>
    <w:rsid w:val="002A6DE8"/>
    <w:rsid w:val="002A6DF7"/>
    <w:rsid w:val="002A6E80"/>
    <w:rsid w:val="002A700F"/>
    <w:rsid w:val="002A7305"/>
    <w:rsid w:val="002A746D"/>
    <w:rsid w:val="002A78DF"/>
    <w:rsid w:val="002A7F24"/>
    <w:rsid w:val="002A7F4C"/>
    <w:rsid w:val="002B0154"/>
    <w:rsid w:val="002B01B5"/>
    <w:rsid w:val="002B02E5"/>
    <w:rsid w:val="002B03D0"/>
    <w:rsid w:val="002B0922"/>
    <w:rsid w:val="002B093A"/>
    <w:rsid w:val="002B09DD"/>
    <w:rsid w:val="002B0A4F"/>
    <w:rsid w:val="002B1218"/>
    <w:rsid w:val="002B14EF"/>
    <w:rsid w:val="002B19E8"/>
    <w:rsid w:val="002B1EC5"/>
    <w:rsid w:val="002B23B9"/>
    <w:rsid w:val="002B2755"/>
    <w:rsid w:val="002B2E0C"/>
    <w:rsid w:val="002B2F9D"/>
    <w:rsid w:val="002B3B55"/>
    <w:rsid w:val="002B419A"/>
    <w:rsid w:val="002B41AA"/>
    <w:rsid w:val="002B44FA"/>
    <w:rsid w:val="002B47F1"/>
    <w:rsid w:val="002B4F11"/>
    <w:rsid w:val="002B5087"/>
    <w:rsid w:val="002B515F"/>
    <w:rsid w:val="002B51AA"/>
    <w:rsid w:val="002B526C"/>
    <w:rsid w:val="002B546E"/>
    <w:rsid w:val="002B5710"/>
    <w:rsid w:val="002B5787"/>
    <w:rsid w:val="002B595F"/>
    <w:rsid w:val="002B5B7F"/>
    <w:rsid w:val="002B5E66"/>
    <w:rsid w:val="002B5FEC"/>
    <w:rsid w:val="002B6C47"/>
    <w:rsid w:val="002B6C54"/>
    <w:rsid w:val="002B6D5F"/>
    <w:rsid w:val="002B6D62"/>
    <w:rsid w:val="002B70C6"/>
    <w:rsid w:val="002B7119"/>
    <w:rsid w:val="002B75E9"/>
    <w:rsid w:val="002B770E"/>
    <w:rsid w:val="002B7C5A"/>
    <w:rsid w:val="002B7CD7"/>
    <w:rsid w:val="002C0162"/>
    <w:rsid w:val="002C0349"/>
    <w:rsid w:val="002C05E6"/>
    <w:rsid w:val="002C06E1"/>
    <w:rsid w:val="002C0F94"/>
    <w:rsid w:val="002C1EEA"/>
    <w:rsid w:val="002C1F9A"/>
    <w:rsid w:val="002C267B"/>
    <w:rsid w:val="002C2FFB"/>
    <w:rsid w:val="002C33A6"/>
    <w:rsid w:val="002C3490"/>
    <w:rsid w:val="002C3596"/>
    <w:rsid w:val="002C3882"/>
    <w:rsid w:val="002C389E"/>
    <w:rsid w:val="002C3E4D"/>
    <w:rsid w:val="002C42C8"/>
    <w:rsid w:val="002C441D"/>
    <w:rsid w:val="002C4BCE"/>
    <w:rsid w:val="002C58DD"/>
    <w:rsid w:val="002C5F9A"/>
    <w:rsid w:val="002C694C"/>
    <w:rsid w:val="002C6A05"/>
    <w:rsid w:val="002C7586"/>
    <w:rsid w:val="002C77D3"/>
    <w:rsid w:val="002C787E"/>
    <w:rsid w:val="002C7890"/>
    <w:rsid w:val="002D0200"/>
    <w:rsid w:val="002D03C6"/>
    <w:rsid w:val="002D095C"/>
    <w:rsid w:val="002D0B9D"/>
    <w:rsid w:val="002D0D6A"/>
    <w:rsid w:val="002D110E"/>
    <w:rsid w:val="002D13C6"/>
    <w:rsid w:val="002D14AC"/>
    <w:rsid w:val="002D155B"/>
    <w:rsid w:val="002D161E"/>
    <w:rsid w:val="002D1DE6"/>
    <w:rsid w:val="002D1FFC"/>
    <w:rsid w:val="002D22AE"/>
    <w:rsid w:val="002D23A6"/>
    <w:rsid w:val="002D23EC"/>
    <w:rsid w:val="002D259E"/>
    <w:rsid w:val="002D2BA2"/>
    <w:rsid w:val="002D2BB7"/>
    <w:rsid w:val="002D2D29"/>
    <w:rsid w:val="002D2D9E"/>
    <w:rsid w:val="002D3112"/>
    <w:rsid w:val="002D314D"/>
    <w:rsid w:val="002D3613"/>
    <w:rsid w:val="002D43A4"/>
    <w:rsid w:val="002D4422"/>
    <w:rsid w:val="002D4500"/>
    <w:rsid w:val="002D4529"/>
    <w:rsid w:val="002D468C"/>
    <w:rsid w:val="002D46A3"/>
    <w:rsid w:val="002D4728"/>
    <w:rsid w:val="002D4AF6"/>
    <w:rsid w:val="002D4B57"/>
    <w:rsid w:val="002D521F"/>
    <w:rsid w:val="002D5437"/>
    <w:rsid w:val="002D5E44"/>
    <w:rsid w:val="002D62DC"/>
    <w:rsid w:val="002D638D"/>
    <w:rsid w:val="002D67CD"/>
    <w:rsid w:val="002D69DF"/>
    <w:rsid w:val="002D6F1B"/>
    <w:rsid w:val="002D6F23"/>
    <w:rsid w:val="002D7158"/>
    <w:rsid w:val="002D7303"/>
    <w:rsid w:val="002D744D"/>
    <w:rsid w:val="002D74FB"/>
    <w:rsid w:val="002D7A1F"/>
    <w:rsid w:val="002D7EA6"/>
    <w:rsid w:val="002E0219"/>
    <w:rsid w:val="002E0387"/>
    <w:rsid w:val="002E0468"/>
    <w:rsid w:val="002E09DC"/>
    <w:rsid w:val="002E0A2E"/>
    <w:rsid w:val="002E0CC9"/>
    <w:rsid w:val="002E116F"/>
    <w:rsid w:val="002E1299"/>
    <w:rsid w:val="002E17B0"/>
    <w:rsid w:val="002E1811"/>
    <w:rsid w:val="002E1BD8"/>
    <w:rsid w:val="002E1E71"/>
    <w:rsid w:val="002E20D2"/>
    <w:rsid w:val="002E21EA"/>
    <w:rsid w:val="002E2241"/>
    <w:rsid w:val="002E2483"/>
    <w:rsid w:val="002E24D8"/>
    <w:rsid w:val="002E29AB"/>
    <w:rsid w:val="002E3000"/>
    <w:rsid w:val="002E3127"/>
    <w:rsid w:val="002E367E"/>
    <w:rsid w:val="002E3722"/>
    <w:rsid w:val="002E3A78"/>
    <w:rsid w:val="002E465E"/>
    <w:rsid w:val="002E4854"/>
    <w:rsid w:val="002E4AD0"/>
    <w:rsid w:val="002E4C29"/>
    <w:rsid w:val="002E4E27"/>
    <w:rsid w:val="002E4E38"/>
    <w:rsid w:val="002E4F4F"/>
    <w:rsid w:val="002E578D"/>
    <w:rsid w:val="002E5B3B"/>
    <w:rsid w:val="002E5CB7"/>
    <w:rsid w:val="002E5CBE"/>
    <w:rsid w:val="002E63EB"/>
    <w:rsid w:val="002E6409"/>
    <w:rsid w:val="002E67D2"/>
    <w:rsid w:val="002E69D9"/>
    <w:rsid w:val="002E6C0A"/>
    <w:rsid w:val="002E6C4B"/>
    <w:rsid w:val="002E6CA3"/>
    <w:rsid w:val="002E72EC"/>
    <w:rsid w:val="002E73DF"/>
    <w:rsid w:val="002E77AB"/>
    <w:rsid w:val="002E7B11"/>
    <w:rsid w:val="002F00EA"/>
    <w:rsid w:val="002F0267"/>
    <w:rsid w:val="002F0CAA"/>
    <w:rsid w:val="002F1046"/>
    <w:rsid w:val="002F10EE"/>
    <w:rsid w:val="002F1263"/>
    <w:rsid w:val="002F1701"/>
    <w:rsid w:val="002F17C6"/>
    <w:rsid w:val="002F18AA"/>
    <w:rsid w:val="002F1A76"/>
    <w:rsid w:val="002F1ADB"/>
    <w:rsid w:val="002F2139"/>
    <w:rsid w:val="002F279D"/>
    <w:rsid w:val="002F29A3"/>
    <w:rsid w:val="002F308B"/>
    <w:rsid w:val="002F309C"/>
    <w:rsid w:val="002F30B8"/>
    <w:rsid w:val="002F327B"/>
    <w:rsid w:val="002F359B"/>
    <w:rsid w:val="002F3A97"/>
    <w:rsid w:val="002F3CB7"/>
    <w:rsid w:val="002F3D34"/>
    <w:rsid w:val="002F4017"/>
    <w:rsid w:val="002F42CB"/>
    <w:rsid w:val="002F45EC"/>
    <w:rsid w:val="002F4C97"/>
    <w:rsid w:val="002F4F7A"/>
    <w:rsid w:val="002F5285"/>
    <w:rsid w:val="002F5578"/>
    <w:rsid w:val="002F5A77"/>
    <w:rsid w:val="002F64EE"/>
    <w:rsid w:val="002F6774"/>
    <w:rsid w:val="002F688D"/>
    <w:rsid w:val="002F68A1"/>
    <w:rsid w:val="002F68F2"/>
    <w:rsid w:val="002F699E"/>
    <w:rsid w:val="002F704E"/>
    <w:rsid w:val="002F724B"/>
    <w:rsid w:val="002F7A28"/>
    <w:rsid w:val="002F7BC9"/>
    <w:rsid w:val="002F7D3F"/>
    <w:rsid w:val="003000DE"/>
    <w:rsid w:val="00300312"/>
    <w:rsid w:val="003003DD"/>
    <w:rsid w:val="00300EB6"/>
    <w:rsid w:val="00301558"/>
    <w:rsid w:val="003017C1"/>
    <w:rsid w:val="003017FE"/>
    <w:rsid w:val="00301A11"/>
    <w:rsid w:val="00301AB6"/>
    <w:rsid w:val="00301AC1"/>
    <w:rsid w:val="00301D2F"/>
    <w:rsid w:val="00301FD3"/>
    <w:rsid w:val="00302200"/>
    <w:rsid w:val="0030249D"/>
    <w:rsid w:val="003025F4"/>
    <w:rsid w:val="00302819"/>
    <w:rsid w:val="00303220"/>
    <w:rsid w:val="0030322F"/>
    <w:rsid w:val="0030339C"/>
    <w:rsid w:val="00303983"/>
    <w:rsid w:val="00303C20"/>
    <w:rsid w:val="003040B4"/>
    <w:rsid w:val="003048D9"/>
    <w:rsid w:val="003052AC"/>
    <w:rsid w:val="003052D9"/>
    <w:rsid w:val="003053C9"/>
    <w:rsid w:val="003053CF"/>
    <w:rsid w:val="003056E7"/>
    <w:rsid w:val="003057DE"/>
    <w:rsid w:val="00305828"/>
    <w:rsid w:val="0030592A"/>
    <w:rsid w:val="00305B26"/>
    <w:rsid w:val="00305D5E"/>
    <w:rsid w:val="00305E4D"/>
    <w:rsid w:val="00305E73"/>
    <w:rsid w:val="003060F6"/>
    <w:rsid w:val="003061D4"/>
    <w:rsid w:val="0030671E"/>
    <w:rsid w:val="00306D73"/>
    <w:rsid w:val="00307213"/>
    <w:rsid w:val="003074DC"/>
    <w:rsid w:val="00307739"/>
    <w:rsid w:val="003077D2"/>
    <w:rsid w:val="00307972"/>
    <w:rsid w:val="00307BC7"/>
    <w:rsid w:val="00307DFA"/>
    <w:rsid w:val="00307EC6"/>
    <w:rsid w:val="00307F10"/>
    <w:rsid w:val="00310006"/>
    <w:rsid w:val="0031009A"/>
    <w:rsid w:val="003101D2"/>
    <w:rsid w:val="00310492"/>
    <w:rsid w:val="00310819"/>
    <w:rsid w:val="0031086C"/>
    <w:rsid w:val="003109A2"/>
    <w:rsid w:val="003109AC"/>
    <w:rsid w:val="00310CA8"/>
    <w:rsid w:val="00310D29"/>
    <w:rsid w:val="00311174"/>
    <w:rsid w:val="00311269"/>
    <w:rsid w:val="00311988"/>
    <w:rsid w:val="003119F4"/>
    <w:rsid w:val="00311DB1"/>
    <w:rsid w:val="0031208F"/>
    <w:rsid w:val="00312112"/>
    <w:rsid w:val="0031221E"/>
    <w:rsid w:val="00312B9C"/>
    <w:rsid w:val="00312DEF"/>
    <w:rsid w:val="00312F6E"/>
    <w:rsid w:val="00313145"/>
    <w:rsid w:val="00313244"/>
    <w:rsid w:val="003133E1"/>
    <w:rsid w:val="0031343A"/>
    <w:rsid w:val="00313572"/>
    <w:rsid w:val="00313905"/>
    <w:rsid w:val="00313E3B"/>
    <w:rsid w:val="00313FD2"/>
    <w:rsid w:val="0031426C"/>
    <w:rsid w:val="00314296"/>
    <w:rsid w:val="00314542"/>
    <w:rsid w:val="0031483A"/>
    <w:rsid w:val="00314857"/>
    <w:rsid w:val="003148A7"/>
    <w:rsid w:val="0031505D"/>
    <w:rsid w:val="003154D8"/>
    <w:rsid w:val="00316014"/>
    <w:rsid w:val="00316212"/>
    <w:rsid w:val="00316228"/>
    <w:rsid w:val="003162C0"/>
    <w:rsid w:val="003162C3"/>
    <w:rsid w:val="0031644E"/>
    <w:rsid w:val="0031670E"/>
    <w:rsid w:val="0031694F"/>
    <w:rsid w:val="00316A42"/>
    <w:rsid w:val="00316AEC"/>
    <w:rsid w:val="00316B7A"/>
    <w:rsid w:val="00316D09"/>
    <w:rsid w:val="00316DA7"/>
    <w:rsid w:val="00316F04"/>
    <w:rsid w:val="00317271"/>
    <w:rsid w:val="0031754D"/>
    <w:rsid w:val="00317682"/>
    <w:rsid w:val="003176DC"/>
    <w:rsid w:val="003177BD"/>
    <w:rsid w:val="003178E3"/>
    <w:rsid w:val="00317CA3"/>
    <w:rsid w:val="00317E49"/>
    <w:rsid w:val="00317F35"/>
    <w:rsid w:val="0032013B"/>
    <w:rsid w:val="003202C7"/>
    <w:rsid w:val="003204E3"/>
    <w:rsid w:val="00320696"/>
    <w:rsid w:val="00320A46"/>
    <w:rsid w:val="00320F78"/>
    <w:rsid w:val="00321030"/>
    <w:rsid w:val="00321336"/>
    <w:rsid w:val="00321799"/>
    <w:rsid w:val="00321823"/>
    <w:rsid w:val="00321B8C"/>
    <w:rsid w:val="00321E41"/>
    <w:rsid w:val="00322138"/>
    <w:rsid w:val="003221C2"/>
    <w:rsid w:val="003227F8"/>
    <w:rsid w:val="00322AA3"/>
    <w:rsid w:val="00322FA2"/>
    <w:rsid w:val="00323073"/>
    <w:rsid w:val="0032313A"/>
    <w:rsid w:val="003237DF"/>
    <w:rsid w:val="00323C60"/>
    <w:rsid w:val="00324535"/>
    <w:rsid w:val="00324862"/>
    <w:rsid w:val="003249D3"/>
    <w:rsid w:val="00324CD8"/>
    <w:rsid w:val="00324D7B"/>
    <w:rsid w:val="0032540E"/>
    <w:rsid w:val="0032565F"/>
    <w:rsid w:val="0032579E"/>
    <w:rsid w:val="003259F7"/>
    <w:rsid w:val="00326547"/>
    <w:rsid w:val="00326570"/>
    <w:rsid w:val="00326C7D"/>
    <w:rsid w:val="00326CAF"/>
    <w:rsid w:val="00326E1C"/>
    <w:rsid w:val="00326FF5"/>
    <w:rsid w:val="00327064"/>
    <w:rsid w:val="00327538"/>
    <w:rsid w:val="003276E9"/>
    <w:rsid w:val="00327AED"/>
    <w:rsid w:val="00327B73"/>
    <w:rsid w:val="00327DBF"/>
    <w:rsid w:val="003302DE"/>
    <w:rsid w:val="0033059C"/>
    <w:rsid w:val="00330745"/>
    <w:rsid w:val="0033078E"/>
    <w:rsid w:val="00330C3C"/>
    <w:rsid w:val="00330FB5"/>
    <w:rsid w:val="00331DC5"/>
    <w:rsid w:val="00332704"/>
    <w:rsid w:val="0033294E"/>
    <w:rsid w:val="003329EA"/>
    <w:rsid w:val="00332A55"/>
    <w:rsid w:val="00332A6D"/>
    <w:rsid w:val="00332AFA"/>
    <w:rsid w:val="00333099"/>
    <w:rsid w:val="0033316A"/>
    <w:rsid w:val="00333376"/>
    <w:rsid w:val="00333A44"/>
    <w:rsid w:val="00333A47"/>
    <w:rsid w:val="00333D54"/>
    <w:rsid w:val="00333F9B"/>
    <w:rsid w:val="00334040"/>
    <w:rsid w:val="00334086"/>
    <w:rsid w:val="00334340"/>
    <w:rsid w:val="0033435C"/>
    <w:rsid w:val="0033443C"/>
    <w:rsid w:val="003346E6"/>
    <w:rsid w:val="00334A91"/>
    <w:rsid w:val="00334D38"/>
    <w:rsid w:val="00334FF0"/>
    <w:rsid w:val="00335668"/>
    <w:rsid w:val="00335A74"/>
    <w:rsid w:val="00335DDA"/>
    <w:rsid w:val="003360AB"/>
    <w:rsid w:val="003368A5"/>
    <w:rsid w:val="00336D26"/>
    <w:rsid w:val="00336DF9"/>
    <w:rsid w:val="00336EB2"/>
    <w:rsid w:val="00337514"/>
    <w:rsid w:val="003375F3"/>
    <w:rsid w:val="00337D0E"/>
    <w:rsid w:val="00337EAB"/>
    <w:rsid w:val="003400EA"/>
    <w:rsid w:val="0034037E"/>
    <w:rsid w:val="00340391"/>
    <w:rsid w:val="0034064A"/>
    <w:rsid w:val="00340917"/>
    <w:rsid w:val="00340C23"/>
    <w:rsid w:val="00340C6C"/>
    <w:rsid w:val="00340FB7"/>
    <w:rsid w:val="00340FE5"/>
    <w:rsid w:val="00341799"/>
    <w:rsid w:val="003419D6"/>
    <w:rsid w:val="00341B17"/>
    <w:rsid w:val="00341F06"/>
    <w:rsid w:val="00342198"/>
    <w:rsid w:val="00342568"/>
    <w:rsid w:val="00342BDA"/>
    <w:rsid w:val="00342FF2"/>
    <w:rsid w:val="0034330A"/>
    <w:rsid w:val="0034355A"/>
    <w:rsid w:val="00343A3A"/>
    <w:rsid w:val="00343B90"/>
    <w:rsid w:val="00343D7E"/>
    <w:rsid w:val="00344229"/>
    <w:rsid w:val="00344241"/>
    <w:rsid w:val="003446AB"/>
    <w:rsid w:val="003447C2"/>
    <w:rsid w:val="00344A04"/>
    <w:rsid w:val="00345119"/>
    <w:rsid w:val="00345575"/>
    <w:rsid w:val="0034572F"/>
    <w:rsid w:val="003459E1"/>
    <w:rsid w:val="00345A3A"/>
    <w:rsid w:val="003460FF"/>
    <w:rsid w:val="00346457"/>
    <w:rsid w:val="00346908"/>
    <w:rsid w:val="00346D14"/>
    <w:rsid w:val="003470F3"/>
    <w:rsid w:val="00347338"/>
    <w:rsid w:val="00347418"/>
    <w:rsid w:val="00347780"/>
    <w:rsid w:val="0034783E"/>
    <w:rsid w:val="003479C2"/>
    <w:rsid w:val="00347E05"/>
    <w:rsid w:val="00347E1C"/>
    <w:rsid w:val="00347EDE"/>
    <w:rsid w:val="0034991D"/>
    <w:rsid w:val="00350491"/>
    <w:rsid w:val="003504CA"/>
    <w:rsid w:val="0035055C"/>
    <w:rsid w:val="003509CD"/>
    <w:rsid w:val="00350D49"/>
    <w:rsid w:val="00350F4A"/>
    <w:rsid w:val="0035103F"/>
    <w:rsid w:val="003511A3"/>
    <w:rsid w:val="00351232"/>
    <w:rsid w:val="0035146A"/>
    <w:rsid w:val="0035153F"/>
    <w:rsid w:val="0035240D"/>
    <w:rsid w:val="00352A01"/>
    <w:rsid w:val="00352DC4"/>
    <w:rsid w:val="00352EE3"/>
    <w:rsid w:val="00352F0D"/>
    <w:rsid w:val="0035303B"/>
    <w:rsid w:val="003530D7"/>
    <w:rsid w:val="00353476"/>
    <w:rsid w:val="003537E5"/>
    <w:rsid w:val="00353814"/>
    <w:rsid w:val="00353C58"/>
    <w:rsid w:val="0035425F"/>
    <w:rsid w:val="00354837"/>
    <w:rsid w:val="0035487F"/>
    <w:rsid w:val="00354A5F"/>
    <w:rsid w:val="00354AE6"/>
    <w:rsid w:val="00354B7C"/>
    <w:rsid w:val="00354C1B"/>
    <w:rsid w:val="003553DD"/>
    <w:rsid w:val="003554F0"/>
    <w:rsid w:val="00355BD4"/>
    <w:rsid w:val="00355BFA"/>
    <w:rsid w:val="0035637B"/>
    <w:rsid w:val="00356522"/>
    <w:rsid w:val="0035654A"/>
    <w:rsid w:val="00356708"/>
    <w:rsid w:val="00356C2C"/>
    <w:rsid w:val="00356DDA"/>
    <w:rsid w:val="00356E7A"/>
    <w:rsid w:val="00357020"/>
    <w:rsid w:val="003572E2"/>
    <w:rsid w:val="003573B9"/>
    <w:rsid w:val="00357C57"/>
    <w:rsid w:val="00357DFB"/>
    <w:rsid w:val="00357E24"/>
    <w:rsid w:val="00357F4E"/>
    <w:rsid w:val="00360400"/>
    <w:rsid w:val="00360517"/>
    <w:rsid w:val="00360770"/>
    <w:rsid w:val="0036078D"/>
    <w:rsid w:val="003608AA"/>
    <w:rsid w:val="00361256"/>
    <w:rsid w:val="00361A5F"/>
    <w:rsid w:val="00361B5F"/>
    <w:rsid w:val="0036206E"/>
    <w:rsid w:val="003621AF"/>
    <w:rsid w:val="00362759"/>
    <w:rsid w:val="003627D0"/>
    <w:rsid w:val="00362BB8"/>
    <w:rsid w:val="00363465"/>
    <w:rsid w:val="00363A80"/>
    <w:rsid w:val="003640A7"/>
    <w:rsid w:val="003641A6"/>
    <w:rsid w:val="0036486A"/>
    <w:rsid w:val="0036487A"/>
    <w:rsid w:val="00364E52"/>
    <w:rsid w:val="0036584F"/>
    <w:rsid w:val="00365861"/>
    <w:rsid w:val="0036587D"/>
    <w:rsid w:val="00365EAB"/>
    <w:rsid w:val="00365F5A"/>
    <w:rsid w:val="003668B4"/>
    <w:rsid w:val="00366CE3"/>
    <w:rsid w:val="003671D7"/>
    <w:rsid w:val="00367845"/>
    <w:rsid w:val="003678BC"/>
    <w:rsid w:val="00367F1F"/>
    <w:rsid w:val="0037026B"/>
    <w:rsid w:val="003703DA"/>
    <w:rsid w:val="00370EBC"/>
    <w:rsid w:val="00370EF0"/>
    <w:rsid w:val="00371209"/>
    <w:rsid w:val="003717AF"/>
    <w:rsid w:val="0037204C"/>
    <w:rsid w:val="0037212D"/>
    <w:rsid w:val="00372978"/>
    <w:rsid w:val="00372A76"/>
    <w:rsid w:val="00372AB1"/>
    <w:rsid w:val="00372C79"/>
    <w:rsid w:val="0037399E"/>
    <w:rsid w:val="00373A35"/>
    <w:rsid w:val="00373AC0"/>
    <w:rsid w:val="00373B79"/>
    <w:rsid w:val="00373C46"/>
    <w:rsid w:val="00373C4B"/>
    <w:rsid w:val="0037519A"/>
    <w:rsid w:val="00375210"/>
    <w:rsid w:val="00375519"/>
    <w:rsid w:val="003756A6"/>
    <w:rsid w:val="00375CA8"/>
    <w:rsid w:val="00376195"/>
    <w:rsid w:val="00376549"/>
    <w:rsid w:val="003767A6"/>
    <w:rsid w:val="00376AA0"/>
    <w:rsid w:val="00376FED"/>
    <w:rsid w:val="003770B0"/>
    <w:rsid w:val="00377523"/>
    <w:rsid w:val="00377645"/>
    <w:rsid w:val="0037774F"/>
    <w:rsid w:val="0037782A"/>
    <w:rsid w:val="00377C26"/>
    <w:rsid w:val="003803D0"/>
    <w:rsid w:val="0038061D"/>
    <w:rsid w:val="0038079F"/>
    <w:rsid w:val="00380A26"/>
    <w:rsid w:val="00380C51"/>
    <w:rsid w:val="00380F05"/>
    <w:rsid w:val="00381089"/>
    <w:rsid w:val="003813CC"/>
    <w:rsid w:val="00381682"/>
    <w:rsid w:val="003816C9"/>
    <w:rsid w:val="00381809"/>
    <w:rsid w:val="0038196C"/>
    <w:rsid w:val="00382BBC"/>
    <w:rsid w:val="003831E9"/>
    <w:rsid w:val="003833C5"/>
    <w:rsid w:val="0038349C"/>
    <w:rsid w:val="00383601"/>
    <w:rsid w:val="0038369C"/>
    <w:rsid w:val="00383929"/>
    <w:rsid w:val="003839F0"/>
    <w:rsid w:val="00383A49"/>
    <w:rsid w:val="00383B14"/>
    <w:rsid w:val="00383D70"/>
    <w:rsid w:val="0038453A"/>
    <w:rsid w:val="003847E9"/>
    <w:rsid w:val="003849AF"/>
    <w:rsid w:val="003851A9"/>
    <w:rsid w:val="00385258"/>
    <w:rsid w:val="0038526B"/>
    <w:rsid w:val="00385769"/>
    <w:rsid w:val="00385C14"/>
    <w:rsid w:val="00385E46"/>
    <w:rsid w:val="00385E52"/>
    <w:rsid w:val="00385FCF"/>
    <w:rsid w:val="003861AB"/>
    <w:rsid w:val="003863F7"/>
    <w:rsid w:val="00387150"/>
    <w:rsid w:val="0038729B"/>
    <w:rsid w:val="003873C3"/>
    <w:rsid w:val="0038755F"/>
    <w:rsid w:val="003877B2"/>
    <w:rsid w:val="003878D2"/>
    <w:rsid w:val="0038798A"/>
    <w:rsid w:val="00387C29"/>
    <w:rsid w:val="003901FB"/>
    <w:rsid w:val="0039068C"/>
    <w:rsid w:val="0039079B"/>
    <w:rsid w:val="00390A7D"/>
    <w:rsid w:val="00390D98"/>
    <w:rsid w:val="00390D99"/>
    <w:rsid w:val="00391137"/>
    <w:rsid w:val="00391885"/>
    <w:rsid w:val="0039207D"/>
    <w:rsid w:val="00392428"/>
    <w:rsid w:val="00392750"/>
    <w:rsid w:val="00392D89"/>
    <w:rsid w:val="00392FCC"/>
    <w:rsid w:val="00393431"/>
    <w:rsid w:val="0039353E"/>
    <w:rsid w:val="0039421D"/>
    <w:rsid w:val="003943F2"/>
    <w:rsid w:val="003949EC"/>
    <w:rsid w:val="00394F22"/>
    <w:rsid w:val="00394FCF"/>
    <w:rsid w:val="0039543C"/>
    <w:rsid w:val="0039583B"/>
    <w:rsid w:val="00395FAC"/>
    <w:rsid w:val="00396174"/>
    <w:rsid w:val="00396180"/>
    <w:rsid w:val="003962D9"/>
    <w:rsid w:val="003967C0"/>
    <w:rsid w:val="00396A4C"/>
    <w:rsid w:val="00396E59"/>
    <w:rsid w:val="00397154"/>
    <w:rsid w:val="0039764D"/>
    <w:rsid w:val="00397895"/>
    <w:rsid w:val="003979FA"/>
    <w:rsid w:val="00397A82"/>
    <w:rsid w:val="00397F00"/>
    <w:rsid w:val="003A007B"/>
    <w:rsid w:val="003A0915"/>
    <w:rsid w:val="003A0A04"/>
    <w:rsid w:val="003A0BFC"/>
    <w:rsid w:val="003A16E7"/>
    <w:rsid w:val="003A1817"/>
    <w:rsid w:val="003A19B6"/>
    <w:rsid w:val="003A22AA"/>
    <w:rsid w:val="003A2B14"/>
    <w:rsid w:val="003A2EC0"/>
    <w:rsid w:val="003A2F62"/>
    <w:rsid w:val="003A3EF8"/>
    <w:rsid w:val="003A45B9"/>
    <w:rsid w:val="003A46EE"/>
    <w:rsid w:val="003A470B"/>
    <w:rsid w:val="003A479B"/>
    <w:rsid w:val="003A4BA3"/>
    <w:rsid w:val="003A4C5E"/>
    <w:rsid w:val="003A4EF0"/>
    <w:rsid w:val="003A52A7"/>
    <w:rsid w:val="003A570D"/>
    <w:rsid w:val="003A5759"/>
    <w:rsid w:val="003A5B52"/>
    <w:rsid w:val="003A5CBC"/>
    <w:rsid w:val="003A62C6"/>
    <w:rsid w:val="003A6307"/>
    <w:rsid w:val="003A6339"/>
    <w:rsid w:val="003A63CE"/>
    <w:rsid w:val="003A63F2"/>
    <w:rsid w:val="003A685F"/>
    <w:rsid w:val="003A6AC1"/>
    <w:rsid w:val="003A7346"/>
    <w:rsid w:val="003A7482"/>
    <w:rsid w:val="003A74C6"/>
    <w:rsid w:val="003A768C"/>
    <w:rsid w:val="003A7B64"/>
    <w:rsid w:val="003A7D9B"/>
    <w:rsid w:val="003B03BB"/>
    <w:rsid w:val="003B0639"/>
    <w:rsid w:val="003B08C2"/>
    <w:rsid w:val="003B0C3E"/>
    <w:rsid w:val="003B0D61"/>
    <w:rsid w:val="003B0EE4"/>
    <w:rsid w:val="003B131E"/>
    <w:rsid w:val="003B1429"/>
    <w:rsid w:val="003B146D"/>
    <w:rsid w:val="003B153C"/>
    <w:rsid w:val="003B16D6"/>
    <w:rsid w:val="003B1922"/>
    <w:rsid w:val="003B1ADF"/>
    <w:rsid w:val="003B1FE7"/>
    <w:rsid w:val="003B20BE"/>
    <w:rsid w:val="003B2FCE"/>
    <w:rsid w:val="003B3091"/>
    <w:rsid w:val="003B3190"/>
    <w:rsid w:val="003B33FF"/>
    <w:rsid w:val="003B347E"/>
    <w:rsid w:val="003B3792"/>
    <w:rsid w:val="003B37A9"/>
    <w:rsid w:val="003B37DA"/>
    <w:rsid w:val="003B4275"/>
    <w:rsid w:val="003B4A63"/>
    <w:rsid w:val="003B4B85"/>
    <w:rsid w:val="003B56FC"/>
    <w:rsid w:val="003B5799"/>
    <w:rsid w:val="003B586F"/>
    <w:rsid w:val="003B58AC"/>
    <w:rsid w:val="003B5C11"/>
    <w:rsid w:val="003B600F"/>
    <w:rsid w:val="003B64B5"/>
    <w:rsid w:val="003B66B7"/>
    <w:rsid w:val="003B67BE"/>
    <w:rsid w:val="003B71AF"/>
    <w:rsid w:val="003B7220"/>
    <w:rsid w:val="003B732F"/>
    <w:rsid w:val="003B7488"/>
    <w:rsid w:val="003B7956"/>
    <w:rsid w:val="003B798C"/>
    <w:rsid w:val="003B7A26"/>
    <w:rsid w:val="003B7CA1"/>
    <w:rsid w:val="003C048A"/>
    <w:rsid w:val="003C0577"/>
    <w:rsid w:val="003C0BE0"/>
    <w:rsid w:val="003C0ECC"/>
    <w:rsid w:val="003C0F84"/>
    <w:rsid w:val="003C106C"/>
    <w:rsid w:val="003C1156"/>
    <w:rsid w:val="003C1996"/>
    <w:rsid w:val="003C2480"/>
    <w:rsid w:val="003C2558"/>
    <w:rsid w:val="003C2643"/>
    <w:rsid w:val="003C2FBE"/>
    <w:rsid w:val="003C34E7"/>
    <w:rsid w:val="003C3E41"/>
    <w:rsid w:val="003C4105"/>
    <w:rsid w:val="003C417C"/>
    <w:rsid w:val="003C4388"/>
    <w:rsid w:val="003C438A"/>
    <w:rsid w:val="003C4544"/>
    <w:rsid w:val="003C48BB"/>
    <w:rsid w:val="003C50DF"/>
    <w:rsid w:val="003C51B3"/>
    <w:rsid w:val="003C5B8A"/>
    <w:rsid w:val="003C6015"/>
    <w:rsid w:val="003C61A1"/>
    <w:rsid w:val="003C6905"/>
    <w:rsid w:val="003C6A1F"/>
    <w:rsid w:val="003C747F"/>
    <w:rsid w:val="003C777B"/>
    <w:rsid w:val="003C77DA"/>
    <w:rsid w:val="003C7B9F"/>
    <w:rsid w:val="003C7E36"/>
    <w:rsid w:val="003D0049"/>
    <w:rsid w:val="003D0C75"/>
    <w:rsid w:val="003D0D86"/>
    <w:rsid w:val="003D0F4E"/>
    <w:rsid w:val="003D195C"/>
    <w:rsid w:val="003D19DC"/>
    <w:rsid w:val="003D2411"/>
    <w:rsid w:val="003D2426"/>
    <w:rsid w:val="003D2732"/>
    <w:rsid w:val="003D2BA4"/>
    <w:rsid w:val="003D2BAF"/>
    <w:rsid w:val="003D2C7C"/>
    <w:rsid w:val="003D37B6"/>
    <w:rsid w:val="003D38A3"/>
    <w:rsid w:val="003D3B15"/>
    <w:rsid w:val="003D3BCB"/>
    <w:rsid w:val="003D3E13"/>
    <w:rsid w:val="003D4162"/>
    <w:rsid w:val="003D41D0"/>
    <w:rsid w:val="003D46C6"/>
    <w:rsid w:val="003D46FD"/>
    <w:rsid w:val="003D47A7"/>
    <w:rsid w:val="003D4925"/>
    <w:rsid w:val="003D4959"/>
    <w:rsid w:val="003D4A43"/>
    <w:rsid w:val="003D4E2A"/>
    <w:rsid w:val="003D4F28"/>
    <w:rsid w:val="003D52C1"/>
    <w:rsid w:val="003D545A"/>
    <w:rsid w:val="003D56DD"/>
    <w:rsid w:val="003D5745"/>
    <w:rsid w:val="003D58CF"/>
    <w:rsid w:val="003D5904"/>
    <w:rsid w:val="003D5E28"/>
    <w:rsid w:val="003D6164"/>
    <w:rsid w:val="003D65C5"/>
    <w:rsid w:val="003D65E7"/>
    <w:rsid w:val="003D6AD3"/>
    <w:rsid w:val="003D71FB"/>
    <w:rsid w:val="003D752C"/>
    <w:rsid w:val="003D78CD"/>
    <w:rsid w:val="003D7A7A"/>
    <w:rsid w:val="003D7AC0"/>
    <w:rsid w:val="003D7B28"/>
    <w:rsid w:val="003D7C39"/>
    <w:rsid w:val="003D7D01"/>
    <w:rsid w:val="003D7D78"/>
    <w:rsid w:val="003D7F05"/>
    <w:rsid w:val="003E0241"/>
    <w:rsid w:val="003E03DA"/>
    <w:rsid w:val="003E0883"/>
    <w:rsid w:val="003E0F34"/>
    <w:rsid w:val="003E0FE2"/>
    <w:rsid w:val="003E171A"/>
    <w:rsid w:val="003E1901"/>
    <w:rsid w:val="003E1D80"/>
    <w:rsid w:val="003E1DD1"/>
    <w:rsid w:val="003E21CB"/>
    <w:rsid w:val="003E2595"/>
    <w:rsid w:val="003E26B7"/>
    <w:rsid w:val="003E26FB"/>
    <w:rsid w:val="003E2891"/>
    <w:rsid w:val="003E31B3"/>
    <w:rsid w:val="003E3208"/>
    <w:rsid w:val="003E32FD"/>
    <w:rsid w:val="003E382C"/>
    <w:rsid w:val="003E3B10"/>
    <w:rsid w:val="003E4158"/>
    <w:rsid w:val="003E46C5"/>
    <w:rsid w:val="003E47CA"/>
    <w:rsid w:val="003E4804"/>
    <w:rsid w:val="003E57DA"/>
    <w:rsid w:val="003E583E"/>
    <w:rsid w:val="003E5F90"/>
    <w:rsid w:val="003E5FD0"/>
    <w:rsid w:val="003E6179"/>
    <w:rsid w:val="003E6249"/>
    <w:rsid w:val="003E62A0"/>
    <w:rsid w:val="003E64C3"/>
    <w:rsid w:val="003E6612"/>
    <w:rsid w:val="003E6B44"/>
    <w:rsid w:val="003E6D62"/>
    <w:rsid w:val="003E6DB8"/>
    <w:rsid w:val="003E76B7"/>
    <w:rsid w:val="003E7817"/>
    <w:rsid w:val="003F00FC"/>
    <w:rsid w:val="003F0198"/>
    <w:rsid w:val="003F02D4"/>
    <w:rsid w:val="003F03F6"/>
    <w:rsid w:val="003F0AE6"/>
    <w:rsid w:val="003F0C35"/>
    <w:rsid w:val="003F0FD4"/>
    <w:rsid w:val="003F1108"/>
    <w:rsid w:val="003F126A"/>
    <w:rsid w:val="003F17F4"/>
    <w:rsid w:val="003F18E2"/>
    <w:rsid w:val="003F1AAF"/>
    <w:rsid w:val="003F1F1E"/>
    <w:rsid w:val="003F20F3"/>
    <w:rsid w:val="003F2128"/>
    <w:rsid w:val="003F2357"/>
    <w:rsid w:val="003F244A"/>
    <w:rsid w:val="003F2487"/>
    <w:rsid w:val="003F2D6C"/>
    <w:rsid w:val="003F2DB8"/>
    <w:rsid w:val="003F354F"/>
    <w:rsid w:val="003F389F"/>
    <w:rsid w:val="003F3CC1"/>
    <w:rsid w:val="003F3F74"/>
    <w:rsid w:val="003F3FFB"/>
    <w:rsid w:val="003F3FFF"/>
    <w:rsid w:val="003F45EC"/>
    <w:rsid w:val="003F4805"/>
    <w:rsid w:val="003F497D"/>
    <w:rsid w:val="003F4C4D"/>
    <w:rsid w:val="003F5235"/>
    <w:rsid w:val="003F56DE"/>
    <w:rsid w:val="003F57CA"/>
    <w:rsid w:val="003F5BD4"/>
    <w:rsid w:val="003F5C94"/>
    <w:rsid w:val="003F5C9E"/>
    <w:rsid w:val="003F5EA7"/>
    <w:rsid w:val="003F60AE"/>
    <w:rsid w:val="003F6391"/>
    <w:rsid w:val="003F66E9"/>
    <w:rsid w:val="003F686E"/>
    <w:rsid w:val="003F6B31"/>
    <w:rsid w:val="003F6C91"/>
    <w:rsid w:val="003F70C2"/>
    <w:rsid w:val="003F746F"/>
    <w:rsid w:val="003F7863"/>
    <w:rsid w:val="003F78C8"/>
    <w:rsid w:val="003F7A45"/>
    <w:rsid w:val="003F7FAC"/>
    <w:rsid w:val="004001D1"/>
    <w:rsid w:val="00400260"/>
    <w:rsid w:val="004003AA"/>
    <w:rsid w:val="00400459"/>
    <w:rsid w:val="00400795"/>
    <w:rsid w:val="004009DA"/>
    <w:rsid w:val="0040162D"/>
    <w:rsid w:val="00401D59"/>
    <w:rsid w:val="0040225A"/>
    <w:rsid w:val="00402592"/>
    <w:rsid w:val="00402B68"/>
    <w:rsid w:val="00403084"/>
    <w:rsid w:val="00403B74"/>
    <w:rsid w:val="00403C99"/>
    <w:rsid w:val="00404668"/>
    <w:rsid w:val="004046B1"/>
    <w:rsid w:val="004048FD"/>
    <w:rsid w:val="00404B06"/>
    <w:rsid w:val="00404C42"/>
    <w:rsid w:val="00405177"/>
    <w:rsid w:val="0040555E"/>
    <w:rsid w:val="0040573D"/>
    <w:rsid w:val="0040585D"/>
    <w:rsid w:val="00405A9B"/>
    <w:rsid w:val="00406168"/>
    <w:rsid w:val="00406335"/>
    <w:rsid w:val="0040645B"/>
    <w:rsid w:val="00406489"/>
    <w:rsid w:val="004068B7"/>
    <w:rsid w:val="00406AEA"/>
    <w:rsid w:val="00406B83"/>
    <w:rsid w:val="00406DBE"/>
    <w:rsid w:val="00407233"/>
    <w:rsid w:val="0040735C"/>
    <w:rsid w:val="00407807"/>
    <w:rsid w:val="004079E7"/>
    <w:rsid w:val="0041016B"/>
    <w:rsid w:val="00410190"/>
    <w:rsid w:val="0041022E"/>
    <w:rsid w:val="00410262"/>
    <w:rsid w:val="00410BB2"/>
    <w:rsid w:val="004113F8"/>
    <w:rsid w:val="00411ADF"/>
    <w:rsid w:val="00411B06"/>
    <w:rsid w:val="00411BFF"/>
    <w:rsid w:val="00411C02"/>
    <w:rsid w:val="00412100"/>
    <w:rsid w:val="00412489"/>
    <w:rsid w:val="0041297C"/>
    <w:rsid w:val="00413263"/>
    <w:rsid w:val="004137B3"/>
    <w:rsid w:val="004137F2"/>
    <w:rsid w:val="00413863"/>
    <w:rsid w:val="00413A0E"/>
    <w:rsid w:val="00413D4C"/>
    <w:rsid w:val="00413E2D"/>
    <w:rsid w:val="00414028"/>
    <w:rsid w:val="004143A7"/>
    <w:rsid w:val="004145A8"/>
    <w:rsid w:val="00414649"/>
    <w:rsid w:val="00414800"/>
    <w:rsid w:val="00414976"/>
    <w:rsid w:val="00414B41"/>
    <w:rsid w:val="0041521E"/>
    <w:rsid w:val="0041531A"/>
    <w:rsid w:val="004153E3"/>
    <w:rsid w:val="00415878"/>
    <w:rsid w:val="004167B7"/>
    <w:rsid w:val="00416BC4"/>
    <w:rsid w:val="00416C95"/>
    <w:rsid w:val="00417181"/>
    <w:rsid w:val="004172D6"/>
    <w:rsid w:val="004174C2"/>
    <w:rsid w:val="004175AE"/>
    <w:rsid w:val="00417A28"/>
    <w:rsid w:val="00417B29"/>
    <w:rsid w:val="00417F29"/>
    <w:rsid w:val="00417F58"/>
    <w:rsid w:val="00420083"/>
    <w:rsid w:val="0042027C"/>
    <w:rsid w:val="00420354"/>
    <w:rsid w:val="00420A16"/>
    <w:rsid w:val="00420B62"/>
    <w:rsid w:val="00420E84"/>
    <w:rsid w:val="0042131B"/>
    <w:rsid w:val="00421477"/>
    <w:rsid w:val="00421A4C"/>
    <w:rsid w:val="00421D13"/>
    <w:rsid w:val="00421DAF"/>
    <w:rsid w:val="00421E04"/>
    <w:rsid w:val="00421EF5"/>
    <w:rsid w:val="004223D1"/>
    <w:rsid w:val="0042246B"/>
    <w:rsid w:val="004224BE"/>
    <w:rsid w:val="0042264E"/>
    <w:rsid w:val="004227F6"/>
    <w:rsid w:val="00422C8E"/>
    <w:rsid w:val="0042313B"/>
    <w:rsid w:val="004235BD"/>
    <w:rsid w:val="00423602"/>
    <w:rsid w:val="004239A2"/>
    <w:rsid w:val="004243FF"/>
    <w:rsid w:val="0042449A"/>
    <w:rsid w:val="00424A1B"/>
    <w:rsid w:val="004257F8"/>
    <w:rsid w:val="004259F6"/>
    <w:rsid w:val="00425AA4"/>
    <w:rsid w:val="00425AB7"/>
    <w:rsid w:val="00425E81"/>
    <w:rsid w:val="004261DB"/>
    <w:rsid w:val="004264E2"/>
    <w:rsid w:val="00427107"/>
    <w:rsid w:val="00427519"/>
    <w:rsid w:val="004278A7"/>
    <w:rsid w:val="00427BFA"/>
    <w:rsid w:val="00427F60"/>
    <w:rsid w:val="004301FF"/>
    <w:rsid w:val="0043030E"/>
    <w:rsid w:val="00430315"/>
    <w:rsid w:val="00430722"/>
    <w:rsid w:val="00430D44"/>
    <w:rsid w:val="0043108D"/>
    <w:rsid w:val="004311D8"/>
    <w:rsid w:val="004313E2"/>
    <w:rsid w:val="004316C9"/>
    <w:rsid w:val="0043179F"/>
    <w:rsid w:val="00431EBD"/>
    <w:rsid w:val="0043290E"/>
    <w:rsid w:val="0043307D"/>
    <w:rsid w:val="00433185"/>
    <w:rsid w:val="004334A5"/>
    <w:rsid w:val="004335A4"/>
    <w:rsid w:val="00433BA6"/>
    <w:rsid w:val="00433EF9"/>
    <w:rsid w:val="004343F5"/>
    <w:rsid w:val="0043465C"/>
    <w:rsid w:val="00434716"/>
    <w:rsid w:val="004349E5"/>
    <w:rsid w:val="00434A63"/>
    <w:rsid w:val="00434DC2"/>
    <w:rsid w:val="00435159"/>
    <w:rsid w:val="0043531B"/>
    <w:rsid w:val="004358B1"/>
    <w:rsid w:val="00435B0B"/>
    <w:rsid w:val="00435C33"/>
    <w:rsid w:val="004368D8"/>
    <w:rsid w:val="00436A39"/>
    <w:rsid w:val="00436B79"/>
    <w:rsid w:val="00436E20"/>
    <w:rsid w:val="00437095"/>
    <w:rsid w:val="00437185"/>
    <w:rsid w:val="0043725F"/>
    <w:rsid w:val="0043777C"/>
    <w:rsid w:val="004379C7"/>
    <w:rsid w:val="004379F4"/>
    <w:rsid w:val="00437FEE"/>
    <w:rsid w:val="004400B9"/>
    <w:rsid w:val="00441109"/>
    <w:rsid w:val="00441351"/>
    <w:rsid w:val="00441467"/>
    <w:rsid w:val="00441781"/>
    <w:rsid w:val="00441980"/>
    <w:rsid w:val="0044198E"/>
    <w:rsid w:val="0044216A"/>
    <w:rsid w:val="00442A44"/>
    <w:rsid w:val="00442E4B"/>
    <w:rsid w:val="0044302E"/>
    <w:rsid w:val="004433B4"/>
    <w:rsid w:val="00443405"/>
    <w:rsid w:val="0044380B"/>
    <w:rsid w:val="00443C12"/>
    <w:rsid w:val="00443EDE"/>
    <w:rsid w:val="00443F99"/>
    <w:rsid w:val="004442BF"/>
    <w:rsid w:val="004443B7"/>
    <w:rsid w:val="004443F8"/>
    <w:rsid w:val="00444BA8"/>
    <w:rsid w:val="0044505D"/>
    <w:rsid w:val="004456BE"/>
    <w:rsid w:val="00445C42"/>
    <w:rsid w:val="0044609C"/>
    <w:rsid w:val="004462CC"/>
    <w:rsid w:val="0044697B"/>
    <w:rsid w:val="00446AB7"/>
    <w:rsid w:val="00446ACE"/>
    <w:rsid w:val="00446C89"/>
    <w:rsid w:val="00446F01"/>
    <w:rsid w:val="00447808"/>
    <w:rsid w:val="00447A95"/>
    <w:rsid w:val="00447D17"/>
    <w:rsid w:val="00447D67"/>
    <w:rsid w:val="004500AD"/>
    <w:rsid w:val="004500C8"/>
    <w:rsid w:val="004501CC"/>
    <w:rsid w:val="00450F33"/>
    <w:rsid w:val="0045100E"/>
    <w:rsid w:val="00451207"/>
    <w:rsid w:val="00451789"/>
    <w:rsid w:val="00451879"/>
    <w:rsid w:val="00451E79"/>
    <w:rsid w:val="004528EB"/>
    <w:rsid w:val="00452B67"/>
    <w:rsid w:val="00452C77"/>
    <w:rsid w:val="00452E56"/>
    <w:rsid w:val="00452EAB"/>
    <w:rsid w:val="0045323B"/>
    <w:rsid w:val="00453707"/>
    <w:rsid w:val="00453857"/>
    <w:rsid w:val="00453FC7"/>
    <w:rsid w:val="0045417F"/>
    <w:rsid w:val="00454E07"/>
    <w:rsid w:val="00455BAC"/>
    <w:rsid w:val="004560E7"/>
    <w:rsid w:val="00456BE4"/>
    <w:rsid w:val="0046012A"/>
    <w:rsid w:val="00460974"/>
    <w:rsid w:val="00460C88"/>
    <w:rsid w:val="004613F2"/>
    <w:rsid w:val="004622C4"/>
    <w:rsid w:val="00462300"/>
    <w:rsid w:val="00462940"/>
    <w:rsid w:val="00462B46"/>
    <w:rsid w:val="00462C48"/>
    <w:rsid w:val="00462F11"/>
    <w:rsid w:val="004637CA"/>
    <w:rsid w:val="004638A1"/>
    <w:rsid w:val="00463A32"/>
    <w:rsid w:val="00463DA1"/>
    <w:rsid w:val="0046453A"/>
    <w:rsid w:val="0046468F"/>
    <w:rsid w:val="00464ABC"/>
    <w:rsid w:val="00464DA2"/>
    <w:rsid w:val="00464F9E"/>
    <w:rsid w:val="004653D1"/>
    <w:rsid w:val="004658E1"/>
    <w:rsid w:val="00465A7C"/>
    <w:rsid w:val="00465F13"/>
    <w:rsid w:val="004665B9"/>
    <w:rsid w:val="004667FB"/>
    <w:rsid w:val="00466BD4"/>
    <w:rsid w:val="00466BF3"/>
    <w:rsid w:val="00466CEC"/>
    <w:rsid w:val="00467175"/>
    <w:rsid w:val="0046725A"/>
    <w:rsid w:val="00467397"/>
    <w:rsid w:val="00467C8F"/>
    <w:rsid w:val="00467D34"/>
    <w:rsid w:val="00470AA8"/>
    <w:rsid w:val="00470FDD"/>
    <w:rsid w:val="00470FE3"/>
    <w:rsid w:val="0047104D"/>
    <w:rsid w:val="004718F9"/>
    <w:rsid w:val="0047196E"/>
    <w:rsid w:val="00471E1A"/>
    <w:rsid w:val="00471F07"/>
    <w:rsid w:val="00472352"/>
    <w:rsid w:val="004724A3"/>
    <w:rsid w:val="00472835"/>
    <w:rsid w:val="00472A3D"/>
    <w:rsid w:val="00472A84"/>
    <w:rsid w:val="00472A8C"/>
    <w:rsid w:val="00472B6E"/>
    <w:rsid w:val="00472ED5"/>
    <w:rsid w:val="0047364B"/>
    <w:rsid w:val="004736F9"/>
    <w:rsid w:val="004737C0"/>
    <w:rsid w:val="00473900"/>
    <w:rsid w:val="004740C8"/>
    <w:rsid w:val="00474542"/>
    <w:rsid w:val="004746E3"/>
    <w:rsid w:val="00474B90"/>
    <w:rsid w:val="00474D44"/>
    <w:rsid w:val="00474E1F"/>
    <w:rsid w:val="004754FA"/>
    <w:rsid w:val="0047572B"/>
    <w:rsid w:val="00475A87"/>
    <w:rsid w:val="00475C0C"/>
    <w:rsid w:val="00475F77"/>
    <w:rsid w:val="00476196"/>
    <w:rsid w:val="004762D2"/>
    <w:rsid w:val="0047644F"/>
    <w:rsid w:val="004771EB"/>
    <w:rsid w:val="0047747F"/>
    <w:rsid w:val="00477BD3"/>
    <w:rsid w:val="00477CA4"/>
    <w:rsid w:val="00477EAC"/>
    <w:rsid w:val="00480D29"/>
    <w:rsid w:val="004814C0"/>
    <w:rsid w:val="004814F6"/>
    <w:rsid w:val="00481533"/>
    <w:rsid w:val="00481C8A"/>
    <w:rsid w:val="00481DC6"/>
    <w:rsid w:val="0048201D"/>
    <w:rsid w:val="0048204A"/>
    <w:rsid w:val="004820F9"/>
    <w:rsid w:val="00482290"/>
    <w:rsid w:val="004822ED"/>
    <w:rsid w:val="0048259A"/>
    <w:rsid w:val="0048284F"/>
    <w:rsid w:val="00482D12"/>
    <w:rsid w:val="00482F2A"/>
    <w:rsid w:val="0048307E"/>
    <w:rsid w:val="004831CB"/>
    <w:rsid w:val="004832B6"/>
    <w:rsid w:val="004832DD"/>
    <w:rsid w:val="00483685"/>
    <w:rsid w:val="00483B56"/>
    <w:rsid w:val="00483D1A"/>
    <w:rsid w:val="0048405A"/>
    <w:rsid w:val="00484240"/>
    <w:rsid w:val="00484376"/>
    <w:rsid w:val="004844D9"/>
    <w:rsid w:val="004845C7"/>
    <w:rsid w:val="004845E5"/>
    <w:rsid w:val="00484A09"/>
    <w:rsid w:val="00484B31"/>
    <w:rsid w:val="00484F20"/>
    <w:rsid w:val="00485193"/>
    <w:rsid w:val="0048526B"/>
    <w:rsid w:val="0048546F"/>
    <w:rsid w:val="004859DD"/>
    <w:rsid w:val="00485A94"/>
    <w:rsid w:val="00486087"/>
    <w:rsid w:val="0048630F"/>
    <w:rsid w:val="0048631A"/>
    <w:rsid w:val="004865AC"/>
    <w:rsid w:val="00486778"/>
    <w:rsid w:val="00486981"/>
    <w:rsid w:val="00486C43"/>
    <w:rsid w:val="00486DBD"/>
    <w:rsid w:val="0048735A"/>
    <w:rsid w:val="0048750F"/>
    <w:rsid w:val="00487685"/>
    <w:rsid w:val="00487738"/>
    <w:rsid w:val="004901E4"/>
    <w:rsid w:val="00490491"/>
    <w:rsid w:val="004906A6"/>
    <w:rsid w:val="00490A42"/>
    <w:rsid w:val="00490D47"/>
    <w:rsid w:val="00491356"/>
    <w:rsid w:val="00491501"/>
    <w:rsid w:val="004917B6"/>
    <w:rsid w:val="004918D3"/>
    <w:rsid w:val="004919BF"/>
    <w:rsid w:val="00491B5B"/>
    <w:rsid w:val="00491D1A"/>
    <w:rsid w:val="00491FD6"/>
    <w:rsid w:val="004922A0"/>
    <w:rsid w:val="00492408"/>
    <w:rsid w:val="00492865"/>
    <w:rsid w:val="0049291E"/>
    <w:rsid w:val="00492F61"/>
    <w:rsid w:val="00493086"/>
    <w:rsid w:val="004931C3"/>
    <w:rsid w:val="0049338C"/>
    <w:rsid w:val="00493412"/>
    <w:rsid w:val="00493584"/>
    <w:rsid w:val="0049420E"/>
    <w:rsid w:val="00494416"/>
    <w:rsid w:val="00494718"/>
    <w:rsid w:val="00494C39"/>
    <w:rsid w:val="0049508F"/>
    <w:rsid w:val="00495429"/>
    <w:rsid w:val="004954DB"/>
    <w:rsid w:val="0049577D"/>
    <w:rsid w:val="00495B24"/>
    <w:rsid w:val="00495F5A"/>
    <w:rsid w:val="00496098"/>
    <w:rsid w:val="00496122"/>
    <w:rsid w:val="004967A5"/>
    <w:rsid w:val="0049690F"/>
    <w:rsid w:val="0049697A"/>
    <w:rsid w:val="00496C8A"/>
    <w:rsid w:val="0049765D"/>
    <w:rsid w:val="004A0978"/>
    <w:rsid w:val="004A099E"/>
    <w:rsid w:val="004A0F39"/>
    <w:rsid w:val="004A11D7"/>
    <w:rsid w:val="004A1708"/>
    <w:rsid w:val="004A1879"/>
    <w:rsid w:val="004A1EA1"/>
    <w:rsid w:val="004A2121"/>
    <w:rsid w:val="004A21EC"/>
    <w:rsid w:val="004A25D8"/>
    <w:rsid w:val="004A2F5B"/>
    <w:rsid w:val="004A327F"/>
    <w:rsid w:val="004A33E1"/>
    <w:rsid w:val="004A349B"/>
    <w:rsid w:val="004A3635"/>
    <w:rsid w:val="004A3894"/>
    <w:rsid w:val="004A3AE2"/>
    <w:rsid w:val="004A3D40"/>
    <w:rsid w:val="004A3F21"/>
    <w:rsid w:val="004A445B"/>
    <w:rsid w:val="004A4956"/>
    <w:rsid w:val="004A4CA6"/>
    <w:rsid w:val="004A506C"/>
    <w:rsid w:val="004A50B9"/>
    <w:rsid w:val="004A573C"/>
    <w:rsid w:val="004A59D6"/>
    <w:rsid w:val="004A59F9"/>
    <w:rsid w:val="004A5D74"/>
    <w:rsid w:val="004A5E3D"/>
    <w:rsid w:val="004A5E50"/>
    <w:rsid w:val="004A5FE5"/>
    <w:rsid w:val="004A60FC"/>
    <w:rsid w:val="004A6147"/>
    <w:rsid w:val="004A627D"/>
    <w:rsid w:val="004A6441"/>
    <w:rsid w:val="004A6E2D"/>
    <w:rsid w:val="004B0109"/>
    <w:rsid w:val="004B02CC"/>
    <w:rsid w:val="004B0395"/>
    <w:rsid w:val="004B057C"/>
    <w:rsid w:val="004B0922"/>
    <w:rsid w:val="004B0D72"/>
    <w:rsid w:val="004B0E2A"/>
    <w:rsid w:val="004B0F26"/>
    <w:rsid w:val="004B1088"/>
    <w:rsid w:val="004B121E"/>
    <w:rsid w:val="004B1474"/>
    <w:rsid w:val="004B16E6"/>
    <w:rsid w:val="004B17AA"/>
    <w:rsid w:val="004B239E"/>
    <w:rsid w:val="004B2635"/>
    <w:rsid w:val="004B2987"/>
    <w:rsid w:val="004B2D3E"/>
    <w:rsid w:val="004B2D5A"/>
    <w:rsid w:val="004B3001"/>
    <w:rsid w:val="004B301A"/>
    <w:rsid w:val="004B301E"/>
    <w:rsid w:val="004B3086"/>
    <w:rsid w:val="004B3202"/>
    <w:rsid w:val="004B3208"/>
    <w:rsid w:val="004B32C2"/>
    <w:rsid w:val="004B33D0"/>
    <w:rsid w:val="004B3C6E"/>
    <w:rsid w:val="004B3D73"/>
    <w:rsid w:val="004B448B"/>
    <w:rsid w:val="004B4952"/>
    <w:rsid w:val="004B4D8C"/>
    <w:rsid w:val="004B4E93"/>
    <w:rsid w:val="004B4F61"/>
    <w:rsid w:val="004B5020"/>
    <w:rsid w:val="004B5279"/>
    <w:rsid w:val="004B579E"/>
    <w:rsid w:val="004B5A5C"/>
    <w:rsid w:val="004B5B67"/>
    <w:rsid w:val="004B5D1E"/>
    <w:rsid w:val="004B6109"/>
    <w:rsid w:val="004B6177"/>
    <w:rsid w:val="004B64ED"/>
    <w:rsid w:val="004B6528"/>
    <w:rsid w:val="004B65B8"/>
    <w:rsid w:val="004B6BC8"/>
    <w:rsid w:val="004B6BCD"/>
    <w:rsid w:val="004B6FB1"/>
    <w:rsid w:val="004B70EF"/>
    <w:rsid w:val="004B7562"/>
    <w:rsid w:val="004B75AC"/>
    <w:rsid w:val="004B76C5"/>
    <w:rsid w:val="004B7F44"/>
    <w:rsid w:val="004C00E4"/>
    <w:rsid w:val="004C017D"/>
    <w:rsid w:val="004C03C7"/>
    <w:rsid w:val="004C0B88"/>
    <w:rsid w:val="004C0BBB"/>
    <w:rsid w:val="004C135D"/>
    <w:rsid w:val="004C16DF"/>
    <w:rsid w:val="004C1978"/>
    <w:rsid w:val="004C19EF"/>
    <w:rsid w:val="004C1BBA"/>
    <w:rsid w:val="004C1D80"/>
    <w:rsid w:val="004C24FE"/>
    <w:rsid w:val="004C25E1"/>
    <w:rsid w:val="004C2B00"/>
    <w:rsid w:val="004C2DE7"/>
    <w:rsid w:val="004C2E5D"/>
    <w:rsid w:val="004C2E77"/>
    <w:rsid w:val="004C3442"/>
    <w:rsid w:val="004C344D"/>
    <w:rsid w:val="004C37DC"/>
    <w:rsid w:val="004C3887"/>
    <w:rsid w:val="004C3BDA"/>
    <w:rsid w:val="004C447D"/>
    <w:rsid w:val="004C4CC6"/>
    <w:rsid w:val="004C5054"/>
    <w:rsid w:val="004C5306"/>
    <w:rsid w:val="004C5309"/>
    <w:rsid w:val="004C5674"/>
    <w:rsid w:val="004C5EA0"/>
    <w:rsid w:val="004C5EB3"/>
    <w:rsid w:val="004C62CE"/>
    <w:rsid w:val="004C645E"/>
    <w:rsid w:val="004C6583"/>
    <w:rsid w:val="004C65AB"/>
    <w:rsid w:val="004C6850"/>
    <w:rsid w:val="004C749D"/>
    <w:rsid w:val="004C75AB"/>
    <w:rsid w:val="004C7959"/>
    <w:rsid w:val="004D00DA"/>
    <w:rsid w:val="004D014E"/>
    <w:rsid w:val="004D07AC"/>
    <w:rsid w:val="004D0D7F"/>
    <w:rsid w:val="004D116D"/>
    <w:rsid w:val="004D14A8"/>
    <w:rsid w:val="004D16C3"/>
    <w:rsid w:val="004D1A41"/>
    <w:rsid w:val="004D207D"/>
    <w:rsid w:val="004D2555"/>
    <w:rsid w:val="004D26FD"/>
    <w:rsid w:val="004D2AA2"/>
    <w:rsid w:val="004D32E3"/>
    <w:rsid w:val="004D32F9"/>
    <w:rsid w:val="004D3505"/>
    <w:rsid w:val="004D354E"/>
    <w:rsid w:val="004D3A8E"/>
    <w:rsid w:val="004D49C4"/>
    <w:rsid w:val="004D4C1E"/>
    <w:rsid w:val="004D5116"/>
    <w:rsid w:val="004D549F"/>
    <w:rsid w:val="004D5503"/>
    <w:rsid w:val="004D612F"/>
    <w:rsid w:val="004D6144"/>
    <w:rsid w:val="004D641E"/>
    <w:rsid w:val="004D68D2"/>
    <w:rsid w:val="004D6A98"/>
    <w:rsid w:val="004D6CFD"/>
    <w:rsid w:val="004D6D64"/>
    <w:rsid w:val="004D6F56"/>
    <w:rsid w:val="004D7845"/>
    <w:rsid w:val="004D7CBB"/>
    <w:rsid w:val="004D7E60"/>
    <w:rsid w:val="004D7F81"/>
    <w:rsid w:val="004E0A2F"/>
    <w:rsid w:val="004E0DC6"/>
    <w:rsid w:val="004E0E14"/>
    <w:rsid w:val="004E0E46"/>
    <w:rsid w:val="004E2325"/>
    <w:rsid w:val="004E30F8"/>
    <w:rsid w:val="004E33C4"/>
    <w:rsid w:val="004E3440"/>
    <w:rsid w:val="004E34C9"/>
    <w:rsid w:val="004E374C"/>
    <w:rsid w:val="004E398F"/>
    <w:rsid w:val="004E3A9F"/>
    <w:rsid w:val="004E3AF4"/>
    <w:rsid w:val="004E3D3F"/>
    <w:rsid w:val="004E4159"/>
    <w:rsid w:val="004E4337"/>
    <w:rsid w:val="004E43B7"/>
    <w:rsid w:val="004E4461"/>
    <w:rsid w:val="004E45D8"/>
    <w:rsid w:val="004E4752"/>
    <w:rsid w:val="004E4765"/>
    <w:rsid w:val="004E483F"/>
    <w:rsid w:val="004E49AE"/>
    <w:rsid w:val="004E4D97"/>
    <w:rsid w:val="004E4F67"/>
    <w:rsid w:val="004E5066"/>
    <w:rsid w:val="004E5485"/>
    <w:rsid w:val="004E5998"/>
    <w:rsid w:val="004E5AB1"/>
    <w:rsid w:val="004E63C8"/>
    <w:rsid w:val="004E6968"/>
    <w:rsid w:val="004E6DA1"/>
    <w:rsid w:val="004E6E47"/>
    <w:rsid w:val="004E6FC0"/>
    <w:rsid w:val="004E7247"/>
    <w:rsid w:val="004E74F1"/>
    <w:rsid w:val="004E78D3"/>
    <w:rsid w:val="004E79C3"/>
    <w:rsid w:val="004E7E81"/>
    <w:rsid w:val="004EA293"/>
    <w:rsid w:val="004F0497"/>
    <w:rsid w:val="004F04D3"/>
    <w:rsid w:val="004F0597"/>
    <w:rsid w:val="004F05D9"/>
    <w:rsid w:val="004F093A"/>
    <w:rsid w:val="004F0CFE"/>
    <w:rsid w:val="004F0EFB"/>
    <w:rsid w:val="004F1268"/>
    <w:rsid w:val="004F1343"/>
    <w:rsid w:val="004F1741"/>
    <w:rsid w:val="004F1A01"/>
    <w:rsid w:val="004F1DAC"/>
    <w:rsid w:val="004F1EE3"/>
    <w:rsid w:val="004F218D"/>
    <w:rsid w:val="004F23E9"/>
    <w:rsid w:val="004F24C0"/>
    <w:rsid w:val="004F255F"/>
    <w:rsid w:val="004F271D"/>
    <w:rsid w:val="004F284C"/>
    <w:rsid w:val="004F2CEA"/>
    <w:rsid w:val="004F3690"/>
    <w:rsid w:val="004F4033"/>
    <w:rsid w:val="004F442A"/>
    <w:rsid w:val="004F4520"/>
    <w:rsid w:val="004F4775"/>
    <w:rsid w:val="004F4A7F"/>
    <w:rsid w:val="004F4B81"/>
    <w:rsid w:val="004F4BF9"/>
    <w:rsid w:val="004F4FF7"/>
    <w:rsid w:val="004F558D"/>
    <w:rsid w:val="004F5B98"/>
    <w:rsid w:val="004F5ECD"/>
    <w:rsid w:val="004F608F"/>
    <w:rsid w:val="004F63F3"/>
    <w:rsid w:val="004F6B9A"/>
    <w:rsid w:val="004F7049"/>
    <w:rsid w:val="004F707D"/>
    <w:rsid w:val="004F7312"/>
    <w:rsid w:val="004F731D"/>
    <w:rsid w:val="004F7538"/>
    <w:rsid w:val="004F75FD"/>
    <w:rsid w:val="004F7C4A"/>
    <w:rsid w:val="005003D6"/>
    <w:rsid w:val="0050047D"/>
    <w:rsid w:val="00500E46"/>
    <w:rsid w:val="00500F27"/>
    <w:rsid w:val="00500F6D"/>
    <w:rsid w:val="0050103E"/>
    <w:rsid w:val="00501283"/>
    <w:rsid w:val="00501410"/>
    <w:rsid w:val="005014F9"/>
    <w:rsid w:val="00501ACC"/>
    <w:rsid w:val="00501E36"/>
    <w:rsid w:val="005027A1"/>
    <w:rsid w:val="0050291D"/>
    <w:rsid w:val="00502A83"/>
    <w:rsid w:val="00503178"/>
    <w:rsid w:val="00503662"/>
    <w:rsid w:val="00503921"/>
    <w:rsid w:val="00503A26"/>
    <w:rsid w:val="00503BD2"/>
    <w:rsid w:val="00503BF9"/>
    <w:rsid w:val="00503D0C"/>
    <w:rsid w:val="005041A1"/>
    <w:rsid w:val="00504AFD"/>
    <w:rsid w:val="00504D55"/>
    <w:rsid w:val="005052B3"/>
    <w:rsid w:val="00505E31"/>
    <w:rsid w:val="005061A6"/>
    <w:rsid w:val="005062D9"/>
    <w:rsid w:val="0050639E"/>
    <w:rsid w:val="00506FBE"/>
    <w:rsid w:val="00507438"/>
    <w:rsid w:val="005074B9"/>
    <w:rsid w:val="005074EA"/>
    <w:rsid w:val="00507AF7"/>
    <w:rsid w:val="00507FB2"/>
    <w:rsid w:val="00510F85"/>
    <w:rsid w:val="00511845"/>
    <w:rsid w:val="00511DD4"/>
    <w:rsid w:val="0051220E"/>
    <w:rsid w:val="00512465"/>
    <w:rsid w:val="00512552"/>
    <w:rsid w:val="005127A9"/>
    <w:rsid w:val="00512A34"/>
    <w:rsid w:val="00512AC0"/>
    <w:rsid w:val="00512BE0"/>
    <w:rsid w:val="0051312D"/>
    <w:rsid w:val="0051331E"/>
    <w:rsid w:val="00513A8B"/>
    <w:rsid w:val="00513AF2"/>
    <w:rsid w:val="00513CE6"/>
    <w:rsid w:val="00513F70"/>
    <w:rsid w:val="00513FE5"/>
    <w:rsid w:val="005146FA"/>
    <w:rsid w:val="00514E13"/>
    <w:rsid w:val="00514E9E"/>
    <w:rsid w:val="0051518D"/>
    <w:rsid w:val="005159A8"/>
    <w:rsid w:val="00515BA6"/>
    <w:rsid w:val="00515E68"/>
    <w:rsid w:val="00516455"/>
    <w:rsid w:val="00516518"/>
    <w:rsid w:val="00516ECB"/>
    <w:rsid w:val="0051702D"/>
    <w:rsid w:val="0051743E"/>
    <w:rsid w:val="00517ECA"/>
    <w:rsid w:val="00517ECF"/>
    <w:rsid w:val="00517F64"/>
    <w:rsid w:val="005205F7"/>
    <w:rsid w:val="0052082E"/>
    <w:rsid w:val="00520BF9"/>
    <w:rsid w:val="005214A8"/>
    <w:rsid w:val="00521523"/>
    <w:rsid w:val="005216D7"/>
    <w:rsid w:val="005217DC"/>
    <w:rsid w:val="005218E6"/>
    <w:rsid w:val="005218FE"/>
    <w:rsid w:val="005222A0"/>
    <w:rsid w:val="0052250C"/>
    <w:rsid w:val="00522979"/>
    <w:rsid w:val="00522ADF"/>
    <w:rsid w:val="00522D80"/>
    <w:rsid w:val="00522E36"/>
    <w:rsid w:val="00522F0D"/>
    <w:rsid w:val="00522FAF"/>
    <w:rsid w:val="005231B1"/>
    <w:rsid w:val="005236E9"/>
    <w:rsid w:val="0052376B"/>
    <w:rsid w:val="00523A60"/>
    <w:rsid w:val="00523BA1"/>
    <w:rsid w:val="0052400F"/>
    <w:rsid w:val="00524420"/>
    <w:rsid w:val="00524BFC"/>
    <w:rsid w:val="00524D23"/>
    <w:rsid w:val="00525B69"/>
    <w:rsid w:val="00525F28"/>
    <w:rsid w:val="00526342"/>
    <w:rsid w:val="005267CE"/>
    <w:rsid w:val="0052691D"/>
    <w:rsid w:val="00526B5E"/>
    <w:rsid w:val="005270C8"/>
    <w:rsid w:val="005275A7"/>
    <w:rsid w:val="0052780F"/>
    <w:rsid w:val="00527AB2"/>
    <w:rsid w:val="00527F3B"/>
    <w:rsid w:val="00530023"/>
    <w:rsid w:val="0053007A"/>
    <w:rsid w:val="0053017B"/>
    <w:rsid w:val="0053036C"/>
    <w:rsid w:val="00530A0D"/>
    <w:rsid w:val="00530BEF"/>
    <w:rsid w:val="00530C9B"/>
    <w:rsid w:val="00530FC8"/>
    <w:rsid w:val="00530FCB"/>
    <w:rsid w:val="00531056"/>
    <w:rsid w:val="005317D9"/>
    <w:rsid w:val="005318DE"/>
    <w:rsid w:val="00532485"/>
    <w:rsid w:val="0053275E"/>
    <w:rsid w:val="0053283F"/>
    <w:rsid w:val="005328E4"/>
    <w:rsid w:val="005328EB"/>
    <w:rsid w:val="00532975"/>
    <w:rsid w:val="00532A64"/>
    <w:rsid w:val="00532B6B"/>
    <w:rsid w:val="00532D41"/>
    <w:rsid w:val="005333E3"/>
    <w:rsid w:val="005337AC"/>
    <w:rsid w:val="005337CB"/>
    <w:rsid w:val="00533D86"/>
    <w:rsid w:val="00533DDF"/>
    <w:rsid w:val="0053456F"/>
    <w:rsid w:val="005345CA"/>
    <w:rsid w:val="00534E15"/>
    <w:rsid w:val="00534FF4"/>
    <w:rsid w:val="005351DF"/>
    <w:rsid w:val="005351F2"/>
    <w:rsid w:val="0053533E"/>
    <w:rsid w:val="005358A6"/>
    <w:rsid w:val="00535EFC"/>
    <w:rsid w:val="005361E1"/>
    <w:rsid w:val="0053640F"/>
    <w:rsid w:val="00536596"/>
    <w:rsid w:val="005369BB"/>
    <w:rsid w:val="00536A53"/>
    <w:rsid w:val="00536AF1"/>
    <w:rsid w:val="00536AF2"/>
    <w:rsid w:val="00536EC8"/>
    <w:rsid w:val="00537103"/>
    <w:rsid w:val="00537126"/>
    <w:rsid w:val="00537901"/>
    <w:rsid w:val="00537B16"/>
    <w:rsid w:val="00537C75"/>
    <w:rsid w:val="00537D37"/>
    <w:rsid w:val="00540223"/>
    <w:rsid w:val="005405B5"/>
    <w:rsid w:val="00540659"/>
    <w:rsid w:val="005411B7"/>
    <w:rsid w:val="00541661"/>
    <w:rsid w:val="00541894"/>
    <w:rsid w:val="00541D59"/>
    <w:rsid w:val="00541FDF"/>
    <w:rsid w:val="00542A3A"/>
    <w:rsid w:val="00542A4C"/>
    <w:rsid w:val="00542AA4"/>
    <w:rsid w:val="00542B29"/>
    <w:rsid w:val="00542C60"/>
    <w:rsid w:val="00542CA5"/>
    <w:rsid w:val="00542F69"/>
    <w:rsid w:val="00543162"/>
    <w:rsid w:val="005432DB"/>
    <w:rsid w:val="005433EF"/>
    <w:rsid w:val="0054355F"/>
    <w:rsid w:val="005437CE"/>
    <w:rsid w:val="005439BC"/>
    <w:rsid w:val="00543A5F"/>
    <w:rsid w:val="00543F39"/>
    <w:rsid w:val="005441F8"/>
    <w:rsid w:val="00544214"/>
    <w:rsid w:val="005443B4"/>
    <w:rsid w:val="00544654"/>
    <w:rsid w:val="0054467F"/>
    <w:rsid w:val="005446D7"/>
    <w:rsid w:val="00544904"/>
    <w:rsid w:val="00544C5E"/>
    <w:rsid w:val="00544EF8"/>
    <w:rsid w:val="00544F78"/>
    <w:rsid w:val="00545542"/>
    <w:rsid w:val="005456FF"/>
    <w:rsid w:val="0054576E"/>
    <w:rsid w:val="00545A33"/>
    <w:rsid w:val="00545EE9"/>
    <w:rsid w:val="00546049"/>
    <w:rsid w:val="00546701"/>
    <w:rsid w:val="00546C75"/>
    <w:rsid w:val="005476DD"/>
    <w:rsid w:val="0054783B"/>
    <w:rsid w:val="00547954"/>
    <w:rsid w:val="00547DFC"/>
    <w:rsid w:val="00550469"/>
    <w:rsid w:val="00550B0E"/>
    <w:rsid w:val="00550B4A"/>
    <w:rsid w:val="00550BA9"/>
    <w:rsid w:val="00550DB6"/>
    <w:rsid w:val="00551173"/>
    <w:rsid w:val="0055127F"/>
    <w:rsid w:val="0055198B"/>
    <w:rsid w:val="00551CC0"/>
    <w:rsid w:val="00552740"/>
    <w:rsid w:val="00552AEB"/>
    <w:rsid w:val="00552BC3"/>
    <w:rsid w:val="005531E2"/>
    <w:rsid w:val="00554413"/>
    <w:rsid w:val="005552FF"/>
    <w:rsid w:val="005554A4"/>
    <w:rsid w:val="0055555B"/>
    <w:rsid w:val="00555606"/>
    <w:rsid w:val="00555724"/>
    <w:rsid w:val="00555F36"/>
    <w:rsid w:val="00556A8A"/>
    <w:rsid w:val="00556A90"/>
    <w:rsid w:val="00556CFE"/>
    <w:rsid w:val="0055707A"/>
    <w:rsid w:val="005576CC"/>
    <w:rsid w:val="0055791F"/>
    <w:rsid w:val="00557A9D"/>
    <w:rsid w:val="0055B78C"/>
    <w:rsid w:val="00560116"/>
    <w:rsid w:val="005602C9"/>
    <w:rsid w:val="00560502"/>
    <w:rsid w:val="005607A6"/>
    <w:rsid w:val="005607EC"/>
    <w:rsid w:val="00560E6C"/>
    <w:rsid w:val="00560F21"/>
    <w:rsid w:val="0056134C"/>
    <w:rsid w:val="005614AE"/>
    <w:rsid w:val="005615AF"/>
    <w:rsid w:val="00561774"/>
    <w:rsid w:val="005617FD"/>
    <w:rsid w:val="00561A0B"/>
    <w:rsid w:val="00561DE8"/>
    <w:rsid w:val="00561F9C"/>
    <w:rsid w:val="005624CD"/>
    <w:rsid w:val="00562AF6"/>
    <w:rsid w:val="00562B18"/>
    <w:rsid w:val="00562E5B"/>
    <w:rsid w:val="005630C1"/>
    <w:rsid w:val="0056316C"/>
    <w:rsid w:val="00563296"/>
    <w:rsid w:val="00563B9C"/>
    <w:rsid w:val="00563FC2"/>
    <w:rsid w:val="005641AA"/>
    <w:rsid w:val="00564312"/>
    <w:rsid w:val="00564536"/>
    <w:rsid w:val="00564718"/>
    <w:rsid w:val="005648A0"/>
    <w:rsid w:val="00564B68"/>
    <w:rsid w:val="00564E61"/>
    <w:rsid w:val="00564F6A"/>
    <w:rsid w:val="00565027"/>
    <w:rsid w:val="00565335"/>
    <w:rsid w:val="00565518"/>
    <w:rsid w:val="00565625"/>
    <w:rsid w:val="005656EF"/>
    <w:rsid w:val="00565706"/>
    <w:rsid w:val="00565726"/>
    <w:rsid w:val="00565889"/>
    <w:rsid w:val="00565CBE"/>
    <w:rsid w:val="00565FD4"/>
    <w:rsid w:val="00566200"/>
    <w:rsid w:val="00566748"/>
    <w:rsid w:val="0056677F"/>
    <w:rsid w:val="00566967"/>
    <w:rsid w:val="005669AA"/>
    <w:rsid w:val="00566A00"/>
    <w:rsid w:val="00567149"/>
    <w:rsid w:val="005671A8"/>
    <w:rsid w:val="005674C7"/>
    <w:rsid w:val="00567531"/>
    <w:rsid w:val="00567554"/>
    <w:rsid w:val="00567583"/>
    <w:rsid w:val="00567684"/>
    <w:rsid w:val="005677E6"/>
    <w:rsid w:val="00567F6F"/>
    <w:rsid w:val="00570551"/>
    <w:rsid w:val="00570A73"/>
    <w:rsid w:val="00570FEC"/>
    <w:rsid w:val="00571145"/>
    <w:rsid w:val="005711AF"/>
    <w:rsid w:val="00571380"/>
    <w:rsid w:val="00571657"/>
    <w:rsid w:val="00571714"/>
    <w:rsid w:val="00571808"/>
    <w:rsid w:val="0057187A"/>
    <w:rsid w:val="00571B2C"/>
    <w:rsid w:val="00571B2D"/>
    <w:rsid w:val="00572053"/>
    <w:rsid w:val="005720D4"/>
    <w:rsid w:val="0057238A"/>
    <w:rsid w:val="00572723"/>
    <w:rsid w:val="00572AC6"/>
    <w:rsid w:val="00572B58"/>
    <w:rsid w:val="00572CDC"/>
    <w:rsid w:val="0057365D"/>
    <w:rsid w:val="00573B95"/>
    <w:rsid w:val="00573BD1"/>
    <w:rsid w:val="00573C64"/>
    <w:rsid w:val="00573E0A"/>
    <w:rsid w:val="005740D2"/>
    <w:rsid w:val="005741A0"/>
    <w:rsid w:val="00574291"/>
    <w:rsid w:val="00574474"/>
    <w:rsid w:val="00574B70"/>
    <w:rsid w:val="00574EFA"/>
    <w:rsid w:val="005752EF"/>
    <w:rsid w:val="00575349"/>
    <w:rsid w:val="00575B76"/>
    <w:rsid w:val="00575C96"/>
    <w:rsid w:val="00575FB5"/>
    <w:rsid w:val="005764DD"/>
    <w:rsid w:val="005769C7"/>
    <w:rsid w:val="00576A03"/>
    <w:rsid w:val="00576BB0"/>
    <w:rsid w:val="00576ECD"/>
    <w:rsid w:val="00577806"/>
    <w:rsid w:val="00577E71"/>
    <w:rsid w:val="00577E84"/>
    <w:rsid w:val="00577ED5"/>
    <w:rsid w:val="00577EEE"/>
    <w:rsid w:val="00577F4A"/>
    <w:rsid w:val="00580089"/>
    <w:rsid w:val="00580137"/>
    <w:rsid w:val="0058042D"/>
    <w:rsid w:val="005805F2"/>
    <w:rsid w:val="005806DA"/>
    <w:rsid w:val="005806F5"/>
    <w:rsid w:val="00580DBB"/>
    <w:rsid w:val="00580FBD"/>
    <w:rsid w:val="00581912"/>
    <w:rsid w:val="005819F6"/>
    <w:rsid w:val="00581AE0"/>
    <w:rsid w:val="00581C2A"/>
    <w:rsid w:val="00581E33"/>
    <w:rsid w:val="00581FCE"/>
    <w:rsid w:val="005820B8"/>
    <w:rsid w:val="00582243"/>
    <w:rsid w:val="005822E5"/>
    <w:rsid w:val="00582338"/>
    <w:rsid w:val="00582924"/>
    <w:rsid w:val="005829DA"/>
    <w:rsid w:val="00582ABE"/>
    <w:rsid w:val="00582DB4"/>
    <w:rsid w:val="00582E12"/>
    <w:rsid w:val="00582E91"/>
    <w:rsid w:val="005831F4"/>
    <w:rsid w:val="0058337A"/>
    <w:rsid w:val="0058364D"/>
    <w:rsid w:val="00583A31"/>
    <w:rsid w:val="00583DA0"/>
    <w:rsid w:val="00584615"/>
    <w:rsid w:val="00584A4A"/>
    <w:rsid w:val="005855F9"/>
    <w:rsid w:val="005856CC"/>
    <w:rsid w:val="0058584D"/>
    <w:rsid w:val="00585943"/>
    <w:rsid w:val="00585C1D"/>
    <w:rsid w:val="00585E42"/>
    <w:rsid w:val="00585EF6"/>
    <w:rsid w:val="005864F3"/>
    <w:rsid w:val="005871C2"/>
    <w:rsid w:val="005877B7"/>
    <w:rsid w:val="0058787F"/>
    <w:rsid w:val="00587BD7"/>
    <w:rsid w:val="00587FBB"/>
    <w:rsid w:val="0059074B"/>
    <w:rsid w:val="0059087A"/>
    <w:rsid w:val="00590881"/>
    <w:rsid w:val="00590B89"/>
    <w:rsid w:val="00590E81"/>
    <w:rsid w:val="0059116F"/>
    <w:rsid w:val="0059123D"/>
    <w:rsid w:val="0059125E"/>
    <w:rsid w:val="00591AC3"/>
    <w:rsid w:val="00591CE8"/>
    <w:rsid w:val="00591E98"/>
    <w:rsid w:val="005921DC"/>
    <w:rsid w:val="0059231A"/>
    <w:rsid w:val="005926C9"/>
    <w:rsid w:val="00592700"/>
    <w:rsid w:val="005928EC"/>
    <w:rsid w:val="00592998"/>
    <w:rsid w:val="00592E37"/>
    <w:rsid w:val="005935C5"/>
    <w:rsid w:val="00593AD0"/>
    <w:rsid w:val="00594099"/>
    <w:rsid w:val="00594175"/>
    <w:rsid w:val="0059440A"/>
    <w:rsid w:val="00594B23"/>
    <w:rsid w:val="00594D95"/>
    <w:rsid w:val="0059545C"/>
    <w:rsid w:val="005954D8"/>
    <w:rsid w:val="005957A6"/>
    <w:rsid w:val="00595D8F"/>
    <w:rsid w:val="00595DA2"/>
    <w:rsid w:val="00595F5E"/>
    <w:rsid w:val="0059632C"/>
    <w:rsid w:val="005968B1"/>
    <w:rsid w:val="00596AD0"/>
    <w:rsid w:val="00596FEB"/>
    <w:rsid w:val="005971B6"/>
    <w:rsid w:val="0059796F"/>
    <w:rsid w:val="00597ECE"/>
    <w:rsid w:val="005A0309"/>
    <w:rsid w:val="005A062A"/>
    <w:rsid w:val="005A079F"/>
    <w:rsid w:val="005A09D8"/>
    <w:rsid w:val="005A0DAD"/>
    <w:rsid w:val="005A1B21"/>
    <w:rsid w:val="005A1DFA"/>
    <w:rsid w:val="005A2189"/>
    <w:rsid w:val="005A250E"/>
    <w:rsid w:val="005A2789"/>
    <w:rsid w:val="005A344A"/>
    <w:rsid w:val="005A355E"/>
    <w:rsid w:val="005A38DB"/>
    <w:rsid w:val="005A3917"/>
    <w:rsid w:val="005A39FD"/>
    <w:rsid w:val="005A3A79"/>
    <w:rsid w:val="005A3A8A"/>
    <w:rsid w:val="005A3C9A"/>
    <w:rsid w:val="005A423F"/>
    <w:rsid w:val="005A4448"/>
    <w:rsid w:val="005A4942"/>
    <w:rsid w:val="005A4D0E"/>
    <w:rsid w:val="005A50BF"/>
    <w:rsid w:val="005A52C1"/>
    <w:rsid w:val="005A538E"/>
    <w:rsid w:val="005A56DD"/>
    <w:rsid w:val="005A5ECE"/>
    <w:rsid w:val="005A5FB7"/>
    <w:rsid w:val="005A60F4"/>
    <w:rsid w:val="005A661E"/>
    <w:rsid w:val="005A6A27"/>
    <w:rsid w:val="005A6CE3"/>
    <w:rsid w:val="005A6DDD"/>
    <w:rsid w:val="005A7311"/>
    <w:rsid w:val="005A77CF"/>
    <w:rsid w:val="005A7C2D"/>
    <w:rsid w:val="005A7D29"/>
    <w:rsid w:val="005A7F34"/>
    <w:rsid w:val="005B08F1"/>
    <w:rsid w:val="005B0B1E"/>
    <w:rsid w:val="005B0C98"/>
    <w:rsid w:val="005B0DFD"/>
    <w:rsid w:val="005B0F34"/>
    <w:rsid w:val="005B1029"/>
    <w:rsid w:val="005B12BF"/>
    <w:rsid w:val="005B1351"/>
    <w:rsid w:val="005B14EF"/>
    <w:rsid w:val="005B1693"/>
    <w:rsid w:val="005B198B"/>
    <w:rsid w:val="005B1A16"/>
    <w:rsid w:val="005B1A6C"/>
    <w:rsid w:val="005B1DB6"/>
    <w:rsid w:val="005B1FD2"/>
    <w:rsid w:val="005B22A2"/>
    <w:rsid w:val="005B2F51"/>
    <w:rsid w:val="005B3017"/>
    <w:rsid w:val="005B3380"/>
    <w:rsid w:val="005B34FB"/>
    <w:rsid w:val="005B3E1A"/>
    <w:rsid w:val="005B3FDA"/>
    <w:rsid w:val="005B4228"/>
    <w:rsid w:val="005B463C"/>
    <w:rsid w:val="005B46D7"/>
    <w:rsid w:val="005B46F4"/>
    <w:rsid w:val="005B4793"/>
    <w:rsid w:val="005B4B5B"/>
    <w:rsid w:val="005B4C2A"/>
    <w:rsid w:val="005B4FB5"/>
    <w:rsid w:val="005B50EB"/>
    <w:rsid w:val="005B579D"/>
    <w:rsid w:val="005B580C"/>
    <w:rsid w:val="005B58D5"/>
    <w:rsid w:val="005B591A"/>
    <w:rsid w:val="005B5A9A"/>
    <w:rsid w:val="005B5DA5"/>
    <w:rsid w:val="005B61D1"/>
    <w:rsid w:val="005B6461"/>
    <w:rsid w:val="005B64E2"/>
    <w:rsid w:val="005B64EC"/>
    <w:rsid w:val="005B69E4"/>
    <w:rsid w:val="005B6A81"/>
    <w:rsid w:val="005B6ABC"/>
    <w:rsid w:val="005B707F"/>
    <w:rsid w:val="005B7207"/>
    <w:rsid w:val="005B729F"/>
    <w:rsid w:val="005B7322"/>
    <w:rsid w:val="005B73EC"/>
    <w:rsid w:val="005B7904"/>
    <w:rsid w:val="005B7A47"/>
    <w:rsid w:val="005B7D54"/>
    <w:rsid w:val="005C06A0"/>
    <w:rsid w:val="005C15B3"/>
    <w:rsid w:val="005C17DC"/>
    <w:rsid w:val="005C1926"/>
    <w:rsid w:val="005C1AEF"/>
    <w:rsid w:val="005C20E2"/>
    <w:rsid w:val="005C2264"/>
    <w:rsid w:val="005C24D5"/>
    <w:rsid w:val="005C25A3"/>
    <w:rsid w:val="005C2D73"/>
    <w:rsid w:val="005C3376"/>
    <w:rsid w:val="005C3490"/>
    <w:rsid w:val="005C38C6"/>
    <w:rsid w:val="005C3F9C"/>
    <w:rsid w:val="005C420D"/>
    <w:rsid w:val="005C4301"/>
    <w:rsid w:val="005C47C6"/>
    <w:rsid w:val="005C4BD4"/>
    <w:rsid w:val="005C4E8E"/>
    <w:rsid w:val="005C505C"/>
    <w:rsid w:val="005C5092"/>
    <w:rsid w:val="005C5181"/>
    <w:rsid w:val="005C5595"/>
    <w:rsid w:val="005C5C7B"/>
    <w:rsid w:val="005C5CDE"/>
    <w:rsid w:val="005C6371"/>
    <w:rsid w:val="005C6479"/>
    <w:rsid w:val="005C6524"/>
    <w:rsid w:val="005C6766"/>
    <w:rsid w:val="005C69AF"/>
    <w:rsid w:val="005C6CB3"/>
    <w:rsid w:val="005C7694"/>
    <w:rsid w:val="005C773B"/>
    <w:rsid w:val="005C7B41"/>
    <w:rsid w:val="005C7D41"/>
    <w:rsid w:val="005C7D4A"/>
    <w:rsid w:val="005C7DD9"/>
    <w:rsid w:val="005C7F5C"/>
    <w:rsid w:val="005D040A"/>
    <w:rsid w:val="005D051A"/>
    <w:rsid w:val="005D0591"/>
    <w:rsid w:val="005D07AD"/>
    <w:rsid w:val="005D0D19"/>
    <w:rsid w:val="005D11A6"/>
    <w:rsid w:val="005D1229"/>
    <w:rsid w:val="005D1471"/>
    <w:rsid w:val="005D1E2D"/>
    <w:rsid w:val="005D1E4D"/>
    <w:rsid w:val="005D2085"/>
    <w:rsid w:val="005D2130"/>
    <w:rsid w:val="005D270A"/>
    <w:rsid w:val="005D2AFF"/>
    <w:rsid w:val="005D2B76"/>
    <w:rsid w:val="005D40A2"/>
    <w:rsid w:val="005D427E"/>
    <w:rsid w:val="005D440F"/>
    <w:rsid w:val="005D46C1"/>
    <w:rsid w:val="005D49A6"/>
    <w:rsid w:val="005D4FA2"/>
    <w:rsid w:val="005D50B0"/>
    <w:rsid w:val="005D522A"/>
    <w:rsid w:val="005D5388"/>
    <w:rsid w:val="005D58DC"/>
    <w:rsid w:val="005D5ABA"/>
    <w:rsid w:val="005D5C10"/>
    <w:rsid w:val="005D5EC5"/>
    <w:rsid w:val="005D5F60"/>
    <w:rsid w:val="005D6508"/>
    <w:rsid w:val="005D6615"/>
    <w:rsid w:val="005D6D4D"/>
    <w:rsid w:val="005D6FCB"/>
    <w:rsid w:val="005D719E"/>
    <w:rsid w:val="005D7412"/>
    <w:rsid w:val="005D7688"/>
    <w:rsid w:val="005D7858"/>
    <w:rsid w:val="005D7A5D"/>
    <w:rsid w:val="005D7A66"/>
    <w:rsid w:val="005D7C1A"/>
    <w:rsid w:val="005D7DEB"/>
    <w:rsid w:val="005D7E46"/>
    <w:rsid w:val="005D7E8D"/>
    <w:rsid w:val="005D7F67"/>
    <w:rsid w:val="005E01FF"/>
    <w:rsid w:val="005E0366"/>
    <w:rsid w:val="005E0B6E"/>
    <w:rsid w:val="005E0FC6"/>
    <w:rsid w:val="005E16D1"/>
    <w:rsid w:val="005E18A9"/>
    <w:rsid w:val="005E1BB4"/>
    <w:rsid w:val="005E2091"/>
    <w:rsid w:val="005E269D"/>
    <w:rsid w:val="005E2905"/>
    <w:rsid w:val="005E29A3"/>
    <w:rsid w:val="005E2DC8"/>
    <w:rsid w:val="005E31E0"/>
    <w:rsid w:val="005E381E"/>
    <w:rsid w:val="005E3825"/>
    <w:rsid w:val="005E38B0"/>
    <w:rsid w:val="005E38B6"/>
    <w:rsid w:val="005E3AB9"/>
    <w:rsid w:val="005E3B15"/>
    <w:rsid w:val="005E3E3B"/>
    <w:rsid w:val="005E3EAE"/>
    <w:rsid w:val="005E4119"/>
    <w:rsid w:val="005E463D"/>
    <w:rsid w:val="005E4CFE"/>
    <w:rsid w:val="005E4FD3"/>
    <w:rsid w:val="005E5390"/>
    <w:rsid w:val="005E5498"/>
    <w:rsid w:val="005E5A49"/>
    <w:rsid w:val="005E5E1B"/>
    <w:rsid w:val="005E6B23"/>
    <w:rsid w:val="005E6FBC"/>
    <w:rsid w:val="005E7091"/>
    <w:rsid w:val="005E7303"/>
    <w:rsid w:val="005E772C"/>
    <w:rsid w:val="005E77AE"/>
    <w:rsid w:val="005E78D1"/>
    <w:rsid w:val="005E79E1"/>
    <w:rsid w:val="005E7A53"/>
    <w:rsid w:val="005F01E0"/>
    <w:rsid w:val="005F0474"/>
    <w:rsid w:val="005F06D7"/>
    <w:rsid w:val="005F0785"/>
    <w:rsid w:val="005F0993"/>
    <w:rsid w:val="005F0B8A"/>
    <w:rsid w:val="005F0F76"/>
    <w:rsid w:val="005F14ED"/>
    <w:rsid w:val="005F1737"/>
    <w:rsid w:val="005F1B80"/>
    <w:rsid w:val="005F1EBD"/>
    <w:rsid w:val="005F1FEB"/>
    <w:rsid w:val="005F28DA"/>
    <w:rsid w:val="005F2BDA"/>
    <w:rsid w:val="005F32DC"/>
    <w:rsid w:val="005F37C4"/>
    <w:rsid w:val="005F3A72"/>
    <w:rsid w:val="005F3C1B"/>
    <w:rsid w:val="005F3CDC"/>
    <w:rsid w:val="005F3DF6"/>
    <w:rsid w:val="005F47D3"/>
    <w:rsid w:val="005F4D39"/>
    <w:rsid w:val="005F4FD0"/>
    <w:rsid w:val="005F5212"/>
    <w:rsid w:val="005F52D2"/>
    <w:rsid w:val="005F5907"/>
    <w:rsid w:val="005F618F"/>
    <w:rsid w:val="005F636F"/>
    <w:rsid w:val="005F66C9"/>
    <w:rsid w:val="005F6B89"/>
    <w:rsid w:val="005F6E56"/>
    <w:rsid w:val="005F6F1A"/>
    <w:rsid w:val="005F7081"/>
    <w:rsid w:val="005F70DB"/>
    <w:rsid w:val="005F735C"/>
    <w:rsid w:val="005F7810"/>
    <w:rsid w:val="005F7B8A"/>
    <w:rsid w:val="005F7C04"/>
    <w:rsid w:val="005F7DA4"/>
    <w:rsid w:val="005F7DBD"/>
    <w:rsid w:val="005F7FB1"/>
    <w:rsid w:val="006004A6"/>
    <w:rsid w:val="00600698"/>
    <w:rsid w:val="006008F5"/>
    <w:rsid w:val="006010EF"/>
    <w:rsid w:val="0060149D"/>
    <w:rsid w:val="006014EE"/>
    <w:rsid w:val="00602159"/>
    <w:rsid w:val="0060285C"/>
    <w:rsid w:val="00602E5B"/>
    <w:rsid w:val="0060335F"/>
    <w:rsid w:val="006037C6"/>
    <w:rsid w:val="00603919"/>
    <w:rsid w:val="00603CA3"/>
    <w:rsid w:val="00604172"/>
    <w:rsid w:val="0060427A"/>
    <w:rsid w:val="00604425"/>
    <w:rsid w:val="0060460C"/>
    <w:rsid w:val="0060475B"/>
    <w:rsid w:val="00604B2B"/>
    <w:rsid w:val="00605317"/>
    <w:rsid w:val="0060533B"/>
    <w:rsid w:val="00605649"/>
    <w:rsid w:val="00605887"/>
    <w:rsid w:val="00605BC6"/>
    <w:rsid w:val="00605CE9"/>
    <w:rsid w:val="00606737"/>
    <w:rsid w:val="00606904"/>
    <w:rsid w:val="00606A90"/>
    <w:rsid w:val="00606AB8"/>
    <w:rsid w:val="00606C07"/>
    <w:rsid w:val="00607146"/>
    <w:rsid w:val="006071B7"/>
    <w:rsid w:val="0060760D"/>
    <w:rsid w:val="006076C5"/>
    <w:rsid w:val="00607C05"/>
    <w:rsid w:val="006102CB"/>
    <w:rsid w:val="00610396"/>
    <w:rsid w:val="006104C3"/>
    <w:rsid w:val="00610533"/>
    <w:rsid w:val="00610704"/>
    <w:rsid w:val="006107D0"/>
    <w:rsid w:val="00611916"/>
    <w:rsid w:val="0061204A"/>
    <w:rsid w:val="006120A0"/>
    <w:rsid w:val="00612724"/>
    <w:rsid w:val="00612A94"/>
    <w:rsid w:val="00613243"/>
    <w:rsid w:val="006136C9"/>
    <w:rsid w:val="00613834"/>
    <w:rsid w:val="00613D1C"/>
    <w:rsid w:val="00613DBD"/>
    <w:rsid w:val="00613F9C"/>
    <w:rsid w:val="0061409D"/>
    <w:rsid w:val="0061427A"/>
    <w:rsid w:val="006142A2"/>
    <w:rsid w:val="00614537"/>
    <w:rsid w:val="006149FF"/>
    <w:rsid w:val="00614BC8"/>
    <w:rsid w:val="0061557A"/>
    <w:rsid w:val="00616159"/>
    <w:rsid w:val="006161A2"/>
    <w:rsid w:val="0061625F"/>
    <w:rsid w:val="00616392"/>
    <w:rsid w:val="006165B7"/>
    <w:rsid w:val="00616731"/>
    <w:rsid w:val="00616A74"/>
    <w:rsid w:val="00616D28"/>
    <w:rsid w:val="0061726F"/>
    <w:rsid w:val="006173A6"/>
    <w:rsid w:val="006173FC"/>
    <w:rsid w:val="00617E7C"/>
    <w:rsid w:val="0062038D"/>
    <w:rsid w:val="006203EF"/>
    <w:rsid w:val="00620562"/>
    <w:rsid w:val="006213A3"/>
    <w:rsid w:val="006213F0"/>
    <w:rsid w:val="00621535"/>
    <w:rsid w:val="00621789"/>
    <w:rsid w:val="00621820"/>
    <w:rsid w:val="006218C5"/>
    <w:rsid w:val="00621DC2"/>
    <w:rsid w:val="00621E0D"/>
    <w:rsid w:val="00622003"/>
    <w:rsid w:val="006221F9"/>
    <w:rsid w:val="006224CA"/>
    <w:rsid w:val="006225B8"/>
    <w:rsid w:val="00622813"/>
    <w:rsid w:val="00622B13"/>
    <w:rsid w:val="00622F67"/>
    <w:rsid w:val="00622F72"/>
    <w:rsid w:val="0062308A"/>
    <w:rsid w:val="006231D6"/>
    <w:rsid w:val="006237EE"/>
    <w:rsid w:val="0062396B"/>
    <w:rsid w:val="00623977"/>
    <w:rsid w:val="00623CF8"/>
    <w:rsid w:val="00623EFC"/>
    <w:rsid w:val="00623F73"/>
    <w:rsid w:val="00624164"/>
    <w:rsid w:val="00624549"/>
    <w:rsid w:val="0062461D"/>
    <w:rsid w:val="006247F8"/>
    <w:rsid w:val="00624850"/>
    <w:rsid w:val="006248E5"/>
    <w:rsid w:val="00624983"/>
    <w:rsid w:val="00624BCC"/>
    <w:rsid w:val="00625146"/>
    <w:rsid w:val="006259F3"/>
    <w:rsid w:val="00625CD9"/>
    <w:rsid w:val="006264CF"/>
    <w:rsid w:val="00626609"/>
    <w:rsid w:val="0062663F"/>
    <w:rsid w:val="006267CA"/>
    <w:rsid w:val="00626827"/>
    <w:rsid w:val="006268A3"/>
    <w:rsid w:val="00626BDA"/>
    <w:rsid w:val="00626C15"/>
    <w:rsid w:val="00626F59"/>
    <w:rsid w:val="00627000"/>
    <w:rsid w:val="00627549"/>
    <w:rsid w:val="006275BF"/>
    <w:rsid w:val="00627797"/>
    <w:rsid w:val="00627F1E"/>
    <w:rsid w:val="00627FF3"/>
    <w:rsid w:val="00631416"/>
    <w:rsid w:val="00632936"/>
    <w:rsid w:val="0063295E"/>
    <w:rsid w:val="00632E2D"/>
    <w:rsid w:val="00632FF0"/>
    <w:rsid w:val="00633201"/>
    <w:rsid w:val="006336A8"/>
    <w:rsid w:val="0063397E"/>
    <w:rsid w:val="00633F6B"/>
    <w:rsid w:val="0063433E"/>
    <w:rsid w:val="006343AE"/>
    <w:rsid w:val="00634EB3"/>
    <w:rsid w:val="00635533"/>
    <w:rsid w:val="006355A9"/>
    <w:rsid w:val="00635A99"/>
    <w:rsid w:val="00635AD9"/>
    <w:rsid w:val="00635C47"/>
    <w:rsid w:val="0063637F"/>
    <w:rsid w:val="00636A13"/>
    <w:rsid w:val="00636C32"/>
    <w:rsid w:val="00636D67"/>
    <w:rsid w:val="00636E45"/>
    <w:rsid w:val="00636F2B"/>
    <w:rsid w:val="00636FFD"/>
    <w:rsid w:val="0063706E"/>
    <w:rsid w:val="00637782"/>
    <w:rsid w:val="006378ED"/>
    <w:rsid w:val="006379F4"/>
    <w:rsid w:val="00637BD9"/>
    <w:rsid w:val="00637EF6"/>
    <w:rsid w:val="00637F9F"/>
    <w:rsid w:val="0064003D"/>
    <w:rsid w:val="0064006C"/>
    <w:rsid w:val="0064027B"/>
    <w:rsid w:val="006403B6"/>
    <w:rsid w:val="006404EA"/>
    <w:rsid w:val="00640C47"/>
    <w:rsid w:val="00641007"/>
    <w:rsid w:val="0064130F"/>
    <w:rsid w:val="00642095"/>
    <w:rsid w:val="0064213A"/>
    <w:rsid w:val="006423C6"/>
    <w:rsid w:val="00642D7D"/>
    <w:rsid w:val="00642F6C"/>
    <w:rsid w:val="0064305C"/>
    <w:rsid w:val="0064344F"/>
    <w:rsid w:val="00643528"/>
    <w:rsid w:val="006438D9"/>
    <w:rsid w:val="00643EC7"/>
    <w:rsid w:val="00644561"/>
    <w:rsid w:val="00644CA4"/>
    <w:rsid w:val="00644E89"/>
    <w:rsid w:val="00644F18"/>
    <w:rsid w:val="00645245"/>
    <w:rsid w:val="0064561E"/>
    <w:rsid w:val="0064591E"/>
    <w:rsid w:val="00645E49"/>
    <w:rsid w:val="006461B2"/>
    <w:rsid w:val="00646228"/>
    <w:rsid w:val="006462F6"/>
    <w:rsid w:val="00646657"/>
    <w:rsid w:val="00646CCC"/>
    <w:rsid w:val="00647B08"/>
    <w:rsid w:val="00647CB4"/>
    <w:rsid w:val="006506AD"/>
    <w:rsid w:val="00650AC3"/>
    <w:rsid w:val="00651086"/>
    <w:rsid w:val="0065109A"/>
    <w:rsid w:val="0065122C"/>
    <w:rsid w:val="00651811"/>
    <w:rsid w:val="00651FD0"/>
    <w:rsid w:val="0065210F"/>
    <w:rsid w:val="00652235"/>
    <w:rsid w:val="006524DD"/>
    <w:rsid w:val="0065259B"/>
    <w:rsid w:val="00652892"/>
    <w:rsid w:val="00652976"/>
    <w:rsid w:val="00652A2E"/>
    <w:rsid w:val="00652CFB"/>
    <w:rsid w:val="006532F4"/>
    <w:rsid w:val="00653334"/>
    <w:rsid w:val="0065353A"/>
    <w:rsid w:val="00653841"/>
    <w:rsid w:val="00653DEA"/>
    <w:rsid w:val="00653E38"/>
    <w:rsid w:val="00653F27"/>
    <w:rsid w:val="00653F88"/>
    <w:rsid w:val="006547F1"/>
    <w:rsid w:val="00654983"/>
    <w:rsid w:val="00654D05"/>
    <w:rsid w:val="00654E01"/>
    <w:rsid w:val="00654EFB"/>
    <w:rsid w:val="00654F34"/>
    <w:rsid w:val="006557B1"/>
    <w:rsid w:val="00655BC7"/>
    <w:rsid w:val="00655CCD"/>
    <w:rsid w:val="00656486"/>
    <w:rsid w:val="00656B6E"/>
    <w:rsid w:val="00656C48"/>
    <w:rsid w:val="006572C1"/>
    <w:rsid w:val="006574EB"/>
    <w:rsid w:val="006575E8"/>
    <w:rsid w:val="0065765B"/>
    <w:rsid w:val="00657C9D"/>
    <w:rsid w:val="00660473"/>
    <w:rsid w:val="00660538"/>
    <w:rsid w:val="006606C5"/>
    <w:rsid w:val="00660786"/>
    <w:rsid w:val="0066097C"/>
    <w:rsid w:val="00660B9D"/>
    <w:rsid w:val="00660DA3"/>
    <w:rsid w:val="00660E4F"/>
    <w:rsid w:val="00661446"/>
    <w:rsid w:val="0066183A"/>
    <w:rsid w:val="00661871"/>
    <w:rsid w:val="006619BE"/>
    <w:rsid w:val="00661AB9"/>
    <w:rsid w:val="00661BB3"/>
    <w:rsid w:val="00661F4A"/>
    <w:rsid w:val="00662052"/>
    <w:rsid w:val="00662420"/>
    <w:rsid w:val="006628AE"/>
    <w:rsid w:val="00662BAB"/>
    <w:rsid w:val="0066347E"/>
    <w:rsid w:val="00663885"/>
    <w:rsid w:val="006639E9"/>
    <w:rsid w:val="0066431F"/>
    <w:rsid w:val="00664376"/>
    <w:rsid w:val="0066438D"/>
    <w:rsid w:val="006644C4"/>
    <w:rsid w:val="0066452A"/>
    <w:rsid w:val="00664925"/>
    <w:rsid w:val="006649C8"/>
    <w:rsid w:val="00664DDD"/>
    <w:rsid w:val="00664EC0"/>
    <w:rsid w:val="0066509C"/>
    <w:rsid w:val="006650B5"/>
    <w:rsid w:val="00665380"/>
    <w:rsid w:val="00665690"/>
    <w:rsid w:val="00665B34"/>
    <w:rsid w:val="00665B45"/>
    <w:rsid w:val="00665BC7"/>
    <w:rsid w:val="00665CA1"/>
    <w:rsid w:val="00666252"/>
    <w:rsid w:val="006662BD"/>
    <w:rsid w:val="00666FF0"/>
    <w:rsid w:val="0066725A"/>
    <w:rsid w:val="00667431"/>
    <w:rsid w:val="0067061A"/>
    <w:rsid w:val="006706ED"/>
    <w:rsid w:val="00670942"/>
    <w:rsid w:val="00670B32"/>
    <w:rsid w:val="00670BBB"/>
    <w:rsid w:val="00670FAE"/>
    <w:rsid w:val="00671046"/>
    <w:rsid w:val="00671657"/>
    <w:rsid w:val="00671833"/>
    <w:rsid w:val="00672196"/>
    <w:rsid w:val="00672244"/>
    <w:rsid w:val="00672843"/>
    <w:rsid w:val="00672901"/>
    <w:rsid w:val="006729AA"/>
    <w:rsid w:val="00672D48"/>
    <w:rsid w:val="00672FBA"/>
    <w:rsid w:val="00673629"/>
    <w:rsid w:val="0067381C"/>
    <w:rsid w:val="006738D8"/>
    <w:rsid w:val="00673A5C"/>
    <w:rsid w:val="00673AE6"/>
    <w:rsid w:val="0067445E"/>
    <w:rsid w:val="00674F05"/>
    <w:rsid w:val="00675093"/>
    <w:rsid w:val="00675785"/>
    <w:rsid w:val="00675D7E"/>
    <w:rsid w:val="00676015"/>
    <w:rsid w:val="00676180"/>
    <w:rsid w:val="00676806"/>
    <w:rsid w:val="00676903"/>
    <w:rsid w:val="00676AF3"/>
    <w:rsid w:val="00676F0C"/>
    <w:rsid w:val="00677A0B"/>
    <w:rsid w:val="006800ED"/>
    <w:rsid w:val="00680158"/>
    <w:rsid w:val="006804EA"/>
    <w:rsid w:val="00680529"/>
    <w:rsid w:val="006806B6"/>
    <w:rsid w:val="0068077C"/>
    <w:rsid w:val="00680841"/>
    <w:rsid w:val="00680CD8"/>
    <w:rsid w:val="00680D66"/>
    <w:rsid w:val="00680FD0"/>
    <w:rsid w:val="00681069"/>
    <w:rsid w:val="006813C8"/>
    <w:rsid w:val="00681430"/>
    <w:rsid w:val="00681987"/>
    <w:rsid w:val="00681BEF"/>
    <w:rsid w:val="00681EDC"/>
    <w:rsid w:val="0068217F"/>
    <w:rsid w:val="00682519"/>
    <w:rsid w:val="006825AE"/>
    <w:rsid w:val="00682924"/>
    <w:rsid w:val="00682949"/>
    <w:rsid w:val="00682D13"/>
    <w:rsid w:val="00682F63"/>
    <w:rsid w:val="00683122"/>
    <w:rsid w:val="006831BE"/>
    <w:rsid w:val="00683230"/>
    <w:rsid w:val="00683303"/>
    <w:rsid w:val="00683480"/>
    <w:rsid w:val="006834A2"/>
    <w:rsid w:val="0068360C"/>
    <w:rsid w:val="0068374C"/>
    <w:rsid w:val="00683752"/>
    <w:rsid w:val="00683779"/>
    <w:rsid w:val="00683E48"/>
    <w:rsid w:val="00683E4C"/>
    <w:rsid w:val="00683FB9"/>
    <w:rsid w:val="00684245"/>
    <w:rsid w:val="00684326"/>
    <w:rsid w:val="00684D39"/>
    <w:rsid w:val="00685287"/>
    <w:rsid w:val="00685352"/>
    <w:rsid w:val="00685AE7"/>
    <w:rsid w:val="00685E99"/>
    <w:rsid w:val="00685F06"/>
    <w:rsid w:val="00686039"/>
    <w:rsid w:val="006864E4"/>
    <w:rsid w:val="006867DD"/>
    <w:rsid w:val="0068687C"/>
    <w:rsid w:val="00686E45"/>
    <w:rsid w:val="00687820"/>
    <w:rsid w:val="00687A7C"/>
    <w:rsid w:val="00687ECB"/>
    <w:rsid w:val="00690279"/>
    <w:rsid w:val="00690C9F"/>
    <w:rsid w:val="00690D11"/>
    <w:rsid w:val="00690DA3"/>
    <w:rsid w:val="00690EC1"/>
    <w:rsid w:val="006913A4"/>
    <w:rsid w:val="00691493"/>
    <w:rsid w:val="00691702"/>
    <w:rsid w:val="0069178C"/>
    <w:rsid w:val="00691CC3"/>
    <w:rsid w:val="0069221F"/>
    <w:rsid w:val="006923BE"/>
    <w:rsid w:val="0069243F"/>
    <w:rsid w:val="0069248D"/>
    <w:rsid w:val="006927BA"/>
    <w:rsid w:val="00692836"/>
    <w:rsid w:val="00692E8A"/>
    <w:rsid w:val="00692F4A"/>
    <w:rsid w:val="00692F85"/>
    <w:rsid w:val="006930CF"/>
    <w:rsid w:val="006933AB"/>
    <w:rsid w:val="006933F0"/>
    <w:rsid w:val="006936A2"/>
    <w:rsid w:val="006936E0"/>
    <w:rsid w:val="00693A39"/>
    <w:rsid w:val="0069407C"/>
    <w:rsid w:val="00694950"/>
    <w:rsid w:val="0069496C"/>
    <w:rsid w:val="0069518F"/>
    <w:rsid w:val="0069538C"/>
    <w:rsid w:val="006954C7"/>
    <w:rsid w:val="00695509"/>
    <w:rsid w:val="0069550B"/>
    <w:rsid w:val="0069558B"/>
    <w:rsid w:val="0069576B"/>
    <w:rsid w:val="006957CA"/>
    <w:rsid w:val="006959BB"/>
    <w:rsid w:val="00695D31"/>
    <w:rsid w:val="00695D78"/>
    <w:rsid w:val="00695E4E"/>
    <w:rsid w:val="00695EF8"/>
    <w:rsid w:val="00696139"/>
    <w:rsid w:val="00696144"/>
    <w:rsid w:val="00696427"/>
    <w:rsid w:val="00696496"/>
    <w:rsid w:val="0069676C"/>
    <w:rsid w:val="00696F0E"/>
    <w:rsid w:val="006975B5"/>
    <w:rsid w:val="006977F7"/>
    <w:rsid w:val="0069C934"/>
    <w:rsid w:val="006A04A9"/>
    <w:rsid w:val="006A0600"/>
    <w:rsid w:val="006A0613"/>
    <w:rsid w:val="006A0B7D"/>
    <w:rsid w:val="006A0E50"/>
    <w:rsid w:val="006A0FC6"/>
    <w:rsid w:val="006A1184"/>
    <w:rsid w:val="006A13CE"/>
    <w:rsid w:val="006A1559"/>
    <w:rsid w:val="006A16BE"/>
    <w:rsid w:val="006A1712"/>
    <w:rsid w:val="006A21A1"/>
    <w:rsid w:val="006A2410"/>
    <w:rsid w:val="006A24B3"/>
    <w:rsid w:val="006A25AD"/>
    <w:rsid w:val="006A25BA"/>
    <w:rsid w:val="006A2843"/>
    <w:rsid w:val="006A2A48"/>
    <w:rsid w:val="006A2BC7"/>
    <w:rsid w:val="006A3544"/>
    <w:rsid w:val="006A3938"/>
    <w:rsid w:val="006A3958"/>
    <w:rsid w:val="006A3B72"/>
    <w:rsid w:val="006A3C07"/>
    <w:rsid w:val="006A45F7"/>
    <w:rsid w:val="006A46B2"/>
    <w:rsid w:val="006A477C"/>
    <w:rsid w:val="006A48C0"/>
    <w:rsid w:val="006A4931"/>
    <w:rsid w:val="006A4AF7"/>
    <w:rsid w:val="006A4C57"/>
    <w:rsid w:val="006A4EEF"/>
    <w:rsid w:val="006A504B"/>
    <w:rsid w:val="006A5127"/>
    <w:rsid w:val="006A5266"/>
    <w:rsid w:val="006A5ECA"/>
    <w:rsid w:val="006A648C"/>
    <w:rsid w:val="006A6591"/>
    <w:rsid w:val="006A6AF7"/>
    <w:rsid w:val="006A6BFD"/>
    <w:rsid w:val="006A7191"/>
    <w:rsid w:val="006A765A"/>
    <w:rsid w:val="006A7E57"/>
    <w:rsid w:val="006A7F35"/>
    <w:rsid w:val="006B00FF"/>
    <w:rsid w:val="006B04D1"/>
    <w:rsid w:val="006B069C"/>
    <w:rsid w:val="006B092B"/>
    <w:rsid w:val="006B0AF0"/>
    <w:rsid w:val="006B0D09"/>
    <w:rsid w:val="006B0EC3"/>
    <w:rsid w:val="006B14B2"/>
    <w:rsid w:val="006B18FC"/>
    <w:rsid w:val="006B1E9A"/>
    <w:rsid w:val="006B1FA0"/>
    <w:rsid w:val="006B2474"/>
    <w:rsid w:val="006B2566"/>
    <w:rsid w:val="006B25B8"/>
    <w:rsid w:val="006B2977"/>
    <w:rsid w:val="006B29F2"/>
    <w:rsid w:val="006B35A0"/>
    <w:rsid w:val="006B3E45"/>
    <w:rsid w:val="006B3EAC"/>
    <w:rsid w:val="006B44AA"/>
    <w:rsid w:val="006B4652"/>
    <w:rsid w:val="006B4697"/>
    <w:rsid w:val="006B4954"/>
    <w:rsid w:val="006B4AE7"/>
    <w:rsid w:val="006B4B9D"/>
    <w:rsid w:val="006B4CE4"/>
    <w:rsid w:val="006B4D39"/>
    <w:rsid w:val="006B4F2F"/>
    <w:rsid w:val="006B5038"/>
    <w:rsid w:val="006B5275"/>
    <w:rsid w:val="006B5B0D"/>
    <w:rsid w:val="006B5CE2"/>
    <w:rsid w:val="006B629A"/>
    <w:rsid w:val="006B62CD"/>
    <w:rsid w:val="006B6A95"/>
    <w:rsid w:val="006B6DEE"/>
    <w:rsid w:val="006B7075"/>
    <w:rsid w:val="006B726D"/>
    <w:rsid w:val="006B761A"/>
    <w:rsid w:val="006B795E"/>
    <w:rsid w:val="006C013D"/>
    <w:rsid w:val="006C04B4"/>
    <w:rsid w:val="006C0DB0"/>
    <w:rsid w:val="006C0F50"/>
    <w:rsid w:val="006C1010"/>
    <w:rsid w:val="006C1546"/>
    <w:rsid w:val="006C15EE"/>
    <w:rsid w:val="006C17DE"/>
    <w:rsid w:val="006C17E2"/>
    <w:rsid w:val="006C1937"/>
    <w:rsid w:val="006C194A"/>
    <w:rsid w:val="006C1A80"/>
    <w:rsid w:val="006C25F4"/>
    <w:rsid w:val="006C2732"/>
    <w:rsid w:val="006C2A86"/>
    <w:rsid w:val="006C2AD8"/>
    <w:rsid w:val="006C3F3D"/>
    <w:rsid w:val="006C4613"/>
    <w:rsid w:val="006C488B"/>
    <w:rsid w:val="006C533E"/>
    <w:rsid w:val="006C547F"/>
    <w:rsid w:val="006C572A"/>
    <w:rsid w:val="006C5913"/>
    <w:rsid w:val="006C5A3B"/>
    <w:rsid w:val="006C5AE0"/>
    <w:rsid w:val="006C5F03"/>
    <w:rsid w:val="006C5F2A"/>
    <w:rsid w:val="006C5FEF"/>
    <w:rsid w:val="006C6329"/>
    <w:rsid w:val="006C65A4"/>
    <w:rsid w:val="006C704F"/>
    <w:rsid w:val="006C706F"/>
    <w:rsid w:val="006C743E"/>
    <w:rsid w:val="006C7584"/>
    <w:rsid w:val="006C7714"/>
    <w:rsid w:val="006C786B"/>
    <w:rsid w:val="006C7A8A"/>
    <w:rsid w:val="006C7BF8"/>
    <w:rsid w:val="006D02EE"/>
    <w:rsid w:val="006D05D3"/>
    <w:rsid w:val="006D0708"/>
    <w:rsid w:val="006D0757"/>
    <w:rsid w:val="006D0B96"/>
    <w:rsid w:val="006D0BF1"/>
    <w:rsid w:val="006D0F67"/>
    <w:rsid w:val="006D11EF"/>
    <w:rsid w:val="006D1824"/>
    <w:rsid w:val="006D194E"/>
    <w:rsid w:val="006D2118"/>
    <w:rsid w:val="006D22DC"/>
    <w:rsid w:val="006D23A0"/>
    <w:rsid w:val="006D2471"/>
    <w:rsid w:val="006D2FA8"/>
    <w:rsid w:val="006D33C5"/>
    <w:rsid w:val="006D3432"/>
    <w:rsid w:val="006D35C5"/>
    <w:rsid w:val="006D382B"/>
    <w:rsid w:val="006D397D"/>
    <w:rsid w:val="006D3BDB"/>
    <w:rsid w:val="006D3D29"/>
    <w:rsid w:val="006D3F7D"/>
    <w:rsid w:val="006D46CF"/>
    <w:rsid w:val="006D4D51"/>
    <w:rsid w:val="006D5034"/>
    <w:rsid w:val="006D51D1"/>
    <w:rsid w:val="006D58A6"/>
    <w:rsid w:val="006D5C39"/>
    <w:rsid w:val="006D5C59"/>
    <w:rsid w:val="006D6C9C"/>
    <w:rsid w:val="006D6D5E"/>
    <w:rsid w:val="006D6E4A"/>
    <w:rsid w:val="006D7022"/>
    <w:rsid w:val="006D7351"/>
    <w:rsid w:val="006D73A5"/>
    <w:rsid w:val="006D763A"/>
    <w:rsid w:val="006D76F3"/>
    <w:rsid w:val="006D78C2"/>
    <w:rsid w:val="006D79F4"/>
    <w:rsid w:val="006D7D66"/>
    <w:rsid w:val="006E01BE"/>
    <w:rsid w:val="006E0522"/>
    <w:rsid w:val="006E0960"/>
    <w:rsid w:val="006E0BD5"/>
    <w:rsid w:val="006E0BEC"/>
    <w:rsid w:val="006E144B"/>
    <w:rsid w:val="006E151A"/>
    <w:rsid w:val="006E180E"/>
    <w:rsid w:val="006E1DB3"/>
    <w:rsid w:val="006E2149"/>
    <w:rsid w:val="006E22F2"/>
    <w:rsid w:val="006E265E"/>
    <w:rsid w:val="006E2863"/>
    <w:rsid w:val="006E2E87"/>
    <w:rsid w:val="006E2FC1"/>
    <w:rsid w:val="006E3055"/>
    <w:rsid w:val="006E3599"/>
    <w:rsid w:val="006E3627"/>
    <w:rsid w:val="006E375E"/>
    <w:rsid w:val="006E385C"/>
    <w:rsid w:val="006E39B9"/>
    <w:rsid w:val="006E3A98"/>
    <w:rsid w:val="006E3BAC"/>
    <w:rsid w:val="006E3C31"/>
    <w:rsid w:val="006E3D2F"/>
    <w:rsid w:val="006E3F7C"/>
    <w:rsid w:val="006E4124"/>
    <w:rsid w:val="006E47E1"/>
    <w:rsid w:val="006E4B92"/>
    <w:rsid w:val="006E4C8D"/>
    <w:rsid w:val="006E4F48"/>
    <w:rsid w:val="006E50DF"/>
    <w:rsid w:val="006E583C"/>
    <w:rsid w:val="006E5FAA"/>
    <w:rsid w:val="006E60CA"/>
    <w:rsid w:val="006E64E3"/>
    <w:rsid w:val="006E6C96"/>
    <w:rsid w:val="006E71FF"/>
    <w:rsid w:val="006E7660"/>
    <w:rsid w:val="006E7838"/>
    <w:rsid w:val="006E7C59"/>
    <w:rsid w:val="006E7C85"/>
    <w:rsid w:val="006E7CDD"/>
    <w:rsid w:val="006E7D08"/>
    <w:rsid w:val="006E7F12"/>
    <w:rsid w:val="006F000A"/>
    <w:rsid w:val="006F0DFE"/>
    <w:rsid w:val="006F1744"/>
    <w:rsid w:val="006F1838"/>
    <w:rsid w:val="006F2418"/>
    <w:rsid w:val="006F25BF"/>
    <w:rsid w:val="006F2B37"/>
    <w:rsid w:val="006F2B83"/>
    <w:rsid w:val="006F2BC0"/>
    <w:rsid w:val="006F30E9"/>
    <w:rsid w:val="006F33DC"/>
    <w:rsid w:val="006F37E7"/>
    <w:rsid w:val="006F3871"/>
    <w:rsid w:val="006F4155"/>
    <w:rsid w:val="006F4426"/>
    <w:rsid w:val="006F4DF0"/>
    <w:rsid w:val="006F509E"/>
    <w:rsid w:val="006F56CD"/>
    <w:rsid w:val="006F5C00"/>
    <w:rsid w:val="006F5C85"/>
    <w:rsid w:val="006F602F"/>
    <w:rsid w:val="006F6388"/>
    <w:rsid w:val="006F671B"/>
    <w:rsid w:val="006F6CA8"/>
    <w:rsid w:val="006F6CEA"/>
    <w:rsid w:val="006F6D84"/>
    <w:rsid w:val="006F79A1"/>
    <w:rsid w:val="006F7E0F"/>
    <w:rsid w:val="0070012B"/>
    <w:rsid w:val="00700151"/>
    <w:rsid w:val="0070073E"/>
    <w:rsid w:val="00700FED"/>
    <w:rsid w:val="007010F0"/>
    <w:rsid w:val="00701229"/>
    <w:rsid w:val="007016D7"/>
    <w:rsid w:val="0070174D"/>
    <w:rsid w:val="00701EE0"/>
    <w:rsid w:val="00701F6C"/>
    <w:rsid w:val="00701FB6"/>
    <w:rsid w:val="00702ABB"/>
    <w:rsid w:val="00702BE6"/>
    <w:rsid w:val="0070327D"/>
    <w:rsid w:val="00703605"/>
    <w:rsid w:val="00703812"/>
    <w:rsid w:val="00703990"/>
    <w:rsid w:val="00703AB7"/>
    <w:rsid w:val="00703B95"/>
    <w:rsid w:val="0070496A"/>
    <w:rsid w:val="00704B98"/>
    <w:rsid w:val="007052DA"/>
    <w:rsid w:val="007054CA"/>
    <w:rsid w:val="00705921"/>
    <w:rsid w:val="00705ED2"/>
    <w:rsid w:val="0070649B"/>
    <w:rsid w:val="007068D7"/>
    <w:rsid w:val="007069DF"/>
    <w:rsid w:val="00706E5B"/>
    <w:rsid w:val="0070701C"/>
    <w:rsid w:val="007073E6"/>
    <w:rsid w:val="007076A6"/>
    <w:rsid w:val="00707E1C"/>
    <w:rsid w:val="00710465"/>
    <w:rsid w:val="007104B4"/>
    <w:rsid w:val="00710BBC"/>
    <w:rsid w:val="007116C1"/>
    <w:rsid w:val="00711CE5"/>
    <w:rsid w:val="00711FD2"/>
    <w:rsid w:val="00712420"/>
    <w:rsid w:val="00712A2B"/>
    <w:rsid w:val="00712DA6"/>
    <w:rsid w:val="0071307F"/>
    <w:rsid w:val="00713874"/>
    <w:rsid w:val="007138AD"/>
    <w:rsid w:val="00713B04"/>
    <w:rsid w:val="00713E5F"/>
    <w:rsid w:val="00713FA4"/>
    <w:rsid w:val="00714113"/>
    <w:rsid w:val="0071536B"/>
    <w:rsid w:val="007158DD"/>
    <w:rsid w:val="007158F6"/>
    <w:rsid w:val="0071616A"/>
    <w:rsid w:val="00716477"/>
    <w:rsid w:val="0071655B"/>
    <w:rsid w:val="00716A9E"/>
    <w:rsid w:val="00716ABD"/>
    <w:rsid w:val="00716ADA"/>
    <w:rsid w:val="00716C8C"/>
    <w:rsid w:val="00716DC2"/>
    <w:rsid w:val="00716EDF"/>
    <w:rsid w:val="00716F67"/>
    <w:rsid w:val="007178F9"/>
    <w:rsid w:val="00717BB2"/>
    <w:rsid w:val="00717C10"/>
    <w:rsid w:val="00717DF3"/>
    <w:rsid w:val="00717F20"/>
    <w:rsid w:val="007201AA"/>
    <w:rsid w:val="00720259"/>
    <w:rsid w:val="0072039F"/>
    <w:rsid w:val="0072054F"/>
    <w:rsid w:val="00720D48"/>
    <w:rsid w:val="00720DA1"/>
    <w:rsid w:val="00720EE5"/>
    <w:rsid w:val="007211EA"/>
    <w:rsid w:val="0072127D"/>
    <w:rsid w:val="007217BE"/>
    <w:rsid w:val="00721B3F"/>
    <w:rsid w:val="00721B6A"/>
    <w:rsid w:val="00721F04"/>
    <w:rsid w:val="007226D9"/>
    <w:rsid w:val="00722A16"/>
    <w:rsid w:val="00723346"/>
    <w:rsid w:val="0072349C"/>
    <w:rsid w:val="0072366F"/>
    <w:rsid w:val="00723CEF"/>
    <w:rsid w:val="00723F08"/>
    <w:rsid w:val="007245C5"/>
    <w:rsid w:val="00724897"/>
    <w:rsid w:val="007248FE"/>
    <w:rsid w:val="00724AB6"/>
    <w:rsid w:val="00724D74"/>
    <w:rsid w:val="00724DC1"/>
    <w:rsid w:val="00725397"/>
    <w:rsid w:val="007259BE"/>
    <w:rsid w:val="00725C57"/>
    <w:rsid w:val="00725E4B"/>
    <w:rsid w:val="00725FD3"/>
    <w:rsid w:val="0072632D"/>
    <w:rsid w:val="007266D5"/>
    <w:rsid w:val="00726720"/>
    <w:rsid w:val="00726882"/>
    <w:rsid w:val="00726BF1"/>
    <w:rsid w:val="00726F26"/>
    <w:rsid w:val="00727155"/>
    <w:rsid w:val="0072722F"/>
    <w:rsid w:val="007279B1"/>
    <w:rsid w:val="0073018F"/>
    <w:rsid w:val="007301E2"/>
    <w:rsid w:val="0073045A"/>
    <w:rsid w:val="00730A21"/>
    <w:rsid w:val="00730C5E"/>
    <w:rsid w:val="00730E10"/>
    <w:rsid w:val="00730E65"/>
    <w:rsid w:val="00730F06"/>
    <w:rsid w:val="00730F2C"/>
    <w:rsid w:val="0073132E"/>
    <w:rsid w:val="0073163B"/>
    <w:rsid w:val="007317A2"/>
    <w:rsid w:val="00731A8A"/>
    <w:rsid w:val="007326E2"/>
    <w:rsid w:val="007329F3"/>
    <w:rsid w:val="00732B6E"/>
    <w:rsid w:val="00733146"/>
    <w:rsid w:val="007331F2"/>
    <w:rsid w:val="007335C2"/>
    <w:rsid w:val="0073398C"/>
    <w:rsid w:val="00733B00"/>
    <w:rsid w:val="00733C88"/>
    <w:rsid w:val="0073445E"/>
    <w:rsid w:val="0073475D"/>
    <w:rsid w:val="00734A68"/>
    <w:rsid w:val="00734A6D"/>
    <w:rsid w:val="00734B1D"/>
    <w:rsid w:val="00734C07"/>
    <w:rsid w:val="00734E5A"/>
    <w:rsid w:val="00734F49"/>
    <w:rsid w:val="00734F4E"/>
    <w:rsid w:val="007354B8"/>
    <w:rsid w:val="00735ACB"/>
    <w:rsid w:val="00735AEA"/>
    <w:rsid w:val="00735B9E"/>
    <w:rsid w:val="00736257"/>
    <w:rsid w:val="0073654D"/>
    <w:rsid w:val="0073662B"/>
    <w:rsid w:val="00736897"/>
    <w:rsid w:val="00736DFE"/>
    <w:rsid w:val="00736E55"/>
    <w:rsid w:val="007374E8"/>
    <w:rsid w:val="00737B06"/>
    <w:rsid w:val="00737C79"/>
    <w:rsid w:val="00740230"/>
    <w:rsid w:val="007405F4"/>
    <w:rsid w:val="00740670"/>
    <w:rsid w:val="00740B3C"/>
    <w:rsid w:val="00740B7B"/>
    <w:rsid w:val="00741358"/>
    <w:rsid w:val="00741854"/>
    <w:rsid w:val="00741DC7"/>
    <w:rsid w:val="0074228D"/>
    <w:rsid w:val="00742A48"/>
    <w:rsid w:val="00742B58"/>
    <w:rsid w:val="00743006"/>
    <w:rsid w:val="0074304D"/>
    <w:rsid w:val="00743298"/>
    <w:rsid w:val="007433CC"/>
    <w:rsid w:val="00743842"/>
    <w:rsid w:val="00743879"/>
    <w:rsid w:val="00743AF2"/>
    <w:rsid w:val="00743CD2"/>
    <w:rsid w:val="00743D21"/>
    <w:rsid w:val="007443AF"/>
    <w:rsid w:val="007445EB"/>
    <w:rsid w:val="00744676"/>
    <w:rsid w:val="007446F2"/>
    <w:rsid w:val="007447BA"/>
    <w:rsid w:val="007448F3"/>
    <w:rsid w:val="00744C1A"/>
    <w:rsid w:val="00744EE3"/>
    <w:rsid w:val="007453D6"/>
    <w:rsid w:val="00745461"/>
    <w:rsid w:val="007454A7"/>
    <w:rsid w:val="007454B1"/>
    <w:rsid w:val="0074551C"/>
    <w:rsid w:val="007457AD"/>
    <w:rsid w:val="00745923"/>
    <w:rsid w:val="00745B51"/>
    <w:rsid w:val="00745D56"/>
    <w:rsid w:val="00745D5F"/>
    <w:rsid w:val="00746284"/>
    <w:rsid w:val="00746780"/>
    <w:rsid w:val="007469B7"/>
    <w:rsid w:val="00746B36"/>
    <w:rsid w:val="00746EAA"/>
    <w:rsid w:val="00746F4B"/>
    <w:rsid w:val="007474E0"/>
    <w:rsid w:val="0074776C"/>
    <w:rsid w:val="00747B69"/>
    <w:rsid w:val="00747D87"/>
    <w:rsid w:val="00750387"/>
    <w:rsid w:val="007505DA"/>
    <w:rsid w:val="00750707"/>
    <w:rsid w:val="0075070C"/>
    <w:rsid w:val="00750904"/>
    <w:rsid w:val="007509D6"/>
    <w:rsid w:val="00750A79"/>
    <w:rsid w:val="00750BC2"/>
    <w:rsid w:val="00750CF9"/>
    <w:rsid w:val="00750E63"/>
    <w:rsid w:val="00751020"/>
    <w:rsid w:val="00751190"/>
    <w:rsid w:val="007512B0"/>
    <w:rsid w:val="00751474"/>
    <w:rsid w:val="007514DD"/>
    <w:rsid w:val="0075189A"/>
    <w:rsid w:val="007520BD"/>
    <w:rsid w:val="0075292A"/>
    <w:rsid w:val="0075307E"/>
    <w:rsid w:val="0075370D"/>
    <w:rsid w:val="00753948"/>
    <w:rsid w:val="00753B11"/>
    <w:rsid w:val="00753C71"/>
    <w:rsid w:val="00753FBE"/>
    <w:rsid w:val="00754208"/>
    <w:rsid w:val="0075439D"/>
    <w:rsid w:val="007545EE"/>
    <w:rsid w:val="00754623"/>
    <w:rsid w:val="00754633"/>
    <w:rsid w:val="00755324"/>
    <w:rsid w:val="00755684"/>
    <w:rsid w:val="00755983"/>
    <w:rsid w:val="007559F3"/>
    <w:rsid w:val="00756355"/>
    <w:rsid w:val="007565D2"/>
    <w:rsid w:val="007565F9"/>
    <w:rsid w:val="00756FA1"/>
    <w:rsid w:val="0075792B"/>
    <w:rsid w:val="00757951"/>
    <w:rsid w:val="00757C98"/>
    <w:rsid w:val="00757EC9"/>
    <w:rsid w:val="00760163"/>
    <w:rsid w:val="00760358"/>
    <w:rsid w:val="007608EB"/>
    <w:rsid w:val="00760B33"/>
    <w:rsid w:val="00761054"/>
    <w:rsid w:val="00761340"/>
    <w:rsid w:val="007615CD"/>
    <w:rsid w:val="007617B9"/>
    <w:rsid w:val="007618A8"/>
    <w:rsid w:val="00761938"/>
    <w:rsid w:val="007623F6"/>
    <w:rsid w:val="00762543"/>
    <w:rsid w:val="00762600"/>
    <w:rsid w:val="00762B0F"/>
    <w:rsid w:val="00762D10"/>
    <w:rsid w:val="007632BB"/>
    <w:rsid w:val="007634E8"/>
    <w:rsid w:val="0076373F"/>
    <w:rsid w:val="00763C18"/>
    <w:rsid w:val="00763ED2"/>
    <w:rsid w:val="00763F0F"/>
    <w:rsid w:val="00764302"/>
    <w:rsid w:val="0076447D"/>
    <w:rsid w:val="00764688"/>
    <w:rsid w:val="007649B4"/>
    <w:rsid w:val="00765519"/>
    <w:rsid w:val="00765690"/>
    <w:rsid w:val="007656B4"/>
    <w:rsid w:val="0076588C"/>
    <w:rsid w:val="0076599E"/>
    <w:rsid w:val="00765BE5"/>
    <w:rsid w:val="00765DAD"/>
    <w:rsid w:val="007661BD"/>
    <w:rsid w:val="00766858"/>
    <w:rsid w:val="00766D05"/>
    <w:rsid w:val="00766E76"/>
    <w:rsid w:val="00766FBD"/>
    <w:rsid w:val="00767219"/>
    <w:rsid w:val="007673E6"/>
    <w:rsid w:val="00767548"/>
    <w:rsid w:val="007678B6"/>
    <w:rsid w:val="00767D3B"/>
    <w:rsid w:val="00767F3B"/>
    <w:rsid w:val="00770401"/>
    <w:rsid w:val="007707CA"/>
    <w:rsid w:val="007709AF"/>
    <w:rsid w:val="007710FC"/>
    <w:rsid w:val="00771117"/>
    <w:rsid w:val="007712C6"/>
    <w:rsid w:val="00771314"/>
    <w:rsid w:val="0077150A"/>
    <w:rsid w:val="00771618"/>
    <w:rsid w:val="00771659"/>
    <w:rsid w:val="00771804"/>
    <w:rsid w:val="00771886"/>
    <w:rsid w:val="00771FF5"/>
    <w:rsid w:val="00772366"/>
    <w:rsid w:val="00772645"/>
    <w:rsid w:val="007726AD"/>
    <w:rsid w:val="00772879"/>
    <w:rsid w:val="00772954"/>
    <w:rsid w:val="00772F7C"/>
    <w:rsid w:val="00772F8E"/>
    <w:rsid w:val="007730FE"/>
    <w:rsid w:val="00773249"/>
    <w:rsid w:val="007732BC"/>
    <w:rsid w:val="00773844"/>
    <w:rsid w:val="00773929"/>
    <w:rsid w:val="00774169"/>
    <w:rsid w:val="0077471A"/>
    <w:rsid w:val="0077477D"/>
    <w:rsid w:val="00774E7C"/>
    <w:rsid w:val="0077519E"/>
    <w:rsid w:val="0077575E"/>
    <w:rsid w:val="007758A6"/>
    <w:rsid w:val="00775C8E"/>
    <w:rsid w:val="00775D95"/>
    <w:rsid w:val="00775E9C"/>
    <w:rsid w:val="007764AF"/>
    <w:rsid w:val="0077683E"/>
    <w:rsid w:val="00776992"/>
    <w:rsid w:val="00776AD5"/>
    <w:rsid w:val="00776C3F"/>
    <w:rsid w:val="00777064"/>
    <w:rsid w:val="007773A5"/>
    <w:rsid w:val="00777439"/>
    <w:rsid w:val="00777549"/>
    <w:rsid w:val="00777628"/>
    <w:rsid w:val="00777814"/>
    <w:rsid w:val="00777DB6"/>
    <w:rsid w:val="00780380"/>
    <w:rsid w:val="0078066B"/>
    <w:rsid w:val="00780C38"/>
    <w:rsid w:val="00781026"/>
    <w:rsid w:val="007810DB"/>
    <w:rsid w:val="0078124D"/>
    <w:rsid w:val="007813B5"/>
    <w:rsid w:val="0078142A"/>
    <w:rsid w:val="0078169C"/>
    <w:rsid w:val="007818BB"/>
    <w:rsid w:val="00781E88"/>
    <w:rsid w:val="00782204"/>
    <w:rsid w:val="007823CF"/>
    <w:rsid w:val="00782594"/>
    <w:rsid w:val="00782745"/>
    <w:rsid w:val="00782AA6"/>
    <w:rsid w:val="00782CBC"/>
    <w:rsid w:val="007831F0"/>
    <w:rsid w:val="00783316"/>
    <w:rsid w:val="00783481"/>
    <w:rsid w:val="0078387F"/>
    <w:rsid w:val="0078388A"/>
    <w:rsid w:val="007838C2"/>
    <w:rsid w:val="007839CA"/>
    <w:rsid w:val="00783ACF"/>
    <w:rsid w:val="00783C15"/>
    <w:rsid w:val="00783D22"/>
    <w:rsid w:val="0078406C"/>
    <w:rsid w:val="007843D7"/>
    <w:rsid w:val="00784921"/>
    <w:rsid w:val="00784FD8"/>
    <w:rsid w:val="0078537B"/>
    <w:rsid w:val="007854F4"/>
    <w:rsid w:val="00785CDB"/>
    <w:rsid w:val="00785CE8"/>
    <w:rsid w:val="00785FC2"/>
    <w:rsid w:val="0078608C"/>
    <w:rsid w:val="00786670"/>
    <w:rsid w:val="00786F41"/>
    <w:rsid w:val="00787160"/>
    <w:rsid w:val="00787360"/>
    <w:rsid w:val="00787638"/>
    <w:rsid w:val="00787C59"/>
    <w:rsid w:val="00787F33"/>
    <w:rsid w:val="00787FD5"/>
    <w:rsid w:val="007901EF"/>
    <w:rsid w:val="007906E4"/>
    <w:rsid w:val="00790737"/>
    <w:rsid w:val="00790765"/>
    <w:rsid w:val="00790AE2"/>
    <w:rsid w:val="00790EA7"/>
    <w:rsid w:val="00790FE4"/>
    <w:rsid w:val="007910BD"/>
    <w:rsid w:val="00791244"/>
    <w:rsid w:val="00791488"/>
    <w:rsid w:val="007919FD"/>
    <w:rsid w:val="00791AB5"/>
    <w:rsid w:val="00791B09"/>
    <w:rsid w:val="00791DD1"/>
    <w:rsid w:val="00792372"/>
    <w:rsid w:val="00792382"/>
    <w:rsid w:val="00792383"/>
    <w:rsid w:val="0079241B"/>
    <w:rsid w:val="00792FE5"/>
    <w:rsid w:val="00793566"/>
    <w:rsid w:val="007936EA"/>
    <w:rsid w:val="00793712"/>
    <w:rsid w:val="00793765"/>
    <w:rsid w:val="007939DC"/>
    <w:rsid w:val="00793B28"/>
    <w:rsid w:val="00794152"/>
    <w:rsid w:val="0079463B"/>
    <w:rsid w:val="00794773"/>
    <w:rsid w:val="007948A9"/>
    <w:rsid w:val="00794952"/>
    <w:rsid w:val="007949BD"/>
    <w:rsid w:val="00794EE4"/>
    <w:rsid w:val="00794F45"/>
    <w:rsid w:val="00795EDB"/>
    <w:rsid w:val="007966FD"/>
    <w:rsid w:val="007973BA"/>
    <w:rsid w:val="00797E49"/>
    <w:rsid w:val="007A00FB"/>
    <w:rsid w:val="007A0238"/>
    <w:rsid w:val="007A0301"/>
    <w:rsid w:val="007A03C9"/>
    <w:rsid w:val="007A0AAC"/>
    <w:rsid w:val="007A0DAB"/>
    <w:rsid w:val="007A0FA2"/>
    <w:rsid w:val="007A1016"/>
    <w:rsid w:val="007A15FF"/>
    <w:rsid w:val="007A1AF7"/>
    <w:rsid w:val="007A1B4E"/>
    <w:rsid w:val="007A1BA0"/>
    <w:rsid w:val="007A1D8D"/>
    <w:rsid w:val="007A2182"/>
    <w:rsid w:val="007A282E"/>
    <w:rsid w:val="007A2C19"/>
    <w:rsid w:val="007A2D68"/>
    <w:rsid w:val="007A2DDC"/>
    <w:rsid w:val="007A3611"/>
    <w:rsid w:val="007A370A"/>
    <w:rsid w:val="007A375D"/>
    <w:rsid w:val="007A3984"/>
    <w:rsid w:val="007A3A04"/>
    <w:rsid w:val="007A3B28"/>
    <w:rsid w:val="007A3C99"/>
    <w:rsid w:val="007A3E2F"/>
    <w:rsid w:val="007A4240"/>
    <w:rsid w:val="007A48D1"/>
    <w:rsid w:val="007A4A51"/>
    <w:rsid w:val="007A4BA2"/>
    <w:rsid w:val="007A5070"/>
    <w:rsid w:val="007A554E"/>
    <w:rsid w:val="007A567F"/>
    <w:rsid w:val="007A5F4F"/>
    <w:rsid w:val="007A5FBE"/>
    <w:rsid w:val="007A5FDC"/>
    <w:rsid w:val="007A6425"/>
    <w:rsid w:val="007A67AF"/>
    <w:rsid w:val="007A689C"/>
    <w:rsid w:val="007A6C42"/>
    <w:rsid w:val="007A6F5E"/>
    <w:rsid w:val="007A78C3"/>
    <w:rsid w:val="007A79F8"/>
    <w:rsid w:val="007A7AD6"/>
    <w:rsid w:val="007A7CE3"/>
    <w:rsid w:val="007A7EC0"/>
    <w:rsid w:val="007A7FAC"/>
    <w:rsid w:val="007B0541"/>
    <w:rsid w:val="007B0542"/>
    <w:rsid w:val="007B054B"/>
    <w:rsid w:val="007B0887"/>
    <w:rsid w:val="007B13AB"/>
    <w:rsid w:val="007B13B8"/>
    <w:rsid w:val="007B1FF8"/>
    <w:rsid w:val="007B21C2"/>
    <w:rsid w:val="007B237B"/>
    <w:rsid w:val="007B29BD"/>
    <w:rsid w:val="007B2CBA"/>
    <w:rsid w:val="007B3195"/>
    <w:rsid w:val="007B3316"/>
    <w:rsid w:val="007B34EF"/>
    <w:rsid w:val="007B368C"/>
    <w:rsid w:val="007B5479"/>
    <w:rsid w:val="007B56AF"/>
    <w:rsid w:val="007B5818"/>
    <w:rsid w:val="007B62E6"/>
    <w:rsid w:val="007B6330"/>
    <w:rsid w:val="007B6830"/>
    <w:rsid w:val="007B6AD6"/>
    <w:rsid w:val="007B6E62"/>
    <w:rsid w:val="007B6ED7"/>
    <w:rsid w:val="007B7076"/>
    <w:rsid w:val="007B74F1"/>
    <w:rsid w:val="007B79D5"/>
    <w:rsid w:val="007B7A1C"/>
    <w:rsid w:val="007B7C73"/>
    <w:rsid w:val="007B7E87"/>
    <w:rsid w:val="007C00AD"/>
    <w:rsid w:val="007C045D"/>
    <w:rsid w:val="007C0532"/>
    <w:rsid w:val="007C0702"/>
    <w:rsid w:val="007C0746"/>
    <w:rsid w:val="007C0992"/>
    <w:rsid w:val="007C0AAF"/>
    <w:rsid w:val="007C0B6B"/>
    <w:rsid w:val="007C0FD5"/>
    <w:rsid w:val="007C11F1"/>
    <w:rsid w:val="007C1497"/>
    <w:rsid w:val="007C1929"/>
    <w:rsid w:val="007C1FB8"/>
    <w:rsid w:val="007C217A"/>
    <w:rsid w:val="007C22F2"/>
    <w:rsid w:val="007C22F3"/>
    <w:rsid w:val="007C2A09"/>
    <w:rsid w:val="007C2E11"/>
    <w:rsid w:val="007C2E5E"/>
    <w:rsid w:val="007C2F7D"/>
    <w:rsid w:val="007C3043"/>
    <w:rsid w:val="007C3276"/>
    <w:rsid w:val="007C333B"/>
    <w:rsid w:val="007C3536"/>
    <w:rsid w:val="007C3800"/>
    <w:rsid w:val="007C38E7"/>
    <w:rsid w:val="007C3AFD"/>
    <w:rsid w:val="007C4112"/>
    <w:rsid w:val="007C47B4"/>
    <w:rsid w:val="007C4D2B"/>
    <w:rsid w:val="007C4DFA"/>
    <w:rsid w:val="007C5170"/>
    <w:rsid w:val="007C54DC"/>
    <w:rsid w:val="007C55C6"/>
    <w:rsid w:val="007C562E"/>
    <w:rsid w:val="007C56F6"/>
    <w:rsid w:val="007C5918"/>
    <w:rsid w:val="007C5A26"/>
    <w:rsid w:val="007C5C80"/>
    <w:rsid w:val="007C6549"/>
    <w:rsid w:val="007C67C0"/>
    <w:rsid w:val="007C6C3A"/>
    <w:rsid w:val="007C6CF7"/>
    <w:rsid w:val="007C77E4"/>
    <w:rsid w:val="007C78EE"/>
    <w:rsid w:val="007C7950"/>
    <w:rsid w:val="007C7DC1"/>
    <w:rsid w:val="007C7FA1"/>
    <w:rsid w:val="007D0250"/>
    <w:rsid w:val="007D02AE"/>
    <w:rsid w:val="007D046E"/>
    <w:rsid w:val="007D07E4"/>
    <w:rsid w:val="007D0D6B"/>
    <w:rsid w:val="007D101D"/>
    <w:rsid w:val="007D1689"/>
    <w:rsid w:val="007D1B38"/>
    <w:rsid w:val="007D1E85"/>
    <w:rsid w:val="007D21B1"/>
    <w:rsid w:val="007D2478"/>
    <w:rsid w:val="007D2E05"/>
    <w:rsid w:val="007D2EF7"/>
    <w:rsid w:val="007D34B7"/>
    <w:rsid w:val="007D377E"/>
    <w:rsid w:val="007D3F30"/>
    <w:rsid w:val="007D404A"/>
    <w:rsid w:val="007D41B7"/>
    <w:rsid w:val="007D433C"/>
    <w:rsid w:val="007D4510"/>
    <w:rsid w:val="007D452B"/>
    <w:rsid w:val="007D47B5"/>
    <w:rsid w:val="007D5080"/>
    <w:rsid w:val="007D5C7E"/>
    <w:rsid w:val="007D5E93"/>
    <w:rsid w:val="007D6557"/>
    <w:rsid w:val="007D6771"/>
    <w:rsid w:val="007D6B7E"/>
    <w:rsid w:val="007D7438"/>
    <w:rsid w:val="007D774B"/>
    <w:rsid w:val="007D7877"/>
    <w:rsid w:val="007D78FA"/>
    <w:rsid w:val="007D7D88"/>
    <w:rsid w:val="007D7DC9"/>
    <w:rsid w:val="007E0270"/>
    <w:rsid w:val="007E03C3"/>
    <w:rsid w:val="007E050C"/>
    <w:rsid w:val="007E0642"/>
    <w:rsid w:val="007E0FED"/>
    <w:rsid w:val="007E1654"/>
    <w:rsid w:val="007E1B87"/>
    <w:rsid w:val="007E1D06"/>
    <w:rsid w:val="007E2188"/>
    <w:rsid w:val="007E2309"/>
    <w:rsid w:val="007E2547"/>
    <w:rsid w:val="007E28AC"/>
    <w:rsid w:val="007E2BB1"/>
    <w:rsid w:val="007E2CAC"/>
    <w:rsid w:val="007E33A5"/>
    <w:rsid w:val="007E33E6"/>
    <w:rsid w:val="007E3BC4"/>
    <w:rsid w:val="007E3D13"/>
    <w:rsid w:val="007E4107"/>
    <w:rsid w:val="007E41C9"/>
    <w:rsid w:val="007E451A"/>
    <w:rsid w:val="007E483D"/>
    <w:rsid w:val="007E49CA"/>
    <w:rsid w:val="007E4AC1"/>
    <w:rsid w:val="007E4E72"/>
    <w:rsid w:val="007E4EDC"/>
    <w:rsid w:val="007E5197"/>
    <w:rsid w:val="007E54BE"/>
    <w:rsid w:val="007E5675"/>
    <w:rsid w:val="007E5821"/>
    <w:rsid w:val="007E58F0"/>
    <w:rsid w:val="007E5AFA"/>
    <w:rsid w:val="007E6110"/>
    <w:rsid w:val="007E6161"/>
    <w:rsid w:val="007E63BB"/>
    <w:rsid w:val="007E68AF"/>
    <w:rsid w:val="007E6A8E"/>
    <w:rsid w:val="007E730A"/>
    <w:rsid w:val="007E7558"/>
    <w:rsid w:val="007E77D5"/>
    <w:rsid w:val="007E786B"/>
    <w:rsid w:val="007E7879"/>
    <w:rsid w:val="007E7899"/>
    <w:rsid w:val="007E79C0"/>
    <w:rsid w:val="007E7FF5"/>
    <w:rsid w:val="007F0006"/>
    <w:rsid w:val="007F00FE"/>
    <w:rsid w:val="007F0447"/>
    <w:rsid w:val="007F05E8"/>
    <w:rsid w:val="007F0B06"/>
    <w:rsid w:val="007F0B9B"/>
    <w:rsid w:val="007F0BFD"/>
    <w:rsid w:val="007F0DF4"/>
    <w:rsid w:val="007F0E49"/>
    <w:rsid w:val="007F0FD3"/>
    <w:rsid w:val="007F12CF"/>
    <w:rsid w:val="007F15C0"/>
    <w:rsid w:val="007F16DF"/>
    <w:rsid w:val="007F170A"/>
    <w:rsid w:val="007F1DEF"/>
    <w:rsid w:val="007F1FEB"/>
    <w:rsid w:val="007F200A"/>
    <w:rsid w:val="007F2ACD"/>
    <w:rsid w:val="007F2E2B"/>
    <w:rsid w:val="007F3348"/>
    <w:rsid w:val="007F39B3"/>
    <w:rsid w:val="007F3B1E"/>
    <w:rsid w:val="007F3C0D"/>
    <w:rsid w:val="007F3EC5"/>
    <w:rsid w:val="007F4391"/>
    <w:rsid w:val="007F43DC"/>
    <w:rsid w:val="007F46BB"/>
    <w:rsid w:val="007F46C0"/>
    <w:rsid w:val="007F472F"/>
    <w:rsid w:val="007F4B4C"/>
    <w:rsid w:val="007F4EFD"/>
    <w:rsid w:val="007F4F14"/>
    <w:rsid w:val="007F57AE"/>
    <w:rsid w:val="007F6109"/>
    <w:rsid w:val="007F6168"/>
    <w:rsid w:val="007F630B"/>
    <w:rsid w:val="007F6403"/>
    <w:rsid w:val="007F6B3C"/>
    <w:rsid w:val="007F707C"/>
    <w:rsid w:val="007F790E"/>
    <w:rsid w:val="007F7AA3"/>
    <w:rsid w:val="007F7AFB"/>
    <w:rsid w:val="007F7CE9"/>
    <w:rsid w:val="007F7D25"/>
    <w:rsid w:val="0080018B"/>
    <w:rsid w:val="00800536"/>
    <w:rsid w:val="0080078E"/>
    <w:rsid w:val="00800BCA"/>
    <w:rsid w:val="00800F1E"/>
    <w:rsid w:val="00801123"/>
    <w:rsid w:val="008014D9"/>
    <w:rsid w:val="008016DD"/>
    <w:rsid w:val="008018FB"/>
    <w:rsid w:val="00801F66"/>
    <w:rsid w:val="008022F2"/>
    <w:rsid w:val="0080292E"/>
    <w:rsid w:val="008029F1"/>
    <w:rsid w:val="00802A0E"/>
    <w:rsid w:val="00803170"/>
    <w:rsid w:val="008035C9"/>
    <w:rsid w:val="0080374D"/>
    <w:rsid w:val="008040B5"/>
    <w:rsid w:val="00804107"/>
    <w:rsid w:val="008043E6"/>
    <w:rsid w:val="00804567"/>
    <w:rsid w:val="00804786"/>
    <w:rsid w:val="00804C55"/>
    <w:rsid w:val="0080515E"/>
    <w:rsid w:val="00805184"/>
    <w:rsid w:val="00805496"/>
    <w:rsid w:val="00805552"/>
    <w:rsid w:val="008057AE"/>
    <w:rsid w:val="00805BE1"/>
    <w:rsid w:val="0080619A"/>
    <w:rsid w:val="008062EA"/>
    <w:rsid w:val="00806431"/>
    <w:rsid w:val="0080644D"/>
    <w:rsid w:val="00806810"/>
    <w:rsid w:val="008068A3"/>
    <w:rsid w:val="00806900"/>
    <w:rsid w:val="00806AA3"/>
    <w:rsid w:val="00806BC6"/>
    <w:rsid w:val="00806DAB"/>
    <w:rsid w:val="00806E31"/>
    <w:rsid w:val="008071B1"/>
    <w:rsid w:val="008071CB"/>
    <w:rsid w:val="00807593"/>
    <w:rsid w:val="00807A3D"/>
    <w:rsid w:val="00807CDC"/>
    <w:rsid w:val="00807E0A"/>
    <w:rsid w:val="00810208"/>
    <w:rsid w:val="00810497"/>
    <w:rsid w:val="008106DE"/>
    <w:rsid w:val="00810848"/>
    <w:rsid w:val="0081090B"/>
    <w:rsid w:val="0081090D"/>
    <w:rsid w:val="00810952"/>
    <w:rsid w:val="00810F6D"/>
    <w:rsid w:val="00810F72"/>
    <w:rsid w:val="00811461"/>
    <w:rsid w:val="00811483"/>
    <w:rsid w:val="008116A2"/>
    <w:rsid w:val="0081176A"/>
    <w:rsid w:val="00811888"/>
    <w:rsid w:val="0081188A"/>
    <w:rsid w:val="008119C5"/>
    <w:rsid w:val="00811D5B"/>
    <w:rsid w:val="008122BE"/>
    <w:rsid w:val="00812511"/>
    <w:rsid w:val="00812889"/>
    <w:rsid w:val="00812D11"/>
    <w:rsid w:val="00812FC2"/>
    <w:rsid w:val="0081345D"/>
    <w:rsid w:val="00813906"/>
    <w:rsid w:val="00813FE9"/>
    <w:rsid w:val="00814282"/>
    <w:rsid w:val="008149AC"/>
    <w:rsid w:val="00815282"/>
    <w:rsid w:val="00815920"/>
    <w:rsid w:val="008159EE"/>
    <w:rsid w:val="00815B71"/>
    <w:rsid w:val="00815E01"/>
    <w:rsid w:val="00815FAD"/>
    <w:rsid w:val="00816363"/>
    <w:rsid w:val="00816499"/>
    <w:rsid w:val="00816520"/>
    <w:rsid w:val="008166D8"/>
    <w:rsid w:val="00816E44"/>
    <w:rsid w:val="008170D2"/>
    <w:rsid w:val="00817160"/>
    <w:rsid w:val="00817CCC"/>
    <w:rsid w:val="00817E0B"/>
    <w:rsid w:val="0082059F"/>
    <w:rsid w:val="00820F66"/>
    <w:rsid w:val="0082101F"/>
    <w:rsid w:val="00821372"/>
    <w:rsid w:val="008213AE"/>
    <w:rsid w:val="00821423"/>
    <w:rsid w:val="008215EB"/>
    <w:rsid w:val="00821817"/>
    <w:rsid w:val="00821993"/>
    <w:rsid w:val="0082272D"/>
    <w:rsid w:val="00822839"/>
    <w:rsid w:val="00822965"/>
    <w:rsid w:val="00823079"/>
    <w:rsid w:val="008235B0"/>
    <w:rsid w:val="0082389B"/>
    <w:rsid w:val="00823ED0"/>
    <w:rsid w:val="00823F00"/>
    <w:rsid w:val="0082419A"/>
    <w:rsid w:val="008242B8"/>
    <w:rsid w:val="008243A4"/>
    <w:rsid w:val="008243E9"/>
    <w:rsid w:val="00824E88"/>
    <w:rsid w:val="008250D5"/>
    <w:rsid w:val="00825750"/>
    <w:rsid w:val="008257ED"/>
    <w:rsid w:val="00825B4E"/>
    <w:rsid w:val="00825D92"/>
    <w:rsid w:val="008264E7"/>
    <w:rsid w:val="008265DC"/>
    <w:rsid w:val="00826AD0"/>
    <w:rsid w:val="00826C88"/>
    <w:rsid w:val="00826EBC"/>
    <w:rsid w:val="00827397"/>
    <w:rsid w:val="00827656"/>
    <w:rsid w:val="00827B94"/>
    <w:rsid w:val="00827E42"/>
    <w:rsid w:val="008301C8"/>
    <w:rsid w:val="008303E9"/>
    <w:rsid w:val="00830798"/>
    <w:rsid w:val="00830B5F"/>
    <w:rsid w:val="00830BBD"/>
    <w:rsid w:val="00830BC5"/>
    <w:rsid w:val="00830D57"/>
    <w:rsid w:val="008310A3"/>
    <w:rsid w:val="0083121F"/>
    <w:rsid w:val="008318A8"/>
    <w:rsid w:val="00831CF6"/>
    <w:rsid w:val="00831EA0"/>
    <w:rsid w:val="008322BB"/>
    <w:rsid w:val="00832AB4"/>
    <w:rsid w:val="00832EEE"/>
    <w:rsid w:val="00833113"/>
    <w:rsid w:val="008333CB"/>
    <w:rsid w:val="008334E6"/>
    <w:rsid w:val="00833533"/>
    <w:rsid w:val="00833577"/>
    <w:rsid w:val="008337CB"/>
    <w:rsid w:val="0083382B"/>
    <w:rsid w:val="00833838"/>
    <w:rsid w:val="00833DF1"/>
    <w:rsid w:val="00833E72"/>
    <w:rsid w:val="00833FA6"/>
    <w:rsid w:val="008340B9"/>
    <w:rsid w:val="00834176"/>
    <w:rsid w:val="008346DC"/>
    <w:rsid w:val="00834822"/>
    <w:rsid w:val="00834AE1"/>
    <w:rsid w:val="00834DD6"/>
    <w:rsid w:val="00834F22"/>
    <w:rsid w:val="00834F91"/>
    <w:rsid w:val="0083524E"/>
    <w:rsid w:val="00835A9C"/>
    <w:rsid w:val="00835CB2"/>
    <w:rsid w:val="00836082"/>
    <w:rsid w:val="0083678F"/>
    <w:rsid w:val="00836BFF"/>
    <w:rsid w:val="00836C99"/>
    <w:rsid w:val="00836EB7"/>
    <w:rsid w:val="008372CB"/>
    <w:rsid w:val="00837762"/>
    <w:rsid w:val="008379A8"/>
    <w:rsid w:val="00837E02"/>
    <w:rsid w:val="0084029B"/>
    <w:rsid w:val="00841C0E"/>
    <w:rsid w:val="00842956"/>
    <w:rsid w:val="0084296B"/>
    <w:rsid w:val="00842B7F"/>
    <w:rsid w:val="00842C7E"/>
    <w:rsid w:val="00842CB2"/>
    <w:rsid w:val="00842D5C"/>
    <w:rsid w:val="00842F0B"/>
    <w:rsid w:val="00843ABD"/>
    <w:rsid w:val="00843D18"/>
    <w:rsid w:val="008440FE"/>
    <w:rsid w:val="0084454F"/>
    <w:rsid w:val="008446A5"/>
    <w:rsid w:val="008446DE"/>
    <w:rsid w:val="0084474D"/>
    <w:rsid w:val="008447A6"/>
    <w:rsid w:val="00844957"/>
    <w:rsid w:val="008459A5"/>
    <w:rsid w:val="00845D17"/>
    <w:rsid w:val="008460DF"/>
    <w:rsid w:val="008461B2"/>
    <w:rsid w:val="0084645D"/>
    <w:rsid w:val="00846484"/>
    <w:rsid w:val="00846565"/>
    <w:rsid w:val="008465AB"/>
    <w:rsid w:val="008467D2"/>
    <w:rsid w:val="00846B7A"/>
    <w:rsid w:val="008470E8"/>
    <w:rsid w:val="00847124"/>
    <w:rsid w:val="00847206"/>
    <w:rsid w:val="0084738B"/>
    <w:rsid w:val="00847990"/>
    <w:rsid w:val="00847C1A"/>
    <w:rsid w:val="00847D7E"/>
    <w:rsid w:val="00850084"/>
    <w:rsid w:val="00850665"/>
    <w:rsid w:val="008506DD"/>
    <w:rsid w:val="00850A05"/>
    <w:rsid w:val="00850C7A"/>
    <w:rsid w:val="00850E90"/>
    <w:rsid w:val="00851213"/>
    <w:rsid w:val="008514A5"/>
    <w:rsid w:val="0085153E"/>
    <w:rsid w:val="00851AFF"/>
    <w:rsid w:val="00851C1B"/>
    <w:rsid w:val="00851EB0"/>
    <w:rsid w:val="0085264B"/>
    <w:rsid w:val="00852665"/>
    <w:rsid w:val="00852818"/>
    <w:rsid w:val="0085294A"/>
    <w:rsid w:val="00852FC5"/>
    <w:rsid w:val="00852FE7"/>
    <w:rsid w:val="0085339F"/>
    <w:rsid w:val="008534BA"/>
    <w:rsid w:val="008535E9"/>
    <w:rsid w:val="008537E0"/>
    <w:rsid w:val="00853B52"/>
    <w:rsid w:val="008540D6"/>
    <w:rsid w:val="0085461E"/>
    <w:rsid w:val="00854C7E"/>
    <w:rsid w:val="00854F07"/>
    <w:rsid w:val="00854FFF"/>
    <w:rsid w:val="0085531B"/>
    <w:rsid w:val="0085541C"/>
    <w:rsid w:val="008558E3"/>
    <w:rsid w:val="008559CB"/>
    <w:rsid w:val="00855BE7"/>
    <w:rsid w:val="00855D11"/>
    <w:rsid w:val="00856328"/>
    <w:rsid w:val="00856719"/>
    <w:rsid w:val="00856985"/>
    <w:rsid w:val="00856A7F"/>
    <w:rsid w:val="00856DAB"/>
    <w:rsid w:val="008572E2"/>
    <w:rsid w:val="008574AD"/>
    <w:rsid w:val="00857632"/>
    <w:rsid w:val="00857863"/>
    <w:rsid w:val="008578A8"/>
    <w:rsid w:val="00861448"/>
    <w:rsid w:val="008615F4"/>
    <w:rsid w:val="008618C0"/>
    <w:rsid w:val="00861DE3"/>
    <w:rsid w:val="00861F82"/>
    <w:rsid w:val="00862C5E"/>
    <w:rsid w:val="008630EA"/>
    <w:rsid w:val="00863241"/>
    <w:rsid w:val="00863430"/>
    <w:rsid w:val="00863570"/>
    <w:rsid w:val="0086390E"/>
    <w:rsid w:val="00863E8E"/>
    <w:rsid w:val="00864205"/>
    <w:rsid w:val="00864231"/>
    <w:rsid w:val="00864253"/>
    <w:rsid w:val="008645A8"/>
    <w:rsid w:val="008647A6"/>
    <w:rsid w:val="008661BE"/>
    <w:rsid w:val="008666A4"/>
    <w:rsid w:val="00866C0F"/>
    <w:rsid w:val="008670B2"/>
    <w:rsid w:val="00867136"/>
    <w:rsid w:val="008671EA"/>
    <w:rsid w:val="008672A7"/>
    <w:rsid w:val="00867319"/>
    <w:rsid w:val="008676A9"/>
    <w:rsid w:val="00867AEA"/>
    <w:rsid w:val="00867BCD"/>
    <w:rsid w:val="00867BF8"/>
    <w:rsid w:val="00867C2B"/>
    <w:rsid w:val="00867D58"/>
    <w:rsid w:val="008703CB"/>
    <w:rsid w:val="00870412"/>
    <w:rsid w:val="00870553"/>
    <w:rsid w:val="00870795"/>
    <w:rsid w:val="00870CF1"/>
    <w:rsid w:val="00870CFE"/>
    <w:rsid w:val="00870EF6"/>
    <w:rsid w:val="008710A8"/>
    <w:rsid w:val="00871A37"/>
    <w:rsid w:val="00871CF1"/>
    <w:rsid w:val="008720CE"/>
    <w:rsid w:val="00872175"/>
    <w:rsid w:val="0087273E"/>
    <w:rsid w:val="0087275B"/>
    <w:rsid w:val="00872BC1"/>
    <w:rsid w:val="00872DC2"/>
    <w:rsid w:val="008732AA"/>
    <w:rsid w:val="00873554"/>
    <w:rsid w:val="008736D4"/>
    <w:rsid w:val="00873CF5"/>
    <w:rsid w:val="00873FB1"/>
    <w:rsid w:val="008742AE"/>
    <w:rsid w:val="008744FA"/>
    <w:rsid w:val="00874678"/>
    <w:rsid w:val="008749B6"/>
    <w:rsid w:val="00874C59"/>
    <w:rsid w:val="00874D66"/>
    <w:rsid w:val="00874E91"/>
    <w:rsid w:val="00874EB4"/>
    <w:rsid w:val="00874F70"/>
    <w:rsid w:val="008754DC"/>
    <w:rsid w:val="0087611C"/>
    <w:rsid w:val="008766FE"/>
    <w:rsid w:val="00876890"/>
    <w:rsid w:val="00876A9F"/>
    <w:rsid w:val="00877147"/>
    <w:rsid w:val="00877159"/>
    <w:rsid w:val="008774CE"/>
    <w:rsid w:val="00877628"/>
    <w:rsid w:val="008779B8"/>
    <w:rsid w:val="008801A8"/>
    <w:rsid w:val="0088027A"/>
    <w:rsid w:val="008805E0"/>
    <w:rsid w:val="008809D2"/>
    <w:rsid w:val="00880E7C"/>
    <w:rsid w:val="00880E86"/>
    <w:rsid w:val="0088116E"/>
    <w:rsid w:val="008816F8"/>
    <w:rsid w:val="00881B48"/>
    <w:rsid w:val="00881F02"/>
    <w:rsid w:val="00882C98"/>
    <w:rsid w:val="00882ED1"/>
    <w:rsid w:val="00883434"/>
    <w:rsid w:val="00883600"/>
    <w:rsid w:val="008837A9"/>
    <w:rsid w:val="008841BF"/>
    <w:rsid w:val="008841C6"/>
    <w:rsid w:val="008846C6"/>
    <w:rsid w:val="00884772"/>
    <w:rsid w:val="0088478B"/>
    <w:rsid w:val="00884960"/>
    <w:rsid w:val="00884AE1"/>
    <w:rsid w:val="00884E37"/>
    <w:rsid w:val="00885528"/>
    <w:rsid w:val="00885635"/>
    <w:rsid w:val="00885CF7"/>
    <w:rsid w:val="00886262"/>
    <w:rsid w:val="00886311"/>
    <w:rsid w:val="00886662"/>
    <w:rsid w:val="00886889"/>
    <w:rsid w:val="008869CD"/>
    <w:rsid w:val="00886A2A"/>
    <w:rsid w:val="00886CF9"/>
    <w:rsid w:val="0088726C"/>
    <w:rsid w:val="0088731B"/>
    <w:rsid w:val="00887359"/>
    <w:rsid w:val="008876E8"/>
    <w:rsid w:val="00887F58"/>
    <w:rsid w:val="00887F9D"/>
    <w:rsid w:val="008902F2"/>
    <w:rsid w:val="00890903"/>
    <w:rsid w:val="00890A04"/>
    <w:rsid w:val="0089102E"/>
    <w:rsid w:val="00891790"/>
    <w:rsid w:val="00891E14"/>
    <w:rsid w:val="00892046"/>
    <w:rsid w:val="0089208B"/>
    <w:rsid w:val="008928DD"/>
    <w:rsid w:val="00892D9B"/>
    <w:rsid w:val="00892ED9"/>
    <w:rsid w:val="00892EF5"/>
    <w:rsid w:val="008930F4"/>
    <w:rsid w:val="00893107"/>
    <w:rsid w:val="0089338D"/>
    <w:rsid w:val="008935CF"/>
    <w:rsid w:val="0089397C"/>
    <w:rsid w:val="00893A33"/>
    <w:rsid w:val="00893C26"/>
    <w:rsid w:val="00894509"/>
    <w:rsid w:val="008947B0"/>
    <w:rsid w:val="00894A78"/>
    <w:rsid w:val="008950AE"/>
    <w:rsid w:val="00895C4A"/>
    <w:rsid w:val="00895E7A"/>
    <w:rsid w:val="00895F0F"/>
    <w:rsid w:val="008968A4"/>
    <w:rsid w:val="00896C3F"/>
    <w:rsid w:val="008971B1"/>
    <w:rsid w:val="0089772F"/>
    <w:rsid w:val="00897D0C"/>
    <w:rsid w:val="00897D3C"/>
    <w:rsid w:val="00897D9F"/>
    <w:rsid w:val="00897DB8"/>
    <w:rsid w:val="008A0256"/>
    <w:rsid w:val="008A091C"/>
    <w:rsid w:val="008A0D74"/>
    <w:rsid w:val="008A12BE"/>
    <w:rsid w:val="008A1527"/>
    <w:rsid w:val="008A1532"/>
    <w:rsid w:val="008A159F"/>
    <w:rsid w:val="008A179D"/>
    <w:rsid w:val="008A1B4A"/>
    <w:rsid w:val="008A1EA5"/>
    <w:rsid w:val="008A20DF"/>
    <w:rsid w:val="008A2509"/>
    <w:rsid w:val="008A2CCA"/>
    <w:rsid w:val="008A32DD"/>
    <w:rsid w:val="008A351C"/>
    <w:rsid w:val="008A353F"/>
    <w:rsid w:val="008A38FD"/>
    <w:rsid w:val="008A3B79"/>
    <w:rsid w:val="008A40A0"/>
    <w:rsid w:val="008A4251"/>
    <w:rsid w:val="008A4301"/>
    <w:rsid w:val="008A43E8"/>
    <w:rsid w:val="008A4852"/>
    <w:rsid w:val="008A4C69"/>
    <w:rsid w:val="008A4D47"/>
    <w:rsid w:val="008A53CC"/>
    <w:rsid w:val="008A5651"/>
    <w:rsid w:val="008A59F8"/>
    <w:rsid w:val="008A5A61"/>
    <w:rsid w:val="008A5C3F"/>
    <w:rsid w:val="008A5D77"/>
    <w:rsid w:val="008A5F70"/>
    <w:rsid w:val="008A5F9E"/>
    <w:rsid w:val="008A650B"/>
    <w:rsid w:val="008A65E1"/>
    <w:rsid w:val="008A663A"/>
    <w:rsid w:val="008A6816"/>
    <w:rsid w:val="008A6BDE"/>
    <w:rsid w:val="008A7051"/>
    <w:rsid w:val="008A7070"/>
    <w:rsid w:val="008A7404"/>
    <w:rsid w:val="008A74C2"/>
    <w:rsid w:val="008A7EF4"/>
    <w:rsid w:val="008B003E"/>
    <w:rsid w:val="008B0323"/>
    <w:rsid w:val="008B0767"/>
    <w:rsid w:val="008B0C3C"/>
    <w:rsid w:val="008B0C74"/>
    <w:rsid w:val="008B13AF"/>
    <w:rsid w:val="008B14BC"/>
    <w:rsid w:val="008B1C0D"/>
    <w:rsid w:val="008B1F73"/>
    <w:rsid w:val="008B21A1"/>
    <w:rsid w:val="008B227F"/>
    <w:rsid w:val="008B2443"/>
    <w:rsid w:val="008B2C41"/>
    <w:rsid w:val="008B31EF"/>
    <w:rsid w:val="008B34AE"/>
    <w:rsid w:val="008B3C0B"/>
    <w:rsid w:val="008B3E44"/>
    <w:rsid w:val="008B46D4"/>
    <w:rsid w:val="008B47E2"/>
    <w:rsid w:val="008B48C6"/>
    <w:rsid w:val="008B48D5"/>
    <w:rsid w:val="008B4C94"/>
    <w:rsid w:val="008B50B0"/>
    <w:rsid w:val="008B5F8F"/>
    <w:rsid w:val="008B5FAB"/>
    <w:rsid w:val="008B658B"/>
    <w:rsid w:val="008B6EFD"/>
    <w:rsid w:val="008B71C4"/>
    <w:rsid w:val="008B7299"/>
    <w:rsid w:val="008B756B"/>
    <w:rsid w:val="008C0021"/>
    <w:rsid w:val="008C03C0"/>
    <w:rsid w:val="008C0A1E"/>
    <w:rsid w:val="008C0BF3"/>
    <w:rsid w:val="008C0E56"/>
    <w:rsid w:val="008C0F27"/>
    <w:rsid w:val="008C1015"/>
    <w:rsid w:val="008C1218"/>
    <w:rsid w:val="008C177A"/>
    <w:rsid w:val="008C19F1"/>
    <w:rsid w:val="008C1F91"/>
    <w:rsid w:val="008C224A"/>
    <w:rsid w:val="008C23CA"/>
    <w:rsid w:val="008C242A"/>
    <w:rsid w:val="008C291E"/>
    <w:rsid w:val="008C2BFD"/>
    <w:rsid w:val="008C2CB0"/>
    <w:rsid w:val="008C2EAF"/>
    <w:rsid w:val="008C2FD9"/>
    <w:rsid w:val="008C3726"/>
    <w:rsid w:val="008C3D68"/>
    <w:rsid w:val="008C3D77"/>
    <w:rsid w:val="008C3F5B"/>
    <w:rsid w:val="008C4000"/>
    <w:rsid w:val="008C4251"/>
    <w:rsid w:val="008C452B"/>
    <w:rsid w:val="008C488B"/>
    <w:rsid w:val="008C4B10"/>
    <w:rsid w:val="008C4C1D"/>
    <w:rsid w:val="008C4DD3"/>
    <w:rsid w:val="008C4EA4"/>
    <w:rsid w:val="008C5134"/>
    <w:rsid w:val="008C5382"/>
    <w:rsid w:val="008C5427"/>
    <w:rsid w:val="008C558E"/>
    <w:rsid w:val="008C5927"/>
    <w:rsid w:val="008C6088"/>
    <w:rsid w:val="008C63FA"/>
    <w:rsid w:val="008C6745"/>
    <w:rsid w:val="008C73E8"/>
    <w:rsid w:val="008C7936"/>
    <w:rsid w:val="008D02AF"/>
    <w:rsid w:val="008D0408"/>
    <w:rsid w:val="008D0628"/>
    <w:rsid w:val="008D0C0B"/>
    <w:rsid w:val="008D11FB"/>
    <w:rsid w:val="008D15D2"/>
    <w:rsid w:val="008D187A"/>
    <w:rsid w:val="008D1A74"/>
    <w:rsid w:val="008D1B0C"/>
    <w:rsid w:val="008D1DF3"/>
    <w:rsid w:val="008D1F68"/>
    <w:rsid w:val="008D20BA"/>
    <w:rsid w:val="008D244B"/>
    <w:rsid w:val="008D2A97"/>
    <w:rsid w:val="008D3479"/>
    <w:rsid w:val="008D3EB9"/>
    <w:rsid w:val="008D3FF0"/>
    <w:rsid w:val="008D4089"/>
    <w:rsid w:val="008D41AE"/>
    <w:rsid w:val="008D4335"/>
    <w:rsid w:val="008D4A2D"/>
    <w:rsid w:val="008D4A75"/>
    <w:rsid w:val="008D4E6C"/>
    <w:rsid w:val="008D51A8"/>
    <w:rsid w:val="008D52A1"/>
    <w:rsid w:val="008D5723"/>
    <w:rsid w:val="008D5A41"/>
    <w:rsid w:val="008D5AD0"/>
    <w:rsid w:val="008D5CB3"/>
    <w:rsid w:val="008D5DFF"/>
    <w:rsid w:val="008D5E6F"/>
    <w:rsid w:val="008D6239"/>
    <w:rsid w:val="008D624F"/>
    <w:rsid w:val="008D63BA"/>
    <w:rsid w:val="008D64C8"/>
    <w:rsid w:val="008D6B69"/>
    <w:rsid w:val="008D6D2F"/>
    <w:rsid w:val="008D6EEA"/>
    <w:rsid w:val="008D700B"/>
    <w:rsid w:val="008D71D3"/>
    <w:rsid w:val="008D75DA"/>
    <w:rsid w:val="008D77D6"/>
    <w:rsid w:val="008D7C53"/>
    <w:rsid w:val="008D7E40"/>
    <w:rsid w:val="008D7FD4"/>
    <w:rsid w:val="008E0025"/>
    <w:rsid w:val="008E0500"/>
    <w:rsid w:val="008E08B3"/>
    <w:rsid w:val="008E08EE"/>
    <w:rsid w:val="008E0EE2"/>
    <w:rsid w:val="008E1BD0"/>
    <w:rsid w:val="008E21E1"/>
    <w:rsid w:val="008E2436"/>
    <w:rsid w:val="008E2504"/>
    <w:rsid w:val="008E2770"/>
    <w:rsid w:val="008E2E62"/>
    <w:rsid w:val="008E2FEA"/>
    <w:rsid w:val="008E4178"/>
    <w:rsid w:val="008E4227"/>
    <w:rsid w:val="008E43E3"/>
    <w:rsid w:val="008E47BC"/>
    <w:rsid w:val="008E4802"/>
    <w:rsid w:val="008E49B4"/>
    <w:rsid w:val="008E51EC"/>
    <w:rsid w:val="008E5383"/>
    <w:rsid w:val="008E5583"/>
    <w:rsid w:val="008E55A3"/>
    <w:rsid w:val="008E58C4"/>
    <w:rsid w:val="008E5BDB"/>
    <w:rsid w:val="008E60D8"/>
    <w:rsid w:val="008E69F7"/>
    <w:rsid w:val="008E6E9A"/>
    <w:rsid w:val="008E735F"/>
    <w:rsid w:val="008E783B"/>
    <w:rsid w:val="008E792D"/>
    <w:rsid w:val="008E7A8C"/>
    <w:rsid w:val="008E7C3D"/>
    <w:rsid w:val="008E7E56"/>
    <w:rsid w:val="008E7F9C"/>
    <w:rsid w:val="008F0572"/>
    <w:rsid w:val="008F0B55"/>
    <w:rsid w:val="008F0CA6"/>
    <w:rsid w:val="008F0F44"/>
    <w:rsid w:val="008F1AAA"/>
    <w:rsid w:val="008F1DF8"/>
    <w:rsid w:val="008F1EF4"/>
    <w:rsid w:val="008F1F39"/>
    <w:rsid w:val="008F200C"/>
    <w:rsid w:val="008F2671"/>
    <w:rsid w:val="008F2769"/>
    <w:rsid w:val="008F2865"/>
    <w:rsid w:val="008F28E6"/>
    <w:rsid w:val="008F2BBB"/>
    <w:rsid w:val="008F2D0B"/>
    <w:rsid w:val="008F2D2F"/>
    <w:rsid w:val="008F2F99"/>
    <w:rsid w:val="008F321A"/>
    <w:rsid w:val="008F32BF"/>
    <w:rsid w:val="008F33AA"/>
    <w:rsid w:val="008F35AC"/>
    <w:rsid w:val="008F3667"/>
    <w:rsid w:val="008F36C0"/>
    <w:rsid w:val="008F36EB"/>
    <w:rsid w:val="008F372D"/>
    <w:rsid w:val="008F3977"/>
    <w:rsid w:val="008F3BB7"/>
    <w:rsid w:val="008F3FB9"/>
    <w:rsid w:val="008F4873"/>
    <w:rsid w:val="008F48E5"/>
    <w:rsid w:val="008F490A"/>
    <w:rsid w:val="008F50B7"/>
    <w:rsid w:val="008F51C7"/>
    <w:rsid w:val="008F534B"/>
    <w:rsid w:val="008F5475"/>
    <w:rsid w:val="008F5BBA"/>
    <w:rsid w:val="008F5CC6"/>
    <w:rsid w:val="008F62DA"/>
    <w:rsid w:val="008F63B6"/>
    <w:rsid w:val="008F6526"/>
    <w:rsid w:val="008F65CC"/>
    <w:rsid w:val="008F65EC"/>
    <w:rsid w:val="008F686C"/>
    <w:rsid w:val="008F75D0"/>
    <w:rsid w:val="008F7AAA"/>
    <w:rsid w:val="008F7B10"/>
    <w:rsid w:val="008F7B7A"/>
    <w:rsid w:val="008F7D94"/>
    <w:rsid w:val="008F7DCE"/>
    <w:rsid w:val="008F7F63"/>
    <w:rsid w:val="008F7FCE"/>
    <w:rsid w:val="00900257"/>
    <w:rsid w:val="00900597"/>
    <w:rsid w:val="0090080E"/>
    <w:rsid w:val="009008E8"/>
    <w:rsid w:val="009009CB"/>
    <w:rsid w:val="00900C9B"/>
    <w:rsid w:val="009011D1"/>
    <w:rsid w:val="009011DF"/>
    <w:rsid w:val="00901628"/>
    <w:rsid w:val="0090169A"/>
    <w:rsid w:val="0090171B"/>
    <w:rsid w:val="00901C26"/>
    <w:rsid w:val="00901D1D"/>
    <w:rsid w:val="00902230"/>
    <w:rsid w:val="009023D0"/>
    <w:rsid w:val="00902542"/>
    <w:rsid w:val="0090257B"/>
    <w:rsid w:val="0090261F"/>
    <w:rsid w:val="009028DC"/>
    <w:rsid w:val="0090295B"/>
    <w:rsid w:val="00902AA5"/>
    <w:rsid w:val="00902B19"/>
    <w:rsid w:val="00902C26"/>
    <w:rsid w:val="00903602"/>
    <w:rsid w:val="00903923"/>
    <w:rsid w:val="00903A0F"/>
    <w:rsid w:val="00903D29"/>
    <w:rsid w:val="0090406A"/>
    <w:rsid w:val="00904252"/>
    <w:rsid w:val="0090441B"/>
    <w:rsid w:val="0090451E"/>
    <w:rsid w:val="00904942"/>
    <w:rsid w:val="00904F54"/>
    <w:rsid w:val="009054B2"/>
    <w:rsid w:val="00905D2D"/>
    <w:rsid w:val="00905E66"/>
    <w:rsid w:val="009064B5"/>
    <w:rsid w:val="00906827"/>
    <w:rsid w:val="0090696C"/>
    <w:rsid w:val="00906AAF"/>
    <w:rsid w:val="009074C1"/>
    <w:rsid w:val="009075A3"/>
    <w:rsid w:val="0090798C"/>
    <w:rsid w:val="009079B7"/>
    <w:rsid w:val="00907A23"/>
    <w:rsid w:val="0091003D"/>
    <w:rsid w:val="009100D7"/>
    <w:rsid w:val="009105D9"/>
    <w:rsid w:val="00910A69"/>
    <w:rsid w:val="00910BCB"/>
    <w:rsid w:val="00910FDA"/>
    <w:rsid w:val="009112F8"/>
    <w:rsid w:val="009114E2"/>
    <w:rsid w:val="009119B8"/>
    <w:rsid w:val="00911E2A"/>
    <w:rsid w:val="00911F00"/>
    <w:rsid w:val="00912115"/>
    <w:rsid w:val="00912252"/>
    <w:rsid w:val="009124A2"/>
    <w:rsid w:val="00912AE9"/>
    <w:rsid w:val="00912B4C"/>
    <w:rsid w:val="00912C44"/>
    <w:rsid w:val="00912D42"/>
    <w:rsid w:val="0091318C"/>
    <w:rsid w:val="009132F4"/>
    <w:rsid w:val="009135DA"/>
    <w:rsid w:val="009139EA"/>
    <w:rsid w:val="00913DA5"/>
    <w:rsid w:val="009141D7"/>
    <w:rsid w:val="009141EF"/>
    <w:rsid w:val="00914232"/>
    <w:rsid w:val="00914A6A"/>
    <w:rsid w:val="00914B0B"/>
    <w:rsid w:val="00914FD9"/>
    <w:rsid w:val="00915042"/>
    <w:rsid w:val="00915346"/>
    <w:rsid w:val="0091540C"/>
    <w:rsid w:val="00915494"/>
    <w:rsid w:val="009159E6"/>
    <w:rsid w:val="00915A64"/>
    <w:rsid w:val="00915D9F"/>
    <w:rsid w:val="00915FA1"/>
    <w:rsid w:val="00916140"/>
    <w:rsid w:val="00916335"/>
    <w:rsid w:val="00916494"/>
    <w:rsid w:val="00916502"/>
    <w:rsid w:val="00917332"/>
    <w:rsid w:val="009175D3"/>
    <w:rsid w:val="00917C73"/>
    <w:rsid w:val="00917D86"/>
    <w:rsid w:val="00917E3C"/>
    <w:rsid w:val="009203EC"/>
    <w:rsid w:val="00920567"/>
    <w:rsid w:val="00920E83"/>
    <w:rsid w:val="0092131B"/>
    <w:rsid w:val="0092187E"/>
    <w:rsid w:val="00921FC8"/>
    <w:rsid w:val="009221B7"/>
    <w:rsid w:val="00922973"/>
    <w:rsid w:val="00922AE5"/>
    <w:rsid w:val="00922D71"/>
    <w:rsid w:val="009232C0"/>
    <w:rsid w:val="00923A8D"/>
    <w:rsid w:val="00924414"/>
    <w:rsid w:val="00924533"/>
    <w:rsid w:val="009249DF"/>
    <w:rsid w:val="00924B49"/>
    <w:rsid w:val="00924C22"/>
    <w:rsid w:val="00925512"/>
    <w:rsid w:val="00926049"/>
    <w:rsid w:val="0092608B"/>
    <w:rsid w:val="00926522"/>
    <w:rsid w:val="00926C3A"/>
    <w:rsid w:val="009272D0"/>
    <w:rsid w:val="0092755D"/>
    <w:rsid w:val="009275E2"/>
    <w:rsid w:val="00927685"/>
    <w:rsid w:val="00927CC9"/>
    <w:rsid w:val="00927DCD"/>
    <w:rsid w:val="0093013F"/>
    <w:rsid w:val="0093037B"/>
    <w:rsid w:val="00930618"/>
    <w:rsid w:val="00930664"/>
    <w:rsid w:val="00930B62"/>
    <w:rsid w:val="00930C1C"/>
    <w:rsid w:val="00930CA3"/>
    <w:rsid w:val="00930D52"/>
    <w:rsid w:val="00930F65"/>
    <w:rsid w:val="0093116B"/>
    <w:rsid w:val="009312EA"/>
    <w:rsid w:val="009314DD"/>
    <w:rsid w:val="009319D3"/>
    <w:rsid w:val="00931EA5"/>
    <w:rsid w:val="00931EB8"/>
    <w:rsid w:val="00931EC9"/>
    <w:rsid w:val="009323B1"/>
    <w:rsid w:val="00932896"/>
    <w:rsid w:val="009328BE"/>
    <w:rsid w:val="00932F17"/>
    <w:rsid w:val="00932FC9"/>
    <w:rsid w:val="00933561"/>
    <w:rsid w:val="009337EC"/>
    <w:rsid w:val="009337F3"/>
    <w:rsid w:val="009338AD"/>
    <w:rsid w:val="009339C7"/>
    <w:rsid w:val="00933DCB"/>
    <w:rsid w:val="00934083"/>
    <w:rsid w:val="009340FE"/>
    <w:rsid w:val="009345D4"/>
    <w:rsid w:val="009346D2"/>
    <w:rsid w:val="00934A5D"/>
    <w:rsid w:val="00934BA5"/>
    <w:rsid w:val="00934CD1"/>
    <w:rsid w:val="00934FF2"/>
    <w:rsid w:val="009354E0"/>
    <w:rsid w:val="00935808"/>
    <w:rsid w:val="00935847"/>
    <w:rsid w:val="009359C6"/>
    <w:rsid w:val="00935BC5"/>
    <w:rsid w:val="00935C93"/>
    <w:rsid w:val="00935D87"/>
    <w:rsid w:val="00935FE7"/>
    <w:rsid w:val="00936099"/>
    <w:rsid w:val="00936728"/>
    <w:rsid w:val="0093683A"/>
    <w:rsid w:val="00937021"/>
    <w:rsid w:val="00937030"/>
    <w:rsid w:val="00937734"/>
    <w:rsid w:val="0093777E"/>
    <w:rsid w:val="00940065"/>
    <w:rsid w:val="00940640"/>
    <w:rsid w:val="00940816"/>
    <w:rsid w:val="00940EC0"/>
    <w:rsid w:val="0094117C"/>
    <w:rsid w:val="00941436"/>
    <w:rsid w:val="009414D5"/>
    <w:rsid w:val="0094155C"/>
    <w:rsid w:val="00941C1A"/>
    <w:rsid w:val="00941D13"/>
    <w:rsid w:val="0094227F"/>
    <w:rsid w:val="0094251A"/>
    <w:rsid w:val="0094268A"/>
    <w:rsid w:val="009429FF"/>
    <w:rsid w:val="00942ADB"/>
    <w:rsid w:val="00942E10"/>
    <w:rsid w:val="00943157"/>
    <w:rsid w:val="00943423"/>
    <w:rsid w:val="009436D3"/>
    <w:rsid w:val="00943B3A"/>
    <w:rsid w:val="00943DCA"/>
    <w:rsid w:val="00944042"/>
    <w:rsid w:val="0094506A"/>
    <w:rsid w:val="009451D5"/>
    <w:rsid w:val="00945514"/>
    <w:rsid w:val="009459A9"/>
    <w:rsid w:val="00945BE0"/>
    <w:rsid w:val="00945C45"/>
    <w:rsid w:val="00945D26"/>
    <w:rsid w:val="00945FFA"/>
    <w:rsid w:val="00946503"/>
    <w:rsid w:val="0094665F"/>
    <w:rsid w:val="00946C9B"/>
    <w:rsid w:val="00946D49"/>
    <w:rsid w:val="00946D77"/>
    <w:rsid w:val="00946E44"/>
    <w:rsid w:val="00946ECA"/>
    <w:rsid w:val="00947355"/>
    <w:rsid w:val="009475A7"/>
    <w:rsid w:val="0095104D"/>
    <w:rsid w:val="0095144F"/>
    <w:rsid w:val="00951897"/>
    <w:rsid w:val="00951C9C"/>
    <w:rsid w:val="00951CD3"/>
    <w:rsid w:val="009520DF"/>
    <w:rsid w:val="00952EEB"/>
    <w:rsid w:val="009531DF"/>
    <w:rsid w:val="00953392"/>
    <w:rsid w:val="0095363C"/>
    <w:rsid w:val="009538FB"/>
    <w:rsid w:val="009539B1"/>
    <w:rsid w:val="00953B63"/>
    <w:rsid w:val="00953D72"/>
    <w:rsid w:val="009541B5"/>
    <w:rsid w:val="009542F3"/>
    <w:rsid w:val="00954B06"/>
    <w:rsid w:val="00954CD1"/>
    <w:rsid w:val="00954E20"/>
    <w:rsid w:val="0095511E"/>
    <w:rsid w:val="00955304"/>
    <w:rsid w:val="009553BB"/>
    <w:rsid w:val="009565E3"/>
    <w:rsid w:val="00956A2C"/>
    <w:rsid w:val="00956ED9"/>
    <w:rsid w:val="009576A9"/>
    <w:rsid w:val="00957784"/>
    <w:rsid w:val="00957A58"/>
    <w:rsid w:val="00957CD0"/>
    <w:rsid w:val="00957F5B"/>
    <w:rsid w:val="00960144"/>
    <w:rsid w:val="009606F0"/>
    <w:rsid w:val="009609EB"/>
    <w:rsid w:val="00960CC6"/>
    <w:rsid w:val="00960D37"/>
    <w:rsid w:val="009610CF"/>
    <w:rsid w:val="009610F2"/>
    <w:rsid w:val="00961C3A"/>
    <w:rsid w:val="00961E04"/>
    <w:rsid w:val="00961ED3"/>
    <w:rsid w:val="009621E7"/>
    <w:rsid w:val="009622FD"/>
    <w:rsid w:val="00962742"/>
    <w:rsid w:val="009629D1"/>
    <w:rsid w:val="00962CFA"/>
    <w:rsid w:val="00962D77"/>
    <w:rsid w:val="00962ED4"/>
    <w:rsid w:val="0096325A"/>
    <w:rsid w:val="00963768"/>
    <w:rsid w:val="00963B91"/>
    <w:rsid w:val="00963F3C"/>
    <w:rsid w:val="0096450B"/>
    <w:rsid w:val="0096453C"/>
    <w:rsid w:val="00964E40"/>
    <w:rsid w:val="0096509B"/>
    <w:rsid w:val="0096554B"/>
    <w:rsid w:val="00965777"/>
    <w:rsid w:val="00965921"/>
    <w:rsid w:val="00965A8B"/>
    <w:rsid w:val="00965CD0"/>
    <w:rsid w:val="00966004"/>
    <w:rsid w:val="0096661F"/>
    <w:rsid w:val="00967595"/>
    <w:rsid w:val="009679DD"/>
    <w:rsid w:val="00967A1C"/>
    <w:rsid w:val="00967E43"/>
    <w:rsid w:val="0097062A"/>
    <w:rsid w:val="00970F41"/>
    <w:rsid w:val="0097111B"/>
    <w:rsid w:val="00971A30"/>
    <w:rsid w:val="00971BC3"/>
    <w:rsid w:val="00971E14"/>
    <w:rsid w:val="00971F7B"/>
    <w:rsid w:val="00971FD2"/>
    <w:rsid w:val="00972508"/>
    <w:rsid w:val="00972A8A"/>
    <w:rsid w:val="009730AA"/>
    <w:rsid w:val="00973102"/>
    <w:rsid w:val="00973275"/>
    <w:rsid w:val="0097355E"/>
    <w:rsid w:val="009736D6"/>
    <w:rsid w:val="009739F8"/>
    <w:rsid w:val="00973ACB"/>
    <w:rsid w:val="00973D7C"/>
    <w:rsid w:val="00973DAD"/>
    <w:rsid w:val="009744AA"/>
    <w:rsid w:val="009745B3"/>
    <w:rsid w:val="00974A14"/>
    <w:rsid w:val="00974B84"/>
    <w:rsid w:val="009753E6"/>
    <w:rsid w:val="0097551F"/>
    <w:rsid w:val="0097580C"/>
    <w:rsid w:val="00975902"/>
    <w:rsid w:val="00975A57"/>
    <w:rsid w:val="00975C22"/>
    <w:rsid w:val="00975DB4"/>
    <w:rsid w:val="00975F86"/>
    <w:rsid w:val="00975FDF"/>
    <w:rsid w:val="009762C6"/>
    <w:rsid w:val="00977014"/>
    <w:rsid w:val="00977041"/>
    <w:rsid w:val="009773EB"/>
    <w:rsid w:val="009773F5"/>
    <w:rsid w:val="0097741C"/>
    <w:rsid w:val="00977565"/>
    <w:rsid w:val="00977AB9"/>
    <w:rsid w:val="00977F0E"/>
    <w:rsid w:val="00977F50"/>
    <w:rsid w:val="0098043D"/>
    <w:rsid w:val="00980D02"/>
    <w:rsid w:val="00980F1F"/>
    <w:rsid w:val="0098138A"/>
    <w:rsid w:val="00981447"/>
    <w:rsid w:val="0098162F"/>
    <w:rsid w:val="00981886"/>
    <w:rsid w:val="00981BE1"/>
    <w:rsid w:val="00982436"/>
    <w:rsid w:val="0098252F"/>
    <w:rsid w:val="00983867"/>
    <w:rsid w:val="00983C45"/>
    <w:rsid w:val="00983E07"/>
    <w:rsid w:val="00983F5E"/>
    <w:rsid w:val="00983FCA"/>
    <w:rsid w:val="00984136"/>
    <w:rsid w:val="009845DC"/>
    <w:rsid w:val="00984A23"/>
    <w:rsid w:val="00984DA7"/>
    <w:rsid w:val="00984E10"/>
    <w:rsid w:val="009854CA"/>
    <w:rsid w:val="00985577"/>
    <w:rsid w:val="0098577D"/>
    <w:rsid w:val="00985923"/>
    <w:rsid w:val="00985978"/>
    <w:rsid w:val="00985A34"/>
    <w:rsid w:val="00985D2B"/>
    <w:rsid w:val="00985F4D"/>
    <w:rsid w:val="009860DA"/>
    <w:rsid w:val="009862F8"/>
    <w:rsid w:val="009866AF"/>
    <w:rsid w:val="00986A00"/>
    <w:rsid w:val="00986D0F"/>
    <w:rsid w:val="00986E3C"/>
    <w:rsid w:val="00986E75"/>
    <w:rsid w:val="0098718A"/>
    <w:rsid w:val="00987277"/>
    <w:rsid w:val="0098728D"/>
    <w:rsid w:val="00987488"/>
    <w:rsid w:val="009874C5"/>
    <w:rsid w:val="00987630"/>
    <w:rsid w:val="00987C8C"/>
    <w:rsid w:val="00987F2C"/>
    <w:rsid w:val="00987FC6"/>
    <w:rsid w:val="0099002F"/>
    <w:rsid w:val="009902D1"/>
    <w:rsid w:val="009913DA"/>
    <w:rsid w:val="00991683"/>
    <w:rsid w:val="00991961"/>
    <w:rsid w:val="00991A77"/>
    <w:rsid w:val="00991BEC"/>
    <w:rsid w:val="00991C3B"/>
    <w:rsid w:val="00991F44"/>
    <w:rsid w:val="0099233A"/>
    <w:rsid w:val="00992621"/>
    <w:rsid w:val="00992AE4"/>
    <w:rsid w:val="00992C02"/>
    <w:rsid w:val="00992CEF"/>
    <w:rsid w:val="00992D5F"/>
    <w:rsid w:val="00993231"/>
    <w:rsid w:val="00993286"/>
    <w:rsid w:val="009933BA"/>
    <w:rsid w:val="0099381C"/>
    <w:rsid w:val="00993DDB"/>
    <w:rsid w:val="0099499E"/>
    <w:rsid w:val="00995395"/>
    <w:rsid w:val="009956BF"/>
    <w:rsid w:val="00995D0B"/>
    <w:rsid w:val="00995DFD"/>
    <w:rsid w:val="00995E77"/>
    <w:rsid w:val="00996261"/>
    <w:rsid w:val="009962ED"/>
    <w:rsid w:val="00996493"/>
    <w:rsid w:val="00996752"/>
    <w:rsid w:val="00996AAD"/>
    <w:rsid w:val="00997396"/>
    <w:rsid w:val="00997A36"/>
    <w:rsid w:val="00997C38"/>
    <w:rsid w:val="00997F8B"/>
    <w:rsid w:val="009A01D7"/>
    <w:rsid w:val="009A0340"/>
    <w:rsid w:val="009A0B77"/>
    <w:rsid w:val="009A0FCA"/>
    <w:rsid w:val="009A11DA"/>
    <w:rsid w:val="009A1328"/>
    <w:rsid w:val="009A14E6"/>
    <w:rsid w:val="009A187D"/>
    <w:rsid w:val="009A2063"/>
    <w:rsid w:val="009A21D5"/>
    <w:rsid w:val="009A23E2"/>
    <w:rsid w:val="009A23FD"/>
    <w:rsid w:val="009A29E5"/>
    <w:rsid w:val="009A2B7B"/>
    <w:rsid w:val="009A32E2"/>
    <w:rsid w:val="009A347A"/>
    <w:rsid w:val="009A3586"/>
    <w:rsid w:val="009A35D7"/>
    <w:rsid w:val="009A3ECC"/>
    <w:rsid w:val="009A4353"/>
    <w:rsid w:val="009A46E6"/>
    <w:rsid w:val="009A49D9"/>
    <w:rsid w:val="009A5039"/>
    <w:rsid w:val="009A57D8"/>
    <w:rsid w:val="009A5C24"/>
    <w:rsid w:val="009A5C45"/>
    <w:rsid w:val="009A5CF6"/>
    <w:rsid w:val="009A68F3"/>
    <w:rsid w:val="009A6BC3"/>
    <w:rsid w:val="009A6CD4"/>
    <w:rsid w:val="009A6D50"/>
    <w:rsid w:val="009A6E81"/>
    <w:rsid w:val="009A72AF"/>
    <w:rsid w:val="009A75C0"/>
    <w:rsid w:val="009A7A35"/>
    <w:rsid w:val="009A7C8B"/>
    <w:rsid w:val="009B0084"/>
    <w:rsid w:val="009B051B"/>
    <w:rsid w:val="009B069E"/>
    <w:rsid w:val="009B0CA6"/>
    <w:rsid w:val="009B0E0F"/>
    <w:rsid w:val="009B15FA"/>
    <w:rsid w:val="009B167E"/>
    <w:rsid w:val="009B1720"/>
    <w:rsid w:val="009B1AE8"/>
    <w:rsid w:val="009B20FC"/>
    <w:rsid w:val="009B26D9"/>
    <w:rsid w:val="009B2B83"/>
    <w:rsid w:val="009B2F1C"/>
    <w:rsid w:val="009B307B"/>
    <w:rsid w:val="009B3088"/>
    <w:rsid w:val="009B3401"/>
    <w:rsid w:val="009B390E"/>
    <w:rsid w:val="009B39E7"/>
    <w:rsid w:val="009B3A69"/>
    <w:rsid w:val="009B3B02"/>
    <w:rsid w:val="009B3BD1"/>
    <w:rsid w:val="009B3E29"/>
    <w:rsid w:val="009B4138"/>
    <w:rsid w:val="009B4472"/>
    <w:rsid w:val="009B45A6"/>
    <w:rsid w:val="009B4617"/>
    <w:rsid w:val="009B4665"/>
    <w:rsid w:val="009B47EF"/>
    <w:rsid w:val="009B4951"/>
    <w:rsid w:val="009B49DC"/>
    <w:rsid w:val="009B4CCD"/>
    <w:rsid w:val="009B4D44"/>
    <w:rsid w:val="009B5247"/>
    <w:rsid w:val="009B543F"/>
    <w:rsid w:val="009B57D8"/>
    <w:rsid w:val="009B5A43"/>
    <w:rsid w:val="009B5A99"/>
    <w:rsid w:val="009B5BA9"/>
    <w:rsid w:val="009B62E0"/>
    <w:rsid w:val="009B6429"/>
    <w:rsid w:val="009B6B5A"/>
    <w:rsid w:val="009B6E33"/>
    <w:rsid w:val="009B75DC"/>
    <w:rsid w:val="009B76E1"/>
    <w:rsid w:val="009B76F3"/>
    <w:rsid w:val="009B7953"/>
    <w:rsid w:val="009C034F"/>
    <w:rsid w:val="009C0901"/>
    <w:rsid w:val="009C0A68"/>
    <w:rsid w:val="009C1962"/>
    <w:rsid w:val="009C19DB"/>
    <w:rsid w:val="009C2351"/>
    <w:rsid w:val="009C2ABB"/>
    <w:rsid w:val="009C2BA5"/>
    <w:rsid w:val="009C2D5F"/>
    <w:rsid w:val="009C2EB6"/>
    <w:rsid w:val="009C3104"/>
    <w:rsid w:val="009C3339"/>
    <w:rsid w:val="009C3596"/>
    <w:rsid w:val="009C3B42"/>
    <w:rsid w:val="009C3E81"/>
    <w:rsid w:val="009C49F1"/>
    <w:rsid w:val="009C52AD"/>
    <w:rsid w:val="009C5CB2"/>
    <w:rsid w:val="009C6097"/>
    <w:rsid w:val="009C69BC"/>
    <w:rsid w:val="009C6B4B"/>
    <w:rsid w:val="009C6C28"/>
    <w:rsid w:val="009C6C40"/>
    <w:rsid w:val="009C6CE2"/>
    <w:rsid w:val="009C6E43"/>
    <w:rsid w:val="009C708D"/>
    <w:rsid w:val="009C72DA"/>
    <w:rsid w:val="009C75FB"/>
    <w:rsid w:val="009C7646"/>
    <w:rsid w:val="009C7E4E"/>
    <w:rsid w:val="009D00FD"/>
    <w:rsid w:val="009D0116"/>
    <w:rsid w:val="009D01A7"/>
    <w:rsid w:val="009D0CB4"/>
    <w:rsid w:val="009D0CEB"/>
    <w:rsid w:val="009D0D10"/>
    <w:rsid w:val="009D1118"/>
    <w:rsid w:val="009D12CF"/>
    <w:rsid w:val="009D17AA"/>
    <w:rsid w:val="009D18C1"/>
    <w:rsid w:val="009D1A17"/>
    <w:rsid w:val="009D1A65"/>
    <w:rsid w:val="009D1D47"/>
    <w:rsid w:val="009D280E"/>
    <w:rsid w:val="009D2933"/>
    <w:rsid w:val="009D2ACF"/>
    <w:rsid w:val="009D34BB"/>
    <w:rsid w:val="009D379C"/>
    <w:rsid w:val="009D3928"/>
    <w:rsid w:val="009D3D99"/>
    <w:rsid w:val="009D4070"/>
    <w:rsid w:val="009D45CB"/>
    <w:rsid w:val="009D4880"/>
    <w:rsid w:val="009D4C22"/>
    <w:rsid w:val="009D4DEF"/>
    <w:rsid w:val="009D545F"/>
    <w:rsid w:val="009D5587"/>
    <w:rsid w:val="009D56B0"/>
    <w:rsid w:val="009D56B7"/>
    <w:rsid w:val="009D6533"/>
    <w:rsid w:val="009D6A53"/>
    <w:rsid w:val="009D7749"/>
    <w:rsid w:val="009D7E33"/>
    <w:rsid w:val="009E0191"/>
    <w:rsid w:val="009E038D"/>
    <w:rsid w:val="009E07FF"/>
    <w:rsid w:val="009E0939"/>
    <w:rsid w:val="009E0AA4"/>
    <w:rsid w:val="009E0C84"/>
    <w:rsid w:val="009E1023"/>
    <w:rsid w:val="009E1037"/>
    <w:rsid w:val="009E1930"/>
    <w:rsid w:val="009E2037"/>
    <w:rsid w:val="009E2527"/>
    <w:rsid w:val="009E2B32"/>
    <w:rsid w:val="009E325B"/>
    <w:rsid w:val="009E34C1"/>
    <w:rsid w:val="009E3524"/>
    <w:rsid w:val="009E357E"/>
    <w:rsid w:val="009E35A8"/>
    <w:rsid w:val="009E3610"/>
    <w:rsid w:val="009E3A90"/>
    <w:rsid w:val="009E3B2A"/>
    <w:rsid w:val="009E3C08"/>
    <w:rsid w:val="009E3FAB"/>
    <w:rsid w:val="009E44A0"/>
    <w:rsid w:val="009E49A4"/>
    <w:rsid w:val="009E49BC"/>
    <w:rsid w:val="009E4BC4"/>
    <w:rsid w:val="009E4CCD"/>
    <w:rsid w:val="009E4DB8"/>
    <w:rsid w:val="009E4E1A"/>
    <w:rsid w:val="009E56E1"/>
    <w:rsid w:val="009E5718"/>
    <w:rsid w:val="009E5BC6"/>
    <w:rsid w:val="009E5D11"/>
    <w:rsid w:val="009E61D2"/>
    <w:rsid w:val="009E646D"/>
    <w:rsid w:val="009E6635"/>
    <w:rsid w:val="009E6F25"/>
    <w:rsid w:val="009E7154"/>
    <w:rsid w:val="009E7A98"/>
    <w:rsid w:val="009E7EBF"/>
    <w:rsid w:val="009F0469"/>
    <w:rsid w:val="009F07D2"/>
    <w:rsid w:val="009F0914"/>
    <w:rsid w:val="009F0A61"/>
    <w:rsid w:val="009F0ABE"/>
    <w:rsid w:val="009F104B"/>
    <w:rsid w:val="009F10D5"/>
    <w:rsid w:val="009F1E71"/>
    <w:rsid w:val="009F2ABB"/>
    <w:rsid w:val="009F2B3C"/>
    <w:rsid w:val="009F2B4D"/>
    <w:rsid w:val="009F3392"/>
    <w:rsid w:val="009F370D"/>
    <w:rsid w:val="009F398A"/>
    <w:rsid w:val="009F39EC"/>
    <w:rsid w:val="009F3ACC"/>
    <w:rsid w:val="009F3DDD"/>
    <w:rsid w:val="009F4923"/>
    <w:rsid w:val="009F4C62"/>
    <w:rsid w:val="009F4ED1"/>
    <w:rsid w:val="009F571A"/>
    <w:rsid w:val="009F5AA0"/>
    <w:rsid w:val="009F5B52"/>
    <w:rsid w:val="009F5BB0"/>
    <w:rsid w:val="009F5C32"/>
    <w:rsid w:val="009F5E65"/>
    <w:rsid w:val="009F630F"/>
    <w:rsid w:val="009F648C"/>
    <w:rsid w:val="009F65F3"/>
    <w:rsid w:val="009F6890"/>
    <w:rsid w:val="009F6A98"/>
    <w:rsid w:val="009F6B42"/>
    <w:rsid w:val="009F6E7C"/>
    <w:rsid w:val="009F73D6"/>
    <w:rsid w:val="009F7839"/>
    <w:rsid w:val="009F7AC5"/>
    <w:rsid w:val="00A0005D"/>
    <w:rsid w:val="00A00908"/>
    <w:rsid w:val="00A00BBA"/>
    <w:rsid w:val="00A00E89"/>
    <w:rsid w:val="00A01322"/>
    <w:rsid w:val="00A017BF"/>
    <w:rsid w:val="00A01840"/>
    <w:rsid w:val="00A01AFB"/>
    <w:rsid w:val="00A01BB2"/>
    <w:rsid w:val="00A01BDD"/>
    <w:rsid w:val="00A01CDC"/>
    <w:rsid w:val="00A02031"/>
    <w:rsid w:val="00A021AD"/>
    <w:rsid w:val="00A02204"/>
    <w:rsid w:val="00A02213"/>
    <w:rsid w:val="00A0232A"/>
    <w:rsid w:val="00A02392"/>
    <w:rsid w:val="00A02411"/>
    <w:rsid w:val="00A02E71"/>
    <w:rsid w:val="00A030F1"/>
    <w:rsid w:val="00A03207"/>
    <w:rsid w:val="00A033C6"/>
    <w:rsid w:val="00A0382C"/>
    <w:rsid w:val="00A0384E"/>
    <w:rsid w:val="00A044ED"/>
    <w:rsid w:val="00A04DB8"/>
    <w:rsid w:val="00A0564B"/>
    <w:rsid w:val="00A05842"/>
    <w:rsid w:val="00A06A9F"/>
    <w:rsid w:val="00A06AFB"/>
    <w:rsid w:val="00A06C4D"/>
    <w:rsid w:val="00A06D2A"/>
    <w:rsid w:val="00A0724A"/>
    <w:rsid w:val="00A078A4"/>
    <w:rsid w:val="00A07A17"/>
    <w:rsid w:val="00A07E68"/>
    <w:rsid w:val="00A07EDD"/>
    <w:rsid w:val="00A101A0"/>
    <w:rsid w:val="00A101FC"/>
    <w:rsid w:val="00A10576"/>
    <w:rsid w:val="00A10810"/>
    <w:rsid w:val="00A10D05"/>
    <w:rsid w:val="00A10F68"/>
    <w:rsid w:val="00A10FD5"/>
    <w:rsid w:val="00A11272"/>
    <w:rsid w:val="00A1172E"/>
    <w:rsid w:val="00A1183A"/>
    <w:rsid w:val="00A12AD5"/>
    <w:rsid w:val="00A12CF9"/>
    <w:rsid w:val="00A12D2E"/>
    <w:rsid w:val="00A12EED"/>
    <w:rsid w:val="00A13038"/>
    <w:rsid w:val="00A131B5"/>
    <w:rsid w:val="00A13896"/>
    <w:rsid w:val="00A13A9D"/>
    <w:rsid w:val="00A13ED5"/>
    <w:rsid w:val="00A13FF7"/>
    <w:rsid w:val="00A14053"/>
    <w:rsid w:val="00A144BE"/>
    <w:rsid w:val="00A14605"/>
    <w:rsid w:val="00A14973"/>
    <w:rsid w:val="00A14A7E"/>
    <w:rsid w:val="00A14AB3"/>
    <w:rsid w:val="00A14D08"/>
    <w:rsid w:val="00A155F4"/>
    <w:rsid w:val="00A15A6B"/>
    <w:rsid w:val="00A15B18"/>
    <w:rsid w:val="00A15BB1"/>
    <w:rsid w:val="00A16114"/>
    <w:rsid w:val="00A16322"/>
    <w:rsid w:val="00A169A5"/>
    <w:rsid w:val="00A169EB"/>
    <w:rsid w:val="00A16A94"/>
    <w:rsid w:val="00A16DA8"/>
    <w:rsid w:val="00A17363"/>
    <w:rsid w:val="00A17529"/>
    <w:rsid w:val="00A177FB"/>
    <w:rsid w:val="00A1784D"/>
    <w:rsid w:val="00A178A6"/>
    <w:rsid w:val="00A17ABB"/>
    <w:rsid w:val="00A17AF2"/>
    <w:rsid w:val="00A17B88"/>
    <w:rsid w:val="00A17E4E"/>
    <w:rsid w:val="00A17E83"/>
    <w:rsid w:val="00A20298"/>
    <w:rsid w:val="00A209C6"/>
    <w:rsid w:val="00A20A15"/>
    <w:rsid w:val="00A20E88"/>
    <w:rsid w:val="00A21336"/>
    <w:rsid w:val="00A21460"/>
    <w:rsid w:val="00A214D5"/>
    <w:rsid w:val="00A2179C"/>
    <w:rsid w:val="00A21DB0"/>
    <w:rsid w:val="00A22527"/>
    <w:rsid w:val="00A22572"/>
    <w:rsid w:val="00A22B1A"/>
    <w:rsid w:val="00A22CEC"/>
    <w:rsid w:val="00A22E22"/>
    <w:rsid w:val="00A22F5D"/>
    <w:rsid w:val="00A236B8"/>
    <w:rsid w:val="00A23866"/>
    <w:rsid w:val="00A23DF9"/>
    <w:rsid w:val="00A23E33"/>
    <w:rsid w:val="00A24157"/>
    <w:rsid w:val="00A24569"/>
    <w:rsid w:val="00A2458D"/>
    <w:rsid w:val="00A246E6"/>
    <w:rsid w:val="00A247B3"/>
    <w:rsid w:val="00A25194"/>
    <w:rsid w:val="00A256F5"/>
    <w:rsid w:val="00A26FA2"/>
    <w:rsid w:val="00A27342"/>
    <w:rsid w:val="00A27756"/>
    <w:rsid w:val="00A27DD9"/>
    <w:rsid w:val="00A30063"/>
    <w:rsid w:val="00A300AA"/>
    <w:rsid w:val="00A30184"/>
    <w:rsid w:val="00A3062E"/>
    <w:rsid w:val="00A306E5"/>
    <w:rsid w:val="00A3081D"/>
    <w:rsid w:val="00A309AB"/>
    <w:rsid w:val="00A309ED"/>
    <w:rsid w:val="00A30B22"/>
    <w:rsid w:val="00A30DA4"/>
    <w:rsid w:val="00A311AA"/>
    <w:rsid w:val="00A31253"/>
    <w:rsid w:val="00A31487"/>
    <w:rsid w:val="00A314EB"/>
    <w:rsid w:val="00A318DC"/>
    <w:rsid w:val="00A318FB"/>
    <w:rsid w:val="00A31C25"/>
    <w:rsid w:val="00A31D65"/>
    <w:rsid w:val="00A31DAC"/>
    <w:rsid w:val="00A31DB9"/>
    <w:rsid w:val="00A31F07"/>
    <w:rsid w:val="00A31F1A"/>
    <w:rsid w:val="00A32021"/>
    <w:rsid w:val="00A32283"/>
    <w:rsid w:val="00A324B3"/>
    <w:rsid w:val="00A32574"/>
    <w:rsid w:val="00A326FE"/>
    <w:rsid w:val="00A32BD1"/>
    <w:rsid w:val="00A32E42"/>
    <w:rsid w:val="00A32E6D"/>
    <w:rsid w:val="00A3336A"/>
    <w:rsid w:val="00A33C98"/>
    <w:rsid w:val="00A34330"/>
    <w:rsid w:val="00A3437A"/>
    <w:rsid w:val="00A34435"/>
    <w:rsid w:val="00A344C3"/>
    <w:rsid w:val="00A3455D"/>
    <w:rsid w:val="00A34AE6"/>
    <w:rsid w:val="00A34D2A"/>
    <w:rsid w:val="00A34DA6"/>
    <w:rsid w:val="00A3512A"/>
    <w:rsid w:val="00A3592B"/>
    <w:rsid w:val="00A35C84"/>
    <w:rsid w:val="00A36158"/>
    <w:rsid w:val="00A36486"/>
    <w:rsid w:val="00A3655B"/>
    <w:rsid w:val="00A3665E"/>
    <w:rsid w:val="00A36704"/>
    <w:rsid w:val="00A36722"/>
    <w:rsid w:val="00A36D29"/>
    <w:rsid w:val="00A36D53"/>
    <w:rsid w:val="00A36DE7"/>
    <w:rsid w:val="00A3723F"/>
    <w:rsid w:val="00A37B7B"/>
    <w:rsid w:val="00A37EE4"/>
    <w:rsid w:val="00A404F5"/>
    <w:rsid w:val="00A405AE"/>
    <w:rsid w:val="00A40882"/>
    <w:rsid w:val="00A4097B"/>
    <w:rsid w:val="00A40CB2"/>
    <w:rsid w:val="00A40E5B"/>
    <w:rsid w:val="00A41B31"/>
    <w:rsid w:val="00A41C1E"/>
    <w:rsid w:val="00A41C36"/>
    <w:rsid w:val="00A41CBD"/>
    <w:rsid w:val="00A42629"/>
    <w:rsid w:val="00A4266C"/>
    <w:rsid w:val="00A42A3C"/>
    <w:rsid w:val="00A42B77"/>
    <w:rsid w:val="00A42E68"/>
    <w:rsid w:val="00A42F14"/>
    <w:rsid w:val="00A433C3"/>
    <w:rsid w:val="00A43507"/>
    <w:rsid w:val="00A435E9"/>
    <w:rsid w:val="00A43A2B"/>
    <w:rsid w:val="00A43A83"/>
    <w:rsid w:val="00A43AE3"/>
    <w:rsid w:val="00A43DA9"/>
    <w:rsid w:val="00A440CD"/>
    <w:rsid w:val="00A441D2"/>
    <w:rsid w:val="00A4441D"/>
    <w:rsid w:val="00A4445A"/>
    <w:rsid w:val="00A447BD"/>
    <w:rsid w:val="00A448AF"/>
    <w:rsid w:val="00A449AD"/>
    <w:rsid w:val="00A44C52"/>
    <w:rsid w:val="00A45BA5"/>
    <w:rsid w:val="00A45F7B"/>
    <w:rsid w:val="00A45F92"/>
    <w:rsid w:val="00A460DF"/>
    <w:rsid w:val="00A46444"/>
    <w:rsid w:val="00A46450"/>
    <w:rsid w:val="00A465AC"/>
    <w:rsid w:val="00A46AF8"/>
    <w:rsid w:val="00A46D83"/>
    <w:rsid w:val="00A46EEB"/>
    <w:rsid w:val="00A47685"/>
    <w:rsid w:val="00A47AD1"/>
    <w:rsid w:val="00A47B7A"/>
    <w:rsid w:val="00A47BCF"/>
    <w:rsid w:val="00A47C15"/>
    <w:rsid w:val="00A5002C"/>
    <w:rsid w:val="00A501A9"/>
    <w:rsid w:val="00A50245"/>
    <w:rsid w:val="00A503D9"/>
    <w:rsid w:val="00A50979"/>
    <w:rsid w:val="00A50C2C"/>
    <w:rsid w:val="00A510A4"/>
    <w:rsid w:val="00A51360"/>
    <w:rsid w:val="00A519D8"/>
    <w:rsid w:val="00A51FFE"/>
    <w:rsid w:val="00A52006"/>
    <w:rsid w:val="00A526D2"/>
    <w:rsid w:val="00A53309"/>
    <w:rsid w:val="00A5367C"/>
    <w:rsid w:val="00A53C05"/>
    <w:rsid w:val="00A53C5D"/>
    <w:rsid w:val="00A541CA"/>
    <w:rsid w:val="00A543DA"/>
    <w:rsid w:val="00A54803"/>
    <w:rsid w:val="00A5498A"/>
    <w:rsid w:val="00A54C79"/>
    <w:rsid w:val="00A5504E"/>
    <w:rsid w:val="00A5538E"/>
    <w:rsid w:val="00A553E0"/>
    <w:rsid w:val="00A554C5"/>
    <w:rsid w:val="00A55530"/>
    <w:rsid w:val="00A55BFF"/>
    <w:rsid w:val="00A5617C"/>
    <w:rsid w:val="00A561FD"/>
    <w:rsid w:val="00A56837"/>
    <w:rsid w:val="00A56843"/>
    <w:rsid w:val="00A569B6"/>
    <w:rsid w:val="00A56EB1"/>
    <w:rsid w:val="00A572CC"/>
    <w:rsid w:val="00A57451"/>
    <w:rsid w:val="00A574FF"/>
    <w:rsid w:val="00A575B4"/>
    <w:rsid w:val="00A57710"/>
    <w:rsid w:val="00A57E87"/>
    <w:rsid w:val="00A60038"/>
    <w:rsid w:val="00A605F9"/>
    <w:rsid w:val="00A606F4"/>
    <w:rsid w:val="00A6086E"/>
    <w:rsid w:val="00A6091B"/>
    <w:rsid w:val="00A60D09"/>
    <w:rsid w:val="00A60E91"/>
    <w:rsid w:val="00A60F59"/>
    <w:rsid w:val="00A6147A"/>
    <w:rsid w:val="00A61689"/>
    <w:rsid w:val="00A61726"/>
    <w:rsid w:val="00A61ADF"/>
    <w:rsid w:val="00A61BD7"/>
    <w:rsid w:val="00A61BDB"/>
    <w:rsid w:val="00A61D2A"/>
    <w:rsid w:val="00A62037"/>
    <w:rsid w:val="00A623CF"/>
    <w:rsid w:val="00A625CA"/>
    <w:rsid w:val="00A62F45"/>
    <w:rsid w:val="00A632D8"/>
    <w:rsid w:val="00A63321"/>
    <w:rsid w:val="00A6385D"/>
    <w:rsid w:val="00A63B58"/>
    <w:rsid w:val="00A63D67"/>
    <w:rsid w:val="00A64100"/>
    <w:rsid w:val="00A64251"/>
    <w:rsid w:val="00A64689"/>
    <w:rsid w:val="00A64792"/>
    <w:rsid w:val="00A647F8"/>
    <w:rsid w:val="00A652B0"/>
    <w:rsid w:val="00A6537A"/>
    <w:rsid w:val="00A65752"/>
    <w:rsid w:val="00A65AF2"/>
    <w:rsid w:val="00A65DCB"/>
    <w:rsid w:val="00A66038"/>
    <w:rsid w:val="00A66750"/>
    <w:rsid w:val="00A6679F"/>
    <w:rsid w:val="00A668AA"/>
    <w:rsid w:val="00A66A8B"/>
    <w:rsid w:val="00A66B1F"/>
    <w:rsid w:val="00A66F94"/>
    <w:rsid w:val="00A67691"/>
    <w:rsid w:val="00A67AC7"/>
    <w:rsid w:val="00A67C50"/>
    <w:rsid w:val="00A67DB0"/>
    <w:rsid w:val="00A70112"/>
    <w:rsid w:val="00A706E2"/>
    <w:rsid w:val="00A70855"/>
    <w:rsid w:val="00A70B56"/>
    <w:rsid w:val="00A70DDD"/>
    <w:rsid w:val="00A70F4C"/>
    <w:rsid w:val="00A70F67"/>
    <w:rsid w:val="00A70F99"/>
    <w:rsid w:val="00A715DD"/>
    <w:rsid w:val="00A71868"/>
    <w:rsid w:val="00A7199D"/>
    <w:rsid w:val="00A71A6B"/>
    <w:rsid w:val="00A71A6E"/>
    <w:rsid w:val="00A71B8C"/>
    <w:rsid w:val="00A71BBA"/>
    <w:rsid w:val="00A71DB4"/>
    <w:rsid w:val="00A72006"/>
    <w:rsid w:val="00A72148"/>
    <w:rsid w:val="00A72A06"/>
    <w:rsid w:val="00A72C44"/>
    <w:rsid w:val="00A72E5D"/>
    <w:rsid w:val="00A7337E"/>
    <w:rsid w:val="00A733C7"/>
    <w:rsid w:val="00A734F8"/>
    <w:rsid w:val="00A73863"/>
    <w:rsid w:val="00A7437A"/>
    <w:rsid w:val="00A74815"/>
    <w:rsid w:val="00A74A16"/>
    <w:rsid w:val="00A74C3C"/>
    <w:rsid w:val="00A74E92"/>
    <w:rsid w:val="00A75103"/>
    <w:rsid w:val="00A754C2"/>
    <w:rsid w:val="00A7564E"/>
    <w:rsid w:val="00A75862"/>
    <w:rsid w:val="00A75D62"/>
    <w:rsid w:val="00A76259"/>
    <w:rsid w:val="00A7650F"/>
    <w:rsid w:val="00A765A0"/>
    <w:rsid w:val="00A76DB5"/>
    <w:rsid w:val="00A77005"/>
    <w:rsid w:val="00A7713A"/>
    <w:rsid w:val="00A774D3"/>
    <w:rsid w:val="00A7751D"/>
    <w:rsid w:val="00A7765C"/>
    <w:rsid w:val="00A776F1"/>
    <w:rsid w:val="00A7771F"/>
    <w:rsid w:val="00A77966"/>
    <w:rsid w:val="00A77E56"/>
    <w:rsid w:val="00A77FD5"/>
    <w:rsid w:val="00A8044F"/>
    <w:rsid w:val="00A80588"/>
    <w:rsid w:val="00A8080C"/>
    <w:rsid w:val="00A80D27"/>
    <w:rsid w:val="00A81041"/>
    <w:rsid w:val="00A810A2"/>
    <w:rsid w:val="00A81222"/>
    <w:rsid w:val="00A8229E"/>
    <w:rsid w:val="00A82894"/>
    <w:rsid w:val="00A82C19"/>
    <w:rsid w:val="00A83258"/>
    <w:rsid w:val="00A832A0"/>
    <w:rsid w:val="00A83669"/>
    <w:rsid w:val="00A8378E"/>
    <w:rsid w:val="00A839FE"/>
    <w:rsid w:val="00A83A9F"/>
    <w:rsid w:val="00A83FF5"/>
    <w:rsid w:val="00A841AC"/>
    <w:rsid w:val="00A84216"/>
    <w:rsid w:val="00A8460C"/>
    <w:rsid w:val="00A84768"/>
    <w:rsid w:val="00A848F4"/>
    <w:rsid w:val="00A84913"/>
    <w:rsid w:val="00A849A6"/>
    <w:rsid w:val="00A84D3A"/>
    <w:rsid w:val="00A8500A"/>
    <w:rsid w:val="00A8547B"/>
    <w:rsid w:val="00A85798"/>
    <w:rsid w:val="00A85AE3"/>
    <w:rsid w:val="00A85C4E"/>
    <w:rsid w:val="00A8654F"/>
    <w:rsid w:val="00A868A9"/>
    <w:rsid w:val="00A86A59"/>
    <w:rsid w:val="00A86A94"/>
    <w:rsid w:val="00A86AF4"/>
    <w:rsid w:val="00A87346"/>
    <w:rsid w:val="00A87974"/>
    <w:rsid w:val="00A9015B"/>
    <w:rsid w:val="00A90175"/>
    <w:rsid w:val="00A90573"/>
    <w:rsid w:val="00A9070B"/>
    <w:rsid w:val="00A90B19"/>
    <w:rsid w:val="00A90BCB"/>
    <w:rsid w:val="00A91033"/>
    <w:rsid w:val="00A91483"/>
    <w:rsid w:val="00A9196D"/>
    <w:rsid w:val="00A91B54"/>
    <w:rsid w:val="00A9227A"/>
    <w:rsid w:val="00A922CE"/>
    <w:rsid w:val="00A92E12"/>
    <w:rsid w:val="00A9321B"/>
    <w:rsid w:val="00A9329F"/>
    <w:rsid w:val="00A93CEC"/>
    <w:rsid w:val="00A93D18"/>
    <w:rsid w:val="00A93DE2"/>
    <w:rsid w:val="00A94195"/>
    <w:rsid w:val="00A941E9"/>
    <w:rsid w:val="00A9426B"/>
    <w:rsid w:val="00A942A4"/>
    <w:rsid w:val="00A94478"/>
    <w:rsid w:val="00A94898"/>
    <w:rsid w:val="00A948D1"/>
    <w:rsid w:val="00A94FC5"/>
    <w:rsid w:val="00A9516F"/>
    <w:rsid w:val="00A95233"/>
    <w:rsid w:val="00A95238"/>
    <w:rsid w:val="00A953F0"/>
    <w:rsid w:val="00A955B8"/>
    <w:rsid w:val="00A95A52"/>
    <w:rsid w:val="00A95EBB"/>
    <w:rsid w:val="00A96355"/>
    <w:rsid w:val="00A964C2"/>
    <w:rsid w:val="00A966C3"/>
    <w:rsid w:val="00A96779"/>
    <w:rsid w:val="00A97072"/>
    <w:rsid w:val="00A9738B"/>
    <w:rsid w:val="00A973C2"/>
    <w:rsid w:val="00A973C4"/>
    <w:rsid w:val="00A975FF"/>
    <w:rsid w:val="00AA02C5"/>
    <w:rsid w:val="00AA033C"/>
    <w:rsid w:val="00AA033E"/>
    <w:rsid w:val="00AA0432"/>
    <w:rsid w:val="00AA04DE"/>
    <w:rsid w:val="00AA04E1"/>
    <w:rsid w:val="00AA0E81"/>
    <w:rsid w:val="00AA0E9D"/>
    <w:rsid w:val="00AA1DF8"/>
    <w:rsid w:val="00AA216D"/>
    <w:rsid w:val="00AA23A8"/>
    <w:rsid w:val="00AA2CAB"/>
    <w:rsid w:val="00AA2E1F"/>
    <w:rsid w:val="00AA3600"/>
    <w:rsid w:val="00AA362B"/>
    <w:rsid w:val="00AA36FE"/>
    <w:rsid w:val="00AA3726"/>
    <w:rsid w:val="00AA3FCC"/>
    <w:rsid w:val="00AA4121"/>
    <w:rsid w:val="00AA425C"/>
    <w:rsid w:val="00AA4317"/>
    <w:rsid w:val="00AA4410"/>
    <w:rsid w:val="00AA4537"/>
    <w:rsid w:val="00AA4A18"/>
    <w:rsid w:val="00AA4C01"/>
    <w:rsid w:val="00AA4F6C"/>
    <w:rsid w:val="00AA500A"/>
    <w:rsid w:val="00AA51AC"/>
    <w:rsid w:val="00AA525C"/>
    <w:rsid w:val="00AA532A"/>
    <w:rsid w:val="00AA534F"/>
    <w:rsid w:val="00AA56D3"/>
    <w:rsid w:val="00AA5785"/>
    <w:rsid w:val="00AA580C"/>
    <w:rsid w:val="00AA5A95"/>
    <w:rsid w:val="00AA5E73"/>
    <w:rsid w:val="00AA6179"/>
    <w:rsid w:val="00AA635E"/>
    <w:rsid w:val="00AA6377"/>
    <w:rsid w:val="00AA6B1C"/>
    <w:rsid w:val="00AA6B6D"/>
    <w:rsid w:val="00AA6BD8"/>
    <w:rsid w:val="00AA6E2A"/>
    <w:rsid w:val="00AA7144"/>
    <w:rsid w:val="00AA7655"/>
    <w:rsid w:val="00AA7C8E"/>
    <w:rsid w:val="00AA7D2D"/>
    <w:rsid w:val="00AA7F3D"/>
    <w:rsid w:val="00AA7FDA"/>
    <w:rsid w:val="00AB0B23"/>
    <w:rsid w:val="00AB0EE1"/>
    <w:rsid w:val="00AB1C91"/>
    <w:rsid w:val="00AB1D9D"/>
    <w:rsid w:val="00AB20FE"/>
    <w:rsid w:val="00AB2260"/>
    <w:rsid w:val="00AB2494"/>
    <w:rsid w:val="00AB2AF5"/>
    <w:rsid w:val="00AB2C4B"/>
    <w:rsid w:val="00AB2E64"/>
    <w:rsid w:val="00AB326E"/>
    <w:rsid w:val="00AB34B8"/>
    <w:rsid w:val="00AB37B5"/>
    <w:rsid w:val="00AB3923"/>
    <w:rsid w:val="00AB39B2"/>
    <w:rsid w:val="00AB3E6F"/>
    <w:rsid w:val="00AB4103"/>
    <w:rsid w:val="00AB42B9"/>
    <w:rsid w:val="00AB42DA"/>
    <w:rsid w:val="00AB44B8"/>
    <w:rsid w:val="00AB45CE"/>
    <w:rsid w:val="00AB4EA1"/>
    <w:rsid w:val="00AB509E"/>
    <w:rsid w:val="00AB520C"/>
    <w:rsid w:val="00AB5271"/>
    <w:rsid w:val="00AB5423"/>
    <w:rsid w:val="00AB5607"/>
    <w:rsid w:val="00AB5F4D"/>
    <w:rsid w:val="00AB6851"/>
    <w:rsid w:val="00AB6951"/>
    <w:rsid w:val="00AB6D78"/>
    <w:rsid w:val="00AB6DC0"/>
    <w:rsid w:val="00AB7555"/>
    <w:rsid w:val="00AB78DA"/>
    <w:rsid w:val="00AB7A6C"/>
    <w:rsid w:val="00AB7A70"/>
    <w:rsid w:val="00AB7B47"/>
    <w:rsid w:val="00AC00C1"/>
    <w:rsid w:val="00AC01BA"/>
    <w:rsid w:val="00AC03D8"/>
    <w:rsid w:val="00AC0969"/>
    <w:rsid w:val="00AC0BF2"/>
    <w:rsid w:val="00AC0CB8"/>
    <w:rsid w:val="00AC0D6A"/>
    <w:rsid w:val="00AC0D79"/>
    <w:rsid w:val="00AC1642"/>
    <w:rsid w:val="00AC1741"/>
    <w:rsid w:val="00AC1C34"/>
    <w:rsid w:val="00AC1D6A"/>
    <w:rsid w:val="00AC1E27"/>
    <w:rsid w:val="00AC2B94"/>
    <w:rsid w:val="00AC2C33"/>
    <w:rsid w:val="00AC3217"/>
    <w:rsid w:val="00AC364D"/>
    <w:rsid w:val="00AC434D"/>
    <w:rsid w:val="00AC44F4"/>
    <w:rsid w:val="00AC4F38"/>
    <w:rsid w:val="00AC4F6C"/>
    <w:rsid w:val="00AC4FE1"/>
    <w:rsid w:val="00AC51DE"/>
    <w:rsid w:val="00AC538F"/>
    <w:rsid w:val="00AC5671"/>
    <w:rsid w:val="00AC5AD2"/>
    <w:rsid w:val="00AC5CA1"/>
    <w:rsid w:val="00AC5FB6"/>
    <w:rsid w:val="00AC6A60"/>
    <w:rsid w:val="00AC6AF8"/>
    <w:rsid w:val="00AC6E21"/>
    <w:rsid w:val="00AC6EA7"/>
    <w:rsid w:val="00AC6F05"/>
    <w:rsid w:val="00AC70C2"/>
    <w:rsid w:val="00AC78A2"/>
    <w:rsid w:val="00AC79BC"/>
    <w:rsid w:val="00AC7A79"/>
    <w:rsid w:val="00AC7D81"/>
    <w:rsid w:val="00AC7D99"/>
    <w:rsid w:val="00AC7DC9"/>
    <w:rsid w:val="00AD0190"/>
    <w:rsid w:val="00AD0213"/>
    <w:rsid w:val="00AD03A1"/>
    <w:rsid w:val="00AD0DF5"/>
    <w:rsid w:val="00AD16B3"/>
    <w:rsid w:val="00AD1B46"/>
    <w:rsid w:val="00AD1C15"/>
    <w:rsid w:val="00AD232C"/>
    <w:rsid w:val="00AD27B9"/>
    <w:rsid w:val="00AD297D"/>
    <w:rsid w:val="00AD3980"/>
    <w:rsid w:val="00AD3EE1"/>
    <w:rsid w:val="00AD3F0C"/>
    <w:rsid w:val="00AD4CEB"/>
    <w:rsid w:val="00AD4D8F"/>
    <w:rsid w:val="00AD4EA6"/>
    <w:rsid w:val="00AD518A"/>
    <w:rsid w:val="00AD5853"/>
    <w:rsid w:val="00AD5872"/>
    <w:rsid w:val="00AD5B40"/>
    <w:rsid w:val="00AD5F3E"/>
    <w:rsid w:val="00AD7198"/>
    <w:rsid w:val="00AD74C0"/>
    <w:rsid w:val="00AD781C"/>
    <w:rsid w:val="00AD7914"/>
    <w:rsid w:val="00AE013E"/>
    <w:rsid w:val="00AE02C2"/>
    <w:rsid w:val="00AE0ED4"/>
    <w:rsid w:val="00AE10B7"/>
    <w:rsid w:val="00AE13E9"/>
    <w:rsid w:val="00AE1419"/>
    <w:rsid w:val="00AE1618"/>
    <w:rsid w:val="00AE17A9"/>
    <w:rsid w:val="00AE1C03"/>
    <w:rsid w:val="00AE1F81"/>
    <w:rsid w:val="00AE2089"/>
    <w:rsid w:val="00AE2358"/>
    <w:rsid w:val="00AE2AA5"/>
    <w:rsid w:val="00AE3048"/>
    <w:rsid w:val="00AE338C"/>
    <w:rsid w:val="00AE3C28"/>
    <w:rsid w:val="00AE3D75"/>
    <w:rsid w:val="00AE41D0"/>
    <w:rsid w:val="00AE42AA"/>
    <w:rsid w:val="00AE42CA"/>
    <w:rsid w:val="00AE43DA"/>
    <w:rsid w:val="00AE4577"/>
    <w:rsid w:val="00AE47C2"/>
    <w:rsid w:val="00AE4C73"/>
    <w:rsid w:val="00AE4DB1"/>
    <w:rsid w:val="00AE4ECA"/>
    <w:rsid w:val="00AE50CC"/>
    <w:rsid w:val="00AE5163"/>
    <w:rsid w:val="00AE56FF"/>
    <w:rsid w:val="00AE5919"/>
    <w:rsid w:val="00AE5ABE"/>
    <w:rsid w:val="00AE5C1C"/>
    <w:rsid w:val="00AE5CE9"/>
    <w:rsid w:val="00AE5F25"/>
    <w:rsid w:val="00AE6245"/>
    <w:rsid w:val="00AE62A0"/>
    <w:rsid w:val="00AE69F4"/>
    <w:rsid w:val="00AE6E00"/>
    <w:rsid w:val="00AE7896"/>
    <w:rsid w:val="00AE7D37"/>
    <w:rsid w:val="00AF034B"/>
    <w:rsid w:val="00AF048C"/>
    <w:rsid w:val="00AF0619"/>
    <w:rsid w:val="00AF07DD"/>
    <w:rsid w:val="00AF09CE"/>
    <w:rsid w:val="00AF0A26"/>
    <w:rsid w:val="00AF11D2"/>
    <w:rsid w:val="00AF15B1"/>
    <w:rsid w:val="00AF1C50"/>
    <w:rsid w:val="00AF1C81"/>
    <w:rsid w:val="00AF1D9B"/>
    <w:rsid w:val="00AF1FA2"/>
    <w:rsid w:val="00AF23FF"/>
    <w:rsid w:val="00AF268E"/>
    <w:rsid w:val="00AF277A"/>
    <w:rsid w:val="00AF29EC"/>
    <w:rsid w:val="00AF2A50"/>
    <w:rsid w:val="00AF2B26"/>
    <w:rsid w:val="00AF2FED"/>
    <w:rsid w:val="00AF30FD"/>
    <w:rsid w:val="00AF30FE"/>
    <w:rsid w:val="00AF3182"/>
    <w:rsid w:val="00AF3351"/>
    <w:rsid w:val="00AF350E"/>
    <w:rsid w:val="00AF3584"/>
    <w:rsid w:val="00AF36A8"/>
    <w:rsid w:val="00AF41A9"/>
    <w:rsid w:val="00AF41C2"/>
    <w:rsid w:val="00AF4200"/>
    <w:rsid w:val="00AF4273"/>
    <w:rsid w:val="00AF45A2"/>
    <w:rsid w:val="00AF4A3F"/>
    <w:rsid w:val="00AF4F18"/>
    <w:rsid w:val="00AF4FEE"/>
    <w:rsid w:val="00AF52E6"/>
    <w:rsid w:val="00AF5536"/>
    <w:rsid w:val="00AF5CA1"/>
    <w:rsid w:val="00AF5E04"/>
    <w:rsid w:val="00AF5E33"/>
    <w:rsid w:val="00AF60E4"/>
    <w:rsid w:val="00AF6813"/>
    <w:rsid w:val="00AF6C96"/>
    <w:rsid w:val="00AF6D3F"/>
    <w:rsid w:val="00AF7248"/>
    <w:rsid w:val="00AF7A4C"/>
    <w:rsid w:val="00AF7CD3"/>
    <w:rsid w:val="00AF7FF8"/>
    <w:rsid w:val="00B00083"/>
    <w:rsid w:val="00B00319"/>
    <w:rsid w:val="00B00443"/>
    <w:rsid w:val="00B005A1"/>
    <w:rsid w:val="00B006E8"/>
    <w:rsid w:val="00B00873"/>
    <w:rsid w:val="00B008DB"/>
    <w:rsid w:val="00B0091B"/>
    <w:rsid w:val="00B013A8"/>
    <w:rsid w:val="00B015B3"/>
    <w:rsid w:val="00B01C6D"/>
    <w:rsid w:val="00B01FDE"/>
    <w:rsid w:val="00B02052"/>
    <w:rsid w:val="00B02453"/>
    <w:rsid w:val="00B0246B"/>
    <w:rsid w:val="00B025B4"/>
    <w:rsid w:val="00B02714"/>
    <w:rsid w:val="00B027E8"/>
    <w:rsid w:val="00B02B01"/>
    <w:rsid w:val="00B02DF3"/>
    <w:rsid w:val="00B02E79"/>
    <w:rsid w:val="00B02EF4"/>
    <w:rsid w:val="00B0316C"/>
    <w:rsid w:val="00B031BA"/>
    <w:rsid w:val="00B0352B"/>
    <w:rsid w:val="00B03543"/>
    <w:rsid w:val="00B03630"/>
    <w:rsid w:val="00B039E8"/>
    <w:rsid w:val="00B03BA0"/>
    <w:rsid w:val="00B0404F"/>
    <w:rsid w:val="00B040F4"/>
    <w:rsid w:val="00B0425D"/>
    <w:rsid w:val="00B04988"/>
    <w:rsid w:val="00B04B1D"/>
    <w:rsid w:val="00B04B4B"/>
    <w:rsid w:val="00B04DFE"/>
    <w:rsid w:val="00B04F03"/>
    <w:rsid w:val="00B0509D"/>
    <w:rsid w:val="00B050ED"/>
    <w:rsid w:val="00B054AE"/>
    <w:rsid w:val="00B0592C"/>
    <w:rsid w:val="00B05964"/>
    <w:rsid w:val="00B05D10"/>
    <w:rsid w:val="00B05E09"/>
    <w:rsid w:val="00B0649A"/>
    <w:rsid w:val="00B0657B"/>
    <w:rsid w:val="00B06FA8"/>
    <w:rsid w:val="00B0743C"/>
    <w:rsid w:val="00B07476"/>
    <w:rsid w:val="00B07B25"/>
    <w:rsid w:val="00B07D24"/>
    <w:rsid w:val="00B10164"/>
    <w:rsid w:val="00B102F5"/>
    <w:rsid w:val="00B102FE"/>
    <w:rsid w:val="00B10444"/>
    <w:rsid w:val="00B10A7E"/>
    <w:rsid w:val="00B1108E"/>
    <w:rsid w:val="00B11726"/>
    <w:rsid w:val="00B11C9E"/>
    <w:rsid w:val="00B12063"/>
    <w:rsid w:val="00B1214D"/>
    <w:rsid w:val="00B12196"/>
    <w:rsid w:val="00B1277F"/>
    <w:rsid w:val="00B12947"/>
    <w:rsid w:val="00B1299B"/>
    <w:rsid w:val="00B12A92"/>
    <w:rsid w:val="00B12B77"/>
    <w:rsid w:val="00B12B89"/>
    <w:rsid w:val="00B12D1A"/>
    <w:rsid w:val="00B12D9C"/>
    <w:rsid w:val="00B131C1"/>
    <w:rsid w:val="00B13EF5"/>
    <w:rsid w:val="00B14529"/>
    <w:rsid w:val="00B14734"/>
    <w:rsid w:val="00B148DC"/>
    <w:rsid w:val="00B14E86"/>
    <w:rsid w:val="00B150E7"/>
    <w:rsid w:val="00B15116"/>
    <w:rsid w:val="00B15140"/>
    <w:rsid w:val="00B1516D"/>
    <w:rsid w:val="00B154AD"/>
    <w:rsid w:val="00B15E47"/>
    <w:rsid w:val="00B16059"/>
    <w:rsid w:val="00B168D9"/>
    <w:rsid w:val="00B169FA"/>
    <w:rsid w:val="00B16DEE"/>
    <w:rsid w:val="00B16EC4"/>
    <w:rsid w:val="00B16ED9"/>
    <w:rsid w:val="00B16EEB"/>
    <w:rsid w:val="00B16FE7"/>
    <w:rsid w:val="00B17066"/>
    <w:rsid w:val="00B17693"/>
    <w:rsid w:val="00B17C8B"/>
    <w:rsid w:val="00B17ED3"/>
    <w:rsid w:val="00B2022A"/>
    <w:rsid w:val="00B20A49"/>
    <w:rsid w:val="00B20E9C"/>
    <w:rsid w:val="00B215E8"/>
    <w:rsid w:val="00B21896"/>
    <w:rsid w:val="00B21AE0"/>
    <w:rsid w:val="00B21EFE"/>
    <w:rsid w:val="00B220A1"/>
    <w:rsid w:val="00B2248E"/>
    <w:rsid w:val="00B224EE"/>
    <w:rsid w:val="00B228C6"/>
    <w:rsid w:val="00B22D50"/>
    <w:rsid w:val="00B2303C"/>
    <w:rsid w:val="00B23125"/>
    <w:rsid w:val="00B23136"/>
    <w:rsid w:val="00B23308"/>
    <w:rsid w:val="00B238F7"/>
    <w:rsid w:val="00B23EE8"/>
    <w:rsid w:val="00B23F48"/>
    <w:rsid w:val="00B241E2"/>
    <w:rsid w:val="00B241EC"/>
    <w:rsid w:val="00B243EB"/>
    <w:rsid w:val="00B24485"/>
    <w:rsid w:val="00B244E7"/>
    <w:rsid w:val="00B24680"/>
    <w:rsid w:val="00B246C2"/>
    <w:rsid w:val="00B24C51"/>
    <w:rsid w:val="00B252E8"/>
    <w:rsid w:val="00B25643"/>
    <w:rsid w:val="00B25B3C"/>
    <w:rsid w:val="00B25D92"/>
    <w:rsid w:val="00B25DE4"/>
    <w:rsid w:val="00B25DFB"/>
    <w:rsid w:val="00B2623D"/>
    <w:rsid w:val="00B26FDA"/>
    <w:rsid w:val="00B27076"/>
    <w:rsid w:val="00B2759F"/>
    <w:rsid w:val="00B2780C"/>
    <w:rsid w:val="00B27ADD"/>
    <w:rsid w:val="00B27B41"/>
    <w:rsid w:val="00B27C78"/>
    <w:rsid w:val="00B27FD8"/>
    <w:rsid w:val="00B304A6"/>
    <w:rsid w:val="00B3085E"/>
    <w:rsid w:val="00B30C61"/>
    <w:rsid w:val="00B31165"/>
    <w:rsid w:val="00B3122C"/>
    <w:rsid w:val="00B316AC"/>
    <w:rsid w:val="00B317B6"/>
    <w:rsid w:val="00B32142"/>
    <w:rsid w:val="00B32244"/>
    <w:rsid w:val="00B32421"/>
    <w:rsid w:val="00B324DD"/>
    <w:rsid w:val="00B32680"/>
    <w:rsid w:val="00B32682"/>
    <w:rsid w:val="00B329E0"/>
    <w:rsid w:val="00B32B46"/>
    <w:rsid w:val="00B32BAD"/>
    <w:rsid w:val="00B330A0"/>
    <w:rsid w:val="00B33271"/>
    <w:rsid w:val="00B3358A"/>
    <w:rsid w:val="00B33630"/>
    <w:rsid w:val="00B33982"/>
    <w:rsid w:val="00B341C4"/>
    <w:rsid w:val="00B3446C"/>
    <w:rsid w:val="00B344F2"/>
    <w:rsid w:val="00B34573"/>
    <w:rsid w:val="00B34640"/>
    <w:rsid w:val="00B346F9"/>
    <w:rsid w:val="00B3479D"/>
    <w:rsid w:val="00B34B89"/>
    <w:rsid w:val="00B351E0"/>
    <w:rsid w:val="00B35314"/>
    <w:rsid w:val="00B3589F"/>
    <w:rsid w:val="00B35E95"/>
    <w:rsid w:val="00B36610"/>
    <w:rsid w:val="00B366C8"/>
    <w:rsid w:val="00B36725"/>
    <w:rsid w:val="00B36D17"/>
    <w:rsid w:val="00B37034"/>
    <w:rsid w:val="00B3770A"/>
    <w:rsid w:val="00B37AFE"/>
    <w:rsid w:val="00B37BF1"/>
    <w:rsid w:val="00B37C2C"/>
    <w:rsid w:val="00B40446"/>
    <w:rsid w:val="00B413BA"/>
    <w:rsid w:val="00B41851"/>
    <w:rsid w:val="00B41A86"/>
    <w:rsid w:val="00B41B35"/>
    <w:rsid w:val="00B41D2E"/>
    <w:rsid w:val="00B421EC"/>
    <w:rsid w:val="00B4243B"/>
    <w:rsid w:val="00B4262B"/>
    <w:rsid w:val="00B42711"/>
    <w:rsid w:val="00B42E05"/>
    <w:rsid w:val="00B43896"/>
    <w:rsid w:val="00B439ED"/>
    <w:rsid w:val="00B43A26"/>
    <w:rsid w:val="00B43A8E"/>
    <w:rsid w:val="00B446BD"/>
    <w:rsid w:val="00B4501A"/>
    <w:rsid w:val="00B45102"/>
    <w:rsid w:val="00B455D6"/>
    <w:rsid w:val="00B459B4"/>
    <w:rsid w:val="00B45D4D"/>
    <w:rsid w:val="00B46236"/>
    <w:rsid w:val="00B46A3A"/>
    <w:rsid w:val="00B46B4F"/>
    <w:rsid w:val="00B4733C"/>
    <w:rsid w:val="00B47374"/>
    <w:rsid w:val="00B47678"/>
    <w:rsid w:val="00B47B27"/>
    <w:rsid w:val="00B47F8B"/>
    <w:rsid w:val="00B5016E"/>
    <w:rsid w:val="00B5021B"/>
    <w:rsid w:val="00B509DD"/>
    <w:rsid w:val="00B50E44"/>
    <w:rsid w:val="00B51315"/>
    <w:rsid w:val="00B5141E"/>
    <w:rsid w:val="00B51620"/>
    <w:rsid w:val="00B51823"/>
    <w:rsid w:val="00B51AFC"/>
    <w:rsid w:val="00B51DF5"/>
    <w:rsid w:val="00B52026"/>
    <w:rsid w:val="00B52414"/>
    <w:rsid w:val="00B525EB"/>
    <w:rsid w:val="00B52AC9"/>
    <w:rsid w:val="00B52CE7"/>
    <w:rsid w:val="00B52EF7"/>
    <w:rsid w:val="00B52F0F"/>
    <w:rsid w:val="00B52F17"/>
    <w:rsid w:val="00B533E2"/>
    <w:rsid w:val="00B5360A"/>
    <w:rsid w:val="00B53B46"/>
    <w:rsid w:val="00B53BEF"/>
    <w:rsid w:val="00B53BFA"/>
    <w:rsid w:val="00B53CD7"/>
    <w:rsid w:val="00B544A1"/>
    <w:rsid w:val="00B54A60"/>
    <w:rsid w:val="00B54AB9"/>
    <w:rsid w:val="00B54E06"/>
    <w:rsid w:val="00B54FF7"/>
    <w:rsid w:val="00B553CB"/>
    <w:rsid w:val="00B55493"/>
    <w:rsid w:val="00B557A9"/>
    <w:rsid w:val="00B559EE"/>
    <w:rsid w:val="00B55A68"/>
    <w:rsid w:val="00B55C7F"/>
    <w:rsid w:val="00B55E3D"/>
    <w:rsid w:val="00B55ED4"/>
    <w:rsid w:val="00B55FCF"/>
    <w:rsid w:val="00B5621A"/>
    <w:rsid w:val="00B56290"/>
    <w:rsid w:val="00B56608"/>
    <w:rsid w:val="00B567EB"/>
    <w:rsid w:val="00B569CE"/>
    <w:rsid w:val="00B56F20"/>
    <w:rsid w:val="00B57E9C"/>
    <w:rsid w:val="00B60303"/>
    <w:rsid w:val="00B60375"/>
    <w:rsid w:val="00B603F7"/>
    <w:rsid w:val="00B606E8"/>
    <w:rsid w:val="00B60FBF"/>
    <w:rsid w:val="00B611EF"/>
    <w:rsid w:val="00B61716"/>
    <w:rsid w:val="00B617A6"/>
    <w:rsid w:val="00B618C0"/>
    <w:rsid w:val="00B618F8"/>
    <w:rsid w:val="00B61A35"/>
    <w:rsid w:val="00B61BF8"/>
    <w:rsid w:val="00B61D87"/>
    <w:rsid w:val="00B626D6"/>
    <w:rsid w:val="00B6282E"/>
    <w:rsid w:val="00B62953"/>
    <w:rsid w:val="00B62DC1"/>
    <w:rsid w:val="00B635BD"/>
    <w:rsid w:val="00B635C7"/>
    <w:rsid w:val="00B63A9F"/>
    <w:rsid w:val="00B6400E"/>
    <w:rsid w:val="00B64AC5"/>
    <w:rsid w:val="00B64B1D"/>
    <w:rsid w:val="00B650D3"/>
    <w:rsid w:val="00B65526"/>
    <w:rsid w:val="00B655B4"/>
    <w:rsid w:val="00B6581C"/>
    <w:rsid w:val="00B659B7"/>
    <w:rsid w:val="00B65CDD"/>
    <w:rsid w:val="00B65D0E"/>
    <w:rsid w:val="00B662CD"/>
    <w:rsid w:val="00B6648B"/>
    <w:rsid w:val="00B66613"/>
    <w:rsid w:val="00B6681A"/>
    <w:rsid w:val="00B668EF"/>
    <w:rsid w:val="00B66B63"/>
    <w:rsid w:val="00B6716E"/>
    <w:rsid w:val="00B6756E"/>
    <w:rsid w:val="00B67752"/>
    <w:rsid w:val="00B679EE"/>
    <w:rsid w:val="00B67AC2"/>
    <w:rsid w:val="00B67E0D"/>
    <w:rsid w:val="00B67FB1"/>
    <w:rsid w:val="00B67FB3"/>
    <w:rsid w:val="00B70162"/>
    <w:rsid w:val="00B701F1"/>
    <w:rsid w:val="00B7028D"/>
    <w:rsid w:val="00B704C7"/>
    <w:rsid w:val="00B70A9A"/>
    <w:rsid w:val="00B715D2"/>
    <w:rsid w:val="00B7175E"/>
    <w:rsid w:val="00B71FAE"/>
    <w:rsid w:val="00B7213A"/>
    <w:rsid w:val="00B72760"/>
    <w:rsid w:val="00B72DCD"/>
    <w:rsid w:val="00B73635"/>
    <w:rsid w:val="00B73715"/>
    <w:rsid w:val="00B73754"/>
    <w:rsid w:val="00B737BB"/>
    <w:rsid w:val="00B73A96"/>
    <w:rsid w:val="00B73D51"/>
    <w:rsid w:val="00B73E7E"/>
    <w:rsid w:val="00B73EF8"/>
    <w:rsid w:val="00B73FA6"/>
    <w:rsid w:val="00B741AD"/>
    <w:rsid w:val="00B7445F"/>
    <w:rsid w:val="00B74DBC"/>
    <w:rsid w:val="00B74EDA"/>
    <w:rsid w:val="00B75068"/>
    <w:rsid w:val="00B75314"/>
    <w:rsid w:val="00B7588D"/>
    <w:rsid w:val="00B75A0E"/>
    <w:rsid w:val="00B76621"/>
    <w:rsid w:val="00B768AB"/>
    <w:rsid w:val="00B76E16"/>
    <w:rsid w:val="00B772A9"/>
    <w:rsid w:val="00B773BB"/>
    <w:rsid w:val="00B77AEC"/>
    <w:rsid w:val="00B80038"/>
    <w:rsid w:val="00B80357"/>
    <w:rsid w:val="00B8088A"/>
    <w:rsid w:val="00B80B96"/>
    <w:rsid w:val="00B80F1C"/>
    <w:rsid w:val="00B81206"/>
    <w:rsid w:val="00B813CF"/>
    <w:rsid w:val="00B81498"/>
    <w:rsid w:val="00B81629"/>
    <w:rsid w:val="00B816E8"/>
    <w:rsid w:val="00B81CA5"/>
    <w:rsid w:val="00B81CF2"/>
    <w:rsid w:val="00B81D0F"/>
    <w:rsid w:val="00B81E37"/>
    <w:rsid w:val="00B8222F"/>
    <w:rsid w:val="00B827CB"/>
    <w:rsid w:val="00B82BD2"/>
    <w:rsid w:val="00B82CAF"/>
    <w:rsid w:val="00B82DC1"/>
    <w:rsid w:val="00B8308A"/>
    <w:rsid w:val="00B83127"/>
    <w:rsid w:val="00B8388A"/>
    <w:rsid w:val="00B83AFB"/>
    <w:rsid w:val="00B83B34"/>
    <w:rsid w:val="00B83D20"/>
    <w:rsid w:val="00B840EE"/>
    <w:rsid w:val="00B84484"/>
    <w:rsid w:val="00B84501"/>
    <w:rsid w:val="00B847CF"/>
    <w:rsid w:val="00B848F2"/>
    <w:rsid w:val="00B84C7A"/>
    <w:rsid w:val="00B84E8D"/>
    <w:rsid w:val="00B852B9"/>
    <w:rsid w:val="00B852F8"/>
    <w:rsid w:val="00B85494"/>
    <w:rsid w:val="00B857F5"/>
    <w:rsid w:val="00B8599B"/>
    <w:rsid w:val="00B8642E"/>
    <w:rsid w:val="00B865B6"/>
    <w:rsid w:val="00B86CB5"/>
    <w:rsid w:val="00B86CF5"/>
    <w:rsid w:val="00B874EA"/>
    <w:rsid w:val="00B8767E"/>
    <w:rsid w:val="00B87FEA"/>
    <w:rsid w:val="00B9004E"/>
    <w:rsid w:val="00B90200"/>
    <w:rsid w:val="00B9043F"/>
    <w:rsid w:val="00B906C2"/>
    <w:rsid w:val="00B906E5"/>
    <w:rsid w:val="00B9081F"/>
    <w:rsid w:val="00B9094B"/>
    <w:rsid w:val="00B909CC"/>
    <w:rsid w:val="00B90D51"/>
    <w:rsid w:val="00B9111E"/>
    <w:rsid w:val="00B9155F"/>
    <w:rsid w:val="00B91C24"/>
    <w:rsid w:val="00B91CF2"/>
    <w:rsid w:val="00B91D0C"/>
    <w:rsid w:val="00B91F90"/>
    <w:rsid w:val="00B9265C"/>
    <w:rsid w:val="00B929B1"/>
    <w:rsid w:val="00B92EA5"/>
    <w:rsid w:val="00B93B9C"/>
    <w:rsid w:val="00B93DB0"/>
    <w:rsid w:val="00B94657"/>
    <w:rsid w:val="00B953F1"/>
    <w:rsid w:val="00B95486"/>
    <w:rsid w:val="00B959A6"/>
    <w:rsid w:val="00B95A66"/>
    <w:rsid w:val="00B96058"/>
    <w:rsid w:val="00B961BA"/>
    <w:rsid w:val="00B96445"/>
    <w:rsid w:val="00B9659A"/>
    <w:rsid w:val="00B965B4"/>
    <w:rsid w:val="00B966B6"/>
    <w:rsid w:val="00B969E7"/>
    <w:rsid w:val="00B96DE1"/>
    <w:rsid w:val="00B96DE5"/>
    <w:rsid w:val="00B96FA7"/>
    <w:rsid w:val="00B97131"/>
    <w:rsid w:val="00B976C4"/>
    <w:rsid w:val="00B97CEE"/>
    <w:rsid w:val="00BA0016"/>
    <w:rsid w:val="00BA06C5"/>
    <w:rsid w:val="00BA08E3"/>
    <w:rsid w:val="00BA0AC5"/>
    <w:rsid w:val="00BA0B00"/>
    <w:rsid w:val="00BA0BA1"/>
    <w:rsid w:val="00BA0E0A"/>
    <w:rsid w:val="00BA128F"/>
    <w:rsid w:val="00BA13ED"/>
    <w:rsid w:val="00BA1467"/>
    <w:rsid w:val="00BA19D5"/>
    <w:rsid w:val="00BA1BF5"/>
    <w:rsid w:val="00BA1CFC"/>
    <w:rsid w:val="00BA1FB9"/>
    <w:rsid w:val="00BA2161"/>
    <w:rsid w:val="00BA21EE"/>
    <w:rsid w:val="00BA25F7"/>
    <w:rsid w:val="00BA2799"/>
    <w:rsid w:val="00BA2D10"/>
    <w:rsid w:val="00BA2F04"/>
    <w:rsid w:val="00BA3064"/>
    <w:rsid w:val="00BA3712"/>
    <w:rsid w:val="00BA3754"/>
    <w:rsid w:val="00BA37BF"/>
    <w:rsid w:val="00BA37DA"/>
    <w:rsid w:val="00BA39EB"/>
    <w:rsid w:val="00BA3DFC"/>
    <w:rsid w:val="00BA4123"/>
    <w:rsid w:val="00BA414E"/>
    <w:rsid w:val="00BA4427"/>
    <w:rsid w:val="00BA447B"/>
    <w:rsid w:val="00BA44AA"/>
    <w:rsid w:val="00BA4867"/>
    <w:rsid w:val="00BA4B03"/>
    <w:rsid w:val="00BA5CED"/>
    <w:rsid w:val="00BA5D73"/>
    <w:rsid w:val="00BA5DB0"/>
    <w:rsid w:val="00BA6426"/>
    <w:rsid w:val="00BA67B2"/>
    <w:rsid w:val="00BA722F"/>
    <w:rsid w:val="00BA729F"/>
    <w:rsid w:val="00BA7CEF"/>
    <w:rsid w:val="00BA7EB2"/>
    <w:rsid w:val="00BB0039"/>
    <w:rsid w:val="00BB00DF"/>
    <w:rsid w:val="00BB05F8"/>
    <w:rsid w:val="00BB06B2"/>
    <w:rsid w:val="00BB076A"/>
    <w:rsid w:val="00BB0AE2"/>
    <w:rsid w:val="00BB0C7A"/>
    <w:rsid w:val="00BB0F73"/>
    <w:rsid w:val="00BB13F9"/>
    <w:rsid w:val="00BB145A"/>
    <w:rsid w:val="00BB23DA"/>
    <w:rsid w:val="00BB265A"/>
    <w:rsid w:val="00BB2ADD"/>
    <w:rsid w:val="00BB318F"/>
    <w:rsid w:val="00BB32F3"/>
    <w:rsid w:val="00BB3F4B"/>
    <w:rsid w:val="00BB4239"/>
    <w:rsid w:val="00BB4283"/>
    <w:rsid w:val="00BB46EE"/>
    <w:rsid w:val="00BB4B60"/>
    <w:rsid w:val="00BB4F11"/>
    <w:rsid w:val="00BB5036"/>
    <w:rsid w:val="00BB50E3"/>
    <w:rsid w:val="00BB542C"/>
    <w:rsid w:val="00BB556C"/>
    <w:rsid w:val="00BB5882"/>
    <w:rsid w:val="00BB5AB1"/>
    <w:rsid w:val="00BB5CD1"/>
    <w:rsid w:val="00BB6055"/>
    <w:rsid w:val="00BB6371"/>
    <w:rsid w:val="00BB66A4"/>
    <w:rsid w:val="00BB67BC"/>
    <w:rsid w:val="00BB7736"/>
    <w:rsid w:val="00BB77DA"/>
    <w:rsid w:val="00BB7967"/>
    <w:rsid w:val="00BB7996"/>
    <w:rsid w:val="00BB7B94"/>
    <w:rsid w:val="00BB7E48"/>
    <w:rsid w:val="00BB7F86"/>
    <w:rsid w:val="00BC007C"/>
    <w:rsid w:val="00BC0122"/>
    <w:rsid w:val="00BC029B"/>
    <w:rsid w:val="00BC0960"/>
    <w:rsid w:val="00BC0DC4"/>
    <w:rsid w:val="00BC1344"/>
    <w:rsid w:val="00BC135C"/>
    <w:rsid w:val="00BC1605"/>
    <w:rsid w:val="00BC18DE"/>
    <w:rsid w:val="00BC1988"/>
    <w:rsid w:val="00BC19E3"/>
    <w:rsid w:val="00BC1F56"/>
    <w:rsid w:val="00BC2102"/>
    <w:rsid w:val="00BC25A0"/>
    <w:rsid w:val="00BC280D"/>
    <w:rsid w:val="00BC2CDC"/>
    <w:rsid w:val="00BC2D1F"/>
    <w:rsid w:val="00BC32BF"/>
    <w:rsid w:val="00BC360A"/>
    <w:rsid w:val="00BC3D29"/>
    <w:rsid w:val="00BC4285"/>
    <w:rsid w:val="00BC46F3"/>
    <w:rsid w:val="00BC4882"/>
    <w:rsid w:val="00BC4A36"/>
    <w:rsid w:val="00BC4BBC"/>
    <w:rsid w:val="00BC522C"/>
    <w:rsid w:val="00BC54E6"/>
    <w:rsid w:val="00BC5C50"/>
    <w:rsid w:val="00BC5E39"/>
    <w:rsid w:val="00BC5EA7"/>
    <w:rsid w:val="00BC6165"/>
    <w:rsid w:val="00BC6279"/>
    <w:rsid w:val="00BC6E0A"/>
    <w:rsid w:val="00BC6E19"/>
    <w:rsid w:val="00BC6EEE"/>
    <w:rsid w:val="00BC752F"/>
    <w:rsid w:val="00BC775D"/>
    <w:rsid w:val="00BC7CCB"/>
    <w:rsid w:val="00BC7D13"/>
    <w:rsid w:val="00BD01C0"/>
    <w:rsid w:val="00BD0942"/>
    <w:rsid w:val="00BD0CE6"/>
    <w:rsid w:val="00BD0FD9"/>
    <w:rsid w:val="00BD10C7"/>
    <w:rsid w:val="00BD11F6"/>
    <w:rsid w:val="00BD128D"/>
    <w:rsid w:val="00BD142B"/>
    <w:rsid w:val="00BD1492"/>
    <w:rsid w:val="00BD1546"/>
    <w:rsid w:val="00BD15F3"/>
    <w:rsid w:val="00BD1622"/>
    <w:rsid w:val="00BD1640"/>
    <w:rsid w:val="00BD191F"/>
    <w:rsid w:val="00BD1C1E"/>
    <w:rsid w:val="00BD2464"/>
    <w:rsid w:val="00BD2614"/>
    <w:rsid w:val="00BD2BBF"/>
    <w:rsid w:val="00BD2BFC"/>
    <w:rsid w:val="00BD349D"/>
    <w:rsid w:val="00BD34B8"/>
    <w:rsid w:val="00BD3AC0"/>
    <w:rsid w:val="00BD3B90"/>
    <w:rsid w:val="00BD3D00"/>
    <w:rsid w:val="00BD3D70"/>
    <w:rsid w:val="00BD3E0E"/>
    <w:rsid w:val="00BD4350"/>
    <w:rsid w:val="00BD5157"/>
    <w:rsid w:val="00BD519E"/>
    <w:rsid w:val="00BD549E"/>
    <w:rsid w:val="00BD56EC"/>
    <w:rsid w:val="00BD5A42"/>
    <w:rsid w:val="00BD5CB3"/>
    <w:rsid w:val="00BD619F"/>
    <w:rsid w:val="00BD6204"/>
    <w:rsid w:val="00BD670B"/>
    <w:rsid w:val="00BD6C3A"/>
    <w:rsid w:val="00BD7708"/>
    <w:rsid w:val="00BD79D7"/>
    <w:rsid w:val="00BD7C01"/>
    <w:rsid w:val="00BD7FBD"/>
    <w:rsid w:val="00BE00B1"/>
    <w:rsid w:val="00BE03E8"/>
    <w:rsid w:val="00BE0559"/>
    <w:rsid w:val="00BE083C"/>
    <w:rsid w:val="00BE09BB"/>
    <w:rsid w:val="00BE09D0"/>
    <w:rsid w:val="00BE0CF5"/>
    <w:rsid w:val="00BE0F10"/>
    <w:rsid w:val="00BE1288"/>
    <w:rsid w:val="00BE1998"/>
    <w:rsid w:val="00BE1A29"/>
    <w:rsid w:val="00BE21D2"/>
    <w:rsid w:val="00BE2556"/>
    <w:rsid w:val="00BE25A3"/>
    <w:rsid w:val="00BE2A3F"/>
    <w:rsid w:val="00BE2E59"/>
    <w:rsid w:val="00BE2E5E"/>
    <w:rsid w:val="00BE3023"/>
    <w:rsid w:val="00BE35AF"/>
    <w:rsid w:val="00BE3C41"/>
    <w:rsid w:val="00BE3D85"/>
    <w:rsid w:val="00BE4339"/>
    <w:rsid w:val="00BE4788"/>
    <w:rsid w:val="00BE4939"/>
    <w:rsid w:val="00BE4D5A"/>
    <w:rsid w:val="00BE4E55"/>
    <w:rsid w:val="00BE4FE0"/>
    <w:rsid w:val="00BE50A6"/>
    <w:rsid w:val="00BE50A7"/>
    <w:rsid w:val="00BE583A"/>
    <w:rsid w:val="00BE5906"/>
    <w:rsid w:val="00BE5DF7"/>
    <w:rsid w:val="00BE5EB7"/>
    <w:rsid w:val="00BE65C1"/>
    <w:rsid w:val="00BE6F4E"/>
    <w:rsid w:val="00BE77BA"/>
    <w:rsid w:val="00BE7B3A"/>
    <w:rsid w:val="00BE7DBC"/>
    <w:rsid w:val="00BE7FD3"/>
    <w:rsid w:val="00BF076F"/>
    <w:rsid w:val="00BF0920"/>
    <w:rsid w:val="00BF0984"/>
    <w:rsid w:val="00BF0D3B"/>
    <w:rsid w:val="00BF0EB1"/>
    <w:rsid w:val="00BF0F6D"/>
    <w:rsid w:val="00BF10FD"/>
    <w:rsid w:val="00BF14B5"/>
    <w:rsid w:val="00BF16C5"/>
    <w:rsid w:val="00BF1701"/>
    <w:rsid w:val="00BF1C7C"/>
    <w:rsid w:val="00BF2180"/>
    <w:rsid w:val="00BF21DB"/>
    <w:rsid w:val="00BF23F9"/>
    <w:rsid w:val="00BF2448"/>
    <w:rsid w:val="00BF24AC"/>
    <w:rsid w:val="00BF26E4"/>
    <w:rsid w:val="00BF2727"/>
    <w:rsid w:val="00BF27EC"/>
    <w:rsid w:val="00BF285F"/>
    <w:rsid w:val="00BF2A71"/>
    <w:rsid w:val="00BF2D69"/>
    <w:rsid w:val="00BF2E74"/>
    <w:rsid w:val="00BF32BF"/>
    <w:rsid w:val="00BF32C4"/>
    <w:rsid w:val="00BF33EC"/>
    <w:rsid w:val="00BF37DD"/>
    <w:rsid w:val="00BF3B04"/>
    <w:rsid w:val="00BF3B30"/>
    <w:rsid w:val="00BF40E5"/>
    <w:rsid w:val="00BF413D"/>
    <w:rsid w:val="00BF43E8"/>
    <w:rsid w:val="00BF447A"/>
    <w:rsid w:val="00BF45B7"/>
    <w:rsid w:val="00BF49B3"/>
    <w:rsid w:val="00BF4BDD"/>
    <w:rsid w:val="00BF4CAF"/>
    <w:rsid w:val="00BF51C8"/>
    <w:rsid w:val="00BF583C"/>
    <w:rsid w:val="00BF5846"/>
    <w:rsid w:val="00BF5AA0"/>
    <w:rsid w:val="00BF5B3A"/>
    <w:rsid w:val="00BF5C77"/>
    <w:rsid w:val="00BF5CFB"/>
    <w:rsid w:val="00BF5FFF"/>
    <w:rsid w:val="00BF6453"/>
    <w:rsid w:val="00BF6F5D"/>
    <w:rsid w:val="00BF70C9"/>
    <w:rsid w:val="00BF7B70"/>
    <w:rsid w:val="00BF7D1B"/>
    <w:rsid w:val="00BF7E04"/>
    <w:rsid w:val="00C0012E"/>
    <w:rsid w:val="00C00378"/>
    <w:rsid w:val="00C00B23"/>
    <w:rsid w:val="00C00DD4"/>
    <w:rsid w:val="00C01107"/>
    <w:rsid w:val="00C01147"/>
    <w:rsid w:val="00C01211"/>
    <w:rsid w:val="00C01325"/>
    <w:rsid w:val="00C0140D"/>
    <w:rsid w:val="00C0150D"/>
    <w:rsid w:val="00C0199F"/>
    <w:rsid w:val="00C01C24"/>
    <w:rsid w:val="00C01DA0"/>
    <w:rsid w:val="00C01F88"/>
    <w:rsid w:val="00C02004"/>
    <w:rsid w:val="00C0267F"/>
    <w:rsid w:val="00C026C2"/>
    <w:rsid w:val="00C02831"/>
    <w:rsid w:val="00C028E6"/>
    <w:rsid w:val="00C02A05"/>
    <w:rsid w:val="00C03258"/>
    <w:rsid w:val="00C0346A"/>
    <w:rsid w:val="00C034C9"/>
    <w:rsid w:val="00C035EA"/>
    <w:rsid w:val="00C038D7"/>
    <w:rsid w:val="00C03907"/>
    <w:rsid w:val="00C03C41"/>
    <w:rsid w:val="00C03C67"/>
    <w:rsid w:val="00C03E0C"/>
    <w:rsid w:val="00C03E72"/>
    <w:rsid w:val="00C04021"/>
    <w:rsid w:val="00C04156"/>
    <w:rsid w:val="00C04B69"/>
    <w:rsid w:val="00C04FFB"/>
    <w:rsid w:val="00C05114"/>
    <w:rsid w:val="00C0541B"/>
    <w:rsid w:val="00C05498"/>
    <w:rsid w:val="00C05A3D"/>
    <w:rsid w:val="00C05BF5"/>
    <w:rsid w:val="00C05F3A"/>
    <w:rsid w:val="00C05F47"/>
    <w:rsid w:val="00C06288"/>
    <w:rsid w:val="00C06EEB"/>
    <w:rsid w:val="00C074FE"/>
    <w:rsid w:val="00C07704"/>
    <w:rsid w:val="00C07AB3"/>
    <w:rsid w:val="00C07FAF"/>
    <w:rsid w:val="00C10519"/>
    <w:rsid w:val="00C10729"/>
    <w:rsid w:val="00C107AB"/>
    <w:rsid w:val="00C10998"/>
    <w:rsid w:val="00C1110D"/>
    <w:rsid w:val="00C11854"/>
    <w:rsid w:val="00C1186F"/>
    <w:rsid w:val="00C1245B"/>
    <w:rsid w:val="00C1268F"/>
    <w:rsid w:val="00C126B1"/>
    <w:rsid w:val="00C12AA7"/>
    <w:rsid w:val="00C12C52"/>
    <w:rsid w:val="00C12C62"/>
    <w:rsid w:val="00C12D1C"/>
    <w:rsid w:val="00C12DA8"/>
    <w:rsid w:val="00C132DF"/>
    <w:rsid w:val="00C136D7"/>
    <w:rsid w:val="00C13ED3"/>
    <w:rsid w:val="00C140F2"/>
    <w:rsid w:val="00C1419D"/>
    <w:rsid w:val="00C14525"/>
    <w:rsid w:val="00C1467B"/>
    <w:rsid w:val="00C148B4"/>
    <w:rsid w:val="00C1491C"/>
    <w:rsid w:val="00C14A3A"/>
    <w:rsid w:val="00C14D13"/>
    <w:rsid w:val="00C15A31"/>
    <w:rsid w:val="00C15B32"/>
    <w:rsid w:val="00C15EDC"/>
    <w:rsid w:val="00C16665"/>
    <w:rsid w:val="00C1668F"/>
    <w:rsid w:val="00C168EE"/>
    <w:rsid w:val="00C16A7B"/>
    <w:rsid w:val="00C16C05"/>
    <w:rsid w:val="00C16EFF"/>
    <w:rsid w:val="00C16FF8"/>
    <w:rsid w:val="00C17C84"/>
    <w:rsid w:val="00C17DCF"/>
    <w:rsid w:val="00C2007C"/>
    <w:rsid w:val="00C20288"/>
    <w:rsid w:val="00C2037D"/>
    <w:rsid w:val="00C20503"/>
    <w:rsid w:val="00C206F6"/>
    <w:rsid w:val="00C2086B"/>
    <w:rsid w:val="00C209C8"/>
    <w:rsid w:val="00C20CCE"/>
    <w:rsid w:val="00C20DB8"/>
    <w:rsid w:val="00C20E11"/>
    <w:rsid w:val="00C2146A"/>
    <w:rsid w:val="00C216EE"/>
    <w:rsid w:val="00C21710"/>
    <w:rsid w:val="00C2187D"/>
    <w:rsid w:val="00C21AB1"/>
    <w:rsid w:val="00C21D01"/>
    <w:rsid w:val="00C21EB8"/>
    <w:rsid w:val="00C22162"/>
    <w:rsid w:val="00C224D7"/>
    <w:rsid w:val="00C2254A"/>
    <w:rsid w:val="00C225CA"/>
    <w:rsid w:val="00C225E8"/>
    <w:rsid w:val="00C227D3"/>
    <w:rsid w:val="00C22928"/>
    <w:rsid w:val="00C229A1"/>
    <w:rsid w:val="00C23051"/>
    <w:rsid w:val="00C2306E"/>
    <w:rsid w:val="00C234E6"/>
    <w:rsid w:val="00C2354A"/>
    <w:rsid w:val="00C23750"/>
    <w:rsid w:val="00C2381D"/>
    <w:rsid w:val="00C23B0E"/>
    <w:rsid w:val="00C24217"/>
    <w:rsid w:val="00C246A8"/>
    <w:rsid w:val="00C246D0"/>
    <w:rsid w:val="00C24864"/>
    <w:rsid w:val="00C24C6E"/>
    <w:rsid w:val="00C24CCF"/>
    <w:rsid w:val="00C24D95"/>
    <w:rsid w:val="00C25117"/>
    <w:rsid w:val="00C2540B"/>
    <w:rsid w:val="00C25460"/>
    <w:rsid w:val="00C25A94"/>
    <w:rsid w:val="00C25E73"/>
    <w:rsid w:val="00C262F0"/>
    <w:rsid w:val="00C26FFD"/>
    <w:rsid w:val="00C274C5"/>
    <w:rsid w:val="00C279B3"/>
    <w:rsid w:val="00C279ED"/>
    <w:rsid w:val="00C302A1"/>
    <w:rsid w:val="00C30878"/>
    <w:rsid w:val="00C30ABC"/>
    <w:rsid w:val="00C30B5A"/>
    <w:rsid w:val="00C30DF6"/>
    <w:rsid w:val="00C31F72"/>
    <w:rsid w:val="00C32590"/>
    <w:rsid w:val="00C32645"/>
    <w:rsid w:val="00C32909"/>
    <w:rsid w:val="00C32A8C"/>
    <w:rsid w:val="00C33430"/>
    <w:rsid w:val="00C336C9"/>
    <w:rsid w:val="00C337FF"/>
    <w:rsid w:val="00C3384C"/>
    <w:rsid w:val="00C33A02"/>
    <w:rsid w:val="00C33DC5"/>
    <w:rsid w:val="00C33FF8"/>
    <w:rsid w:val="00C3411F"/>
    <w:rsid w:val="00C34283"/>
    <w:rsid w:val="00C343A7"/>
    <w:rsid w:val="00C34BA9"/>
    <w:rsid w:val="00C34C07"/>
    <w:rsid w:val="00C35586"/>
    <w:rsid w:val="00C3586D"/>
    <w:rsid w:val="00C35BFF"/>
    <w:rsid w:val="00C3683B"/>
    <w:rsid w:val="00C36CDE"/>
    <w:rsid w:val="00C36DE4"/>
    <w:rsid w:val="00C36E09"/>
    <w:rsid w:val="00C371F5"/>
    <w:rsid w:val="00C37570"/>
    <w:rsid w:val="00C37D9D"/>
    <w:rsid w:val="00C37E9C"/>
    <w:rsid w:val="00C40266"/>
    <w:rsid w:val="00C40350"/>
    <w:rsid w:val="00C4089A"/>
    <w:rsid w:val="00C40B72"/>
    <w:rsid w:val="00C40D01"/>
    <w:rsid w:val="00C40D48"/>
    <w:rsid w:val="00C40FB1"/>
    <w:rsid w:val="00C4102E"/>
    <w:rsid w:val="00C41403"/>
    <w:rsid w:val="00C418C5"/>
    <w:rsid w:val="00C41BE1"/>
    <w:rsid w:val="00C41DF6"/>
    <w:rsid w:val="00C42A34"/>
    <w:rsid w:val="00C42F1A"/>
    <w:rsid w:val="00C43669"/>
    <w:rsid w:val="00C43813"/>
    <w:rsid w:val="00C439FB"/>
    <w:rsid w:val="00C43AD8"/>
    <w:rsid w:val="00C43C63"/>
    <w:rsid w:val="00C44011"/>
    <w:rsid w:val="00C44897"/>
    <w:rsid w:val="00C44BA8"/>
    <w:rsid w:val="00C44E39"/>
    <w:rsid w:val="00C44FC4"/>
    <w:rsid w:val="00C45858"/>
    <w:rsid w:val="00C45ABE"/>
    <w:rsid w:val="00C45D11"/>
    <w:rsid w:val="00C462E9"/>
    <w:rsid w:val="00C46426"/>
    <w:rsid w:val="00C46589"/>
    <w:rsid w:val="00C46665"/>
    <w:rsid w:val="00C467F0"/>
    <w:rsid w:val="00C46B3A"/>
    <w:rsid w:val="00C46DA0"/>
    <w:rsid w:val="00C46DA3"/>
    <w:rsid w:val="00C4732E"/>
    <w:rsid w:val="00C473F7"/>
    <w:rsid w:val="00C4792C"/>
    <w:rsid w:val="00C47C81"/>
    <w:rsid w:val="00C47D73"/>
    <w:rsid w:val="00C5002B"/>
    <w:rsid w:val="00C5028A"/>
    <w:rsid w:val="00C506AA"/>
    <w:rsid w:val="00C50757"/>
    <w:rsid w:val="00C50EDD"/>
    <w:rsid w:val="00C5143E"/>
    <w:rsid w:val="00C514E7"/>
    <w:rsid w:val="00C524DE"/>
    <w:rsid w:val="00C52648"/>
    <w:rsid w:val="00C52768"/>
    <w:rsid w:val="00C5277B"/>
    <w:rsid w:val="00C52CFB"/>
    <w:rsid w:val="00C52D7F"/>
    <w:rsid w:val="00C52E0B"/>
    <w:rsid w:val="00C530D5"/>
    <w:rsid w:val="00C5310C"/>
    <w:rsid w:val="00C532F7"/>
    <w:rsid w:val="00C53ABA"/>
    <w:rsid w:val="00C53FC4"/>
    <w:rsid w:val="00C54066"/>
    <w:rsid w:val="00C54588"/>
    <w:rsid w:val="00C54910"/>
    <w:rsid w:val="00C54E44"/>
    <w:rsid w:val="00C54FA4"/>
    <w:rsid w:val="00C5537F"/>
    <w:rsid w:val="00C553B9"/>
    <w:rsid w:val="00C55649"/>
    <w:rsid w:val="00C55D52"/>
    <w:rsid w:val="00C55FB7"/>
    <w:rsid w:val="00C5625D"/>
    <w:rsid w:val="00C563F4"/>
    <w:rsid w:val="00C56EF4"/>
    <w:rsid w:val="00C56FA9"/>
    <w:rsid w:val="00C571A4"/>
    <w:rsid w:val="00C600C5"/>
    <w:rsid w:val="00C602A5"/>
    <w:rsid w:val="00C60585"/>
    <w:rsid w:val="00C60C26"/>
    <w:rsid w:val="00C60C3F"/>
    <w:rsid w:val="00C610A7"/>
    <w:rsid w:val="00C61433"/>
    <w:rsid w:val="00C614A8"/>
    <w:rsid w:val="00C61C96"/>
    <w:rsid w:val="00C61CA0"/>
    <w:rsid w:val="00C62071"/>
    <w:rsid w:val="00C626D8"/>
    <w:rsid w:val="00C62C0C"/>
    <w:rsid w:val="00C62DF2"/>
    <w:rsid w:val="00C63046"/>
    <w:rsid w:val="00C630A7"/>
    <w:rsid w:val="00C6370C"/>
    <w:rsid w:val="00C639A9"/>
    <w:rsid w:val="00C639ED"/>
    <w:rsid w:val="00C63AAF"/>
    <w:rsid w:val="00C63B4E"/>
    <w:rsid w:val="00C63BFB"/>
    <w:rsid w:val="00C63FB9"/>
    <w:rsid w:val="00C640B5"/>
    <w:rsid w:val="00C643AF"/>
    <w:rsid w:val="00C646D4"/>
    <w:rsid w:val="00C64700"/>
    <w:rsid w:val="00C6489C"/>
    <w:rsid w:val="00C648C4"/>
    <w:rsid w:val="00C64B2E"/>
    <w:rsid w:val="00C64C7E"/>
    <w:rsid w:val="00C6551F"/>
    <w:rsid w:val="00C655E4"/>
    <w:rsid w:val="00C6562E"/>
    <w:rsid w:val="00C6577D"/>
    <w:rsid w:val="00C66248"/>
    <w:rsid w:val="00C66A15"/>
    <w:rsid w:val="00C66B41"/>
    <w:rsid w:val="00C66CF4"/>
    <w:rsid w:val="00C66E15"/>
    <w:rsid w:val="00C67368"/>
    <w:rsid w:val="00C673E5"/>
    <w:rsid w:val="00C67E5A"/>
    <w:rsid w:val="00C67FB4"/>
    <w:rsid w:val="00C700C3"/>
    <w:rsid w:val="00C7019A"/>
    <w:rsid w:val="00C703A9"/>
    <w:rsid w:val="00C7060D"/>
    <w:rsid w:val="00C7062F"/>
    <w:rsid w:val="00C70885"/>
    <w:rsid w:val="00C70C01"/>
    <w:rsid w:val="00C70E98"/>
    <w:rsid w:val="00C71F45"/>
    <w:rsid w:val="00C72E1A"/>
    <w:rsid w:val="00C730E5"/>
    <w:rsid w:val="00C73550"/>
    <w:rsid w:val="00C73668"/>
    <w:rsid w:val="00C73C3C"/>
    <w:rsid w:val="00C7437E"/>
    <w:rsid w:val="00C74517"/>
    <w:rsid w:val="00C74689"/>
    <w:rsid w:val="00C74BE9"/>
    <w:rsid w:val="00C74F68"/>
    <w:rsid w:val="00C75018"/>
    <w:rsid w:val="00C752B2"/>
    <w:rsid w:val="00C753CF"/>
    <w:rsid w:val="00C75FF3"/>
    <w:rsid w:val="00C761BF"/>
    <w:rsid w:val="00C762D0"/>
    <w:rsid w:val="00C76691"/>
    <w:rsid w:val="00C76D13"/>
    <w:rsid w:val="00C76D52"/>
    <w:rsid w:val="00C772A0"/>
    <w:rsid w:val="00C77342"/>
    <w:rsid w:val="00C7740E"/>
    <w:rsid w:val="00C77419"/>
    <w:rsid w:val="00C775F7"/>
    <w:rsid w:val="00C779DC"/>
    <w:rsid w:val="00C77D44"/>
    <w:rsid w:val="00C77DB8"/>
    <w:rsid w:val="00C80652"/>
    <w:rsid w:val="00C806A4"/>
    <w:rsid w:val="00C80994"/>
    <w:rsid w:val="00C80B66"/>
    <w:rsid w:val="00C80BC4"/>
    <w:rsid w:val="00C8118F"/>
    <w:rsid w:val="00C81488"/>
    <w:rsid w:val="00C81499"/>
    <w:rsid w:val="00C81568"/>
    <w:rsid w:val="00C8173C"/>
    <w:rsid w:val="00C817E0"/>
    <w:rsid w:val="00C819A5"/>
    <w:rsid w:val="00C81AB6"/>
    <w:rsid w:val="00C81B4D"/>
    <w:rsid w:val="00C81D21"/>
    <w:rsid w:val="00C82062"/>
    <w:rsid w:val="00C82205"/>
    <w:rsid w:val="00C8233D"/>
    <w:rsid w:val="00C825D9"/>
    <w:rsid w:val="00C829F9"/>
    <w:rsid w:val="00C82C7E"/>
    <w:rsid w:val="00C83055"/>
    <w:rsid w:val="00C83176"/>
    <w:rsid w:val="00C83918"/>
    <w:rsid w:val="00C83A2F"/>
    <w:rsid w:val="00C83A43"/>
    <w:rsid w:val="00C83D5C"/>
    <w:rsid w:val="00C83D6F"/>
    <w:rsid w:val="00C841D0"/>
    <w:rsid w:val="00C84492"/>
    <w:rsid w:val="00C8476A"/>
    <w:rsid w:val="00C84E0A"/>
    <w:rsid w:val="00C84E77"/>
    <w:rsid w:val="00C850E5"/>
    <w:rsid w:val="00C8520E"/>
    <w:rsid w:val="00C852F3"/>
    <w:rsid w:val="00C855FE"/>
    <w:rsid w:val="00C85A73"/>
    <w:rsid w:val="00C85B58"/>
    <w:rsid w:val="00C862FC"/>
    <w:rsid w:val="00C864C8"/>
    <w:rsid w:val="00C86561"/>
    <w:rsid w:val="00C8688F"/>
    <w:rsid w:val="00C86D7B"/>
    <w:rsid w:val="00C870DA"/>
    <w:rsid w:val="00C87337"/>
    <w:rsid w:val="00C87542"/>
    <w:rsid w:val="00C875B1"/>
    <w:rsid w:val="00C87AD4"/>
    <w:rsid w:val="00C87CE4"/>
    <w:rsid w:val="00C904D3"/>
    <w:rsid w:val="00C9058D"/>
    <w:rsid w:val="00C90AA8"/>
    <w:rsid w:val="00C90C28"/>
    <w:rsid w:val="00C9108A"/>
    <w:rsid w:val="00C91219"/>
    <w:rsid w:val="00C91CC8"/>
    <w:rsid w:val="00C91DE5"/>
    <w:rsid w:val="00C91F62"/>
    <w:rsid w:val="00C9208D"/>
    <w:rsid w:val="00C92159"/>
    <w:rsid w:val="00C9216F"/>
    <w:rsid w:val="00C9297C"/>
    <w:rsid w:val="00C92C60"/>
    <w:rsid w:val="00C931CB"/>
    <w:rsid w:val="00C93D49"/>
    <w:rsid w:val="00C93EF9"/>
    <w:rsid w:val="00C94085"/>
    <w:rsid w:val="00C940C8"/>
    <w:rsid w:val="00C942D6"/>
    <w:rsid w:val="00C9457E"/>
    <w:rsid w:val="00C946ED"/>
    <w:rsid w:val="00C9505E"/>
    <w:rsid w:val="00C950C0"/>
    <w:rsid w:val="00C95326"/>
    <w:rsid w:val="00C95388"/>
    <w:rsid w:val="00C956D2"/>
    <w:rsid w:val="00C9597A"/>
    <w:rsid w:val="00C95A1A"/>
    <w:rsid w:val="00C9604A"/>
    <w:rsid w:val="00C9630F"/>
    <w:rsid w:val="00C96652"/>
    <w:rsid w:val="00C96733"/>
    <w:rsid w:val="00C96C0A"/>
    <w:rsid w:val="00C96C77"/>
    <w:rsid w:val="00C973A3"/>
    <w:rsid w:val="00C9775F"/>
    <w:rsid w:val="00C97A45"/>
    <w:rsid w:val="00CA03CE"/>
    <w:rsid w:val="00CA0483"/>
    <w:rsid w:val="00CA0D8B"/>
    <w:rsid w:val="00CA1363"/>
    <w:rsid w:val="00CA1E35"/>
    <w:rsid w:val="00CA276A"/>
    <w:rsid w:val="00CA2C6C"/>
    <w:rsid w:val="00CA325C"/>
    <w:rsid w:val="00CA33A8"/>
    <w:rsid w:val="00CA343C"/>
    <w:rsid w:val="00CA3550"/>
    <w:rsid w:val="00CA35F4"/>
    <w:rsid w:val="00CA3E38"/>
    <w:rsid w:val="00CA444E"/>
    <w:rsid w:val="00CA4B92"/>
    <w:rsid w:val="00CA4B9D"/>
    <w:rsid w:val="00CA4BFE"/>
    <w:rsid w:val="00CA505E"/>
    <w:rsid w:val="00CA50B2"/>
    <w:rsid w:val="00CA53A0"/>
    <w:rsid w:val="00CA566D"/>
    <w:rsid w:val="00CA6881"/>
    <w:rsid w:val="00CA6A6D"/>
    <w:rsid w:val="00CA7118"/>
    <w:rsid w:val="00CA7265"/>
    <w:rsid w:val="00CA7B83"/>
    <w:rsid w:val="00CA7D59"/>
    <w:rsid w:val="00CA7F11"/>
    <w:rsid w:val="00CB0219"/>
    <w:rsid w:val="00CB0556"/>
    <w:rsid w:val="00CB0AF1"/>
    <w:rsid w:val="00CB1501"/>
    <w:rsid w:val="00CB15DA"/>
    <w:rsid w:val="00CB16B7"/>
    <w:rsid w:val="00CB16FC"/>
    <w:rsid w:val="00CB18C9"/>
    <w:rsid w:val="00CB1914"/>
    <w:rsid w:val="00CB1A95"/>
    <w:rsid w:val="00CB1BDB"/>
    <w:rsid w:val="00CB1CA4"/>
    <w:rsid w:val="00CB212A"/>
    <w:rsid w:val="00CB2C03"/>
    <w:rsid w:val="00CB2DE5"/>
    <w:rsid w:val="00CB2F71"/>
    <w:rsid w:val="00CB2F98"/>
    <w:rsid w:val="00CB33A6"/>
    <w:rsid w:val="00CB3D6E"/>
    <w:rsid w:val="00CB3ED6"/>
    <w:rsid w:val="00CB48BC"/>
    <w:rsid w:val="00CB4B73"/>
    <w:rsid w:val="00CB4CA1"/>
    <w:rsid w:val="00CB4D4F"/>
    <w:rsid w:val="00CB4F92"/>
    <w:rsid w:val="00CB5094"/>
    <w:rsid w:val="00CB53D4"/>
    <w:rsid w:val="00CB551A"/>
    <w:rsid w:val="00CB59D1"/>
    <w:rsid w:val="00CB6690"/>
    <w:rsid w:val="00CB66E0"/>
    <w:rsid w:val="00CB687C"/>
    <w:rsid w:val="00CB6970"/>
    <w:rsid w:val="00CB6BFD"/>
    <w:rsid w:val="00CB705B"/>
    <w:rsid w:val="00CB7339"/>
    <w:rsid w:val="00CB73B2"/>
    <w:rsid w:val="00CB741F"/>
    <w:rsid w:val="00CB77A7"/>
    <w:rsid w:val="00CB7A23"/>
    <w:rsid w:val="00CB7B3D"/>
    <w:rsid w:val="00CB7EE5"/>
    <w:rsid w:val="00CC0416"/>
    <w:rsid w:val="00CC0A42"/>
    <w:rsid w:val="00CC0B62"/>
    <w:rsid w:val="00CC0E97"/>
    <w:rsid w:val="00CC0EC0"/>
    <w:rsid w:val="00CC106F"/>
    <w:rsid w:val="00CC1154"/>
    <w:rsid w:val="00CC12CA"/>
    <w:rsid w:val="00CC142D"/>
    <w:rsid w:val="00CC173C"/>
    <w:rsid w:val="00CC1CAF"/>
    <w:rsid w:val="00CC1D6E"/>
    <w:rsid w:val="00CC1E2F"/>
    <w:rsid w:val="00CC2060"/>
    <w:rsid w:val="00CC221D"/>
    <w:rsid w:val="00CC223A"/>
    <w:rsid w:val="00CC233A"/>
    <w:rsid w:val="00CC2496"/>
    <w:rsid w:val="00CC25F1"/>
    <w:rsid w:val="00CC2B35"/>
    <w:rsid w:val="00CC3504"/>
    <w:rsid w:val="00CC355A"/>
    <w:rsid w:val="00CC369E"/>
    <w:rsid w:val="00CC3A50"/>
    <w:rsid w:val="00CC3B41"/>
    <w:rsid w:val="00CC4982"/>
    <w:rsid w:val="00CC4D25"/>
    <w:rsid w:val="00CC505B"/>
    <w:rsid w:val="00CC5271"/>
    <w:rsid w:val="00CC5381"/>
    <w:rsid w:val="00CC541A"/>
    <w:rsid w:val="00CC5918"/>
    <w:rsid w:val="00CC5A52"/>
    <w:rsid w:val="00CC5AD1"/>
    <w:rsid w:val="00CC5FEF"/>
    <w:rsid w:val="00CC6029"/>
    <w:rsid w:val="00CC6379"/>
    <w:rsid w:val="00CC66C7"/>
    <w:rsid w:val="00CC6A30"/>
    <w:rsid w:val="00CC6FB9"/>
    <w:rsid w:val="00CC7107"/>
    <w:rsid w:val="00CC7151"/>
    <w:rsid w:val="00CC72A0"/>
    <w:rsid w:val="00CC76E4"/>
    <w:rsid w:val="00CC79DB"/>
    <w:rsid w:val="00CC7A46"/>
    <w:rsid w:val="00CC7FC4"/>
    <w:rsid w:val="00CCA735"/>
    <w:rsid w:val="00CD02FE"/>
    <w:rsid w:val="00CD075B"/>
    <w:rsid w:val="00CD091B"/>
    <w:rsid w:val="00CD0BB5"/>
    <w:rsid w:val="00CD1069"/>
    <w:rsid w:val="00CD144D"/>
    <w:rsid w:val="00CD1887"/>
    <w:rsid w:val="00CD1979"/>
    <w:rsid w:val="00CD1A69"/>
    <w:rsid w:val="00CD1B58"/>
    <w:rsid w:val="00CD1BA0"/>
    <w:rsid w:val="00CD1DC1"/>
    <w:rsid w:val="00CD1FB0"/>
    <w:rsid w:val="00CD3088"/>
    <w:rsid w:val="00CD314F"/>
    <w:rsid w:val="00CD32DF"/>
    <w:rsid w:val="00CD38C5"/>
    <w:rsid w:val="00CD396B"/>
    <w:rsid w:val="00CD39D4"/>
    <w:rsid w:val="00CD3CD7"/>
    <w:rsid w:val="00CD3D40"/>
    <w:rsid w:val="00CD4022"/>
    <w:rsid w:val="00CD4738"/>
    <w:rsid w:val="00CD4ACA"/>
    <w:rsid w:val="00CD4B62"/>
    <w:rsid w:val="00CD4C92"/>
    <w:rsid w:val="00CD4CD3"/>
    <w:rsid w:val="00CD4D7F"/>
    <w:rsid w:val="00CD5177"/>
    <w:rsid w:val="00CD51D1"/>
    <w:rsid w:val="00CD5340"/>
    <w:rsid w:val="00CD578B"/>
    <w:rsid w:val="00CD59B3"/>
    <w:rsid w:val="00CD6010"/>
    <w:rsid w:val="00CD621A"/>
    <w:rsid w:val="00CD6596"/>
    <w:rsid w:val="00CD6714"/>
    <w:rsid w:val="00CD6772"/>
    <w:rsid w:val="00CD688F"/>
    <w:rsid w:val="00CD6D07"/>
    <w:rsid w:val="00CD7185"/>
    <w:rsid w:val="00CD74A7"/>
    <w:rsid w:val="00CE0529"/>
    <w:rsid w:val="00CE0CB9"/>
    <w:rsid w:val="00CE14B1"/>
    <w:rsid w:val="00CE17CF"/>
    <w:rsid w:val="00CE17F2"/>
    <w:rsid w:val="00CE1B76"/>
    <w:rsid w:val="00CE22B6"/>
    <w:rsid w:val="00CE22D4"/>
    <w:rsid w:val="00CE25D3"/>
    <w:rsid w:val="00CE29B1"/>
    <w:rsid w:val="00CE2E1B"/>
    <w:rsid w:val="00CE2E44"/>
    <w:rsid w:val="00CE3528"/>
    <w:rsid w:val="00CE355E"/>
    <w:rsid w:val="00CE385B"/>
    <w:rsid w:val="00CE3A11"/>
    <w:rsid w:val="00CE3F1C"/>
    <w:rsid w:val="00CE412B"/>
    <w:rsid w:val="00CE43C5"/>
    <w:rsid w:val="00CE4860"/>
    <w:rsid w:val="00CE4A32"/>
    <w:rsid w:val="00CE54C9"/>
    <w:rsid w:val="00CE5CA3"/>
    <w:rsid w:val="00CE5E6B"/>
    <w:rsid w:val="00CE61CE"/>
    <w:rsid w:val="00CE6B4C"/>
    <w:rsid w:val="00CE75CE"/>
    <w:rsid w:val="00CE78ED"/>
    <w:rsid w:val="00CE7907"/>
    <w:rsid w:val="00CE7C4E"/>
    <w:rsid w:val="00CF0096"/>
    <w:rsid w:val="00CF009C"/>
    <w:rsid w:val="00CF0656"/>
    <w:rsid w:val="00CF096E"/>
    <w:rsid w:val="00CF0C93"/>
    <w:rsid w:val="00CF0CD6"/>
    <w:rsid w:val="00CF11B9"/>
    <w:rsid w:val="00CF1458"/>
    <w:rsid w:val="00CF18A6"/>
    <w:rsid w:val="00CF18A8"/>
    <w:rsid w:val="00CF1A42"/>
    <w:rsid w:val="00CF1B27"/>
    <w:rsid w:val="00CF1D75"/>
    <w:rsid w:val="00CF21B9"/>
    <w:rsid w:val="00CF2548"/>
    <w:rsid w:val="00CF264B"/>
    <w:rsid w:val="00CF26D2"/>
    <w:rsid w:val="00CF29AC"/>
    <w:rsid w:val="00CF2AE2"/>
    <w:rsid w:val="00CF2F4F"/>
    <w:rsid w:val="00CF3371"/>
    <w:rsid w:val="00CF394C"/>
    <w:rsid w:val="00CF3C58"/>
    <w:rsid w:val="00CF3D35"/>
    <w:rsid w:val="00CF3EFC"/>
    <w:rsid w:val="00CF433C"/>
    <w:rsid w:val="00CF49BD"/>
    <w:rsid w:val="00CF49E4"/>
    <w:rsid w:val="00CF4C60"/>
    <w:rsid w:val="00CF4CFE"/>
    <w:rsid w:val="00CF5576"/>
    <w:rsid w:val="00CF5811"/>
    <w:rsid w:val="00CF5ADA"/>
    <w:rsid w:val="00CF5B29"/>
    <w:rsid w:val="00CF5F29"/>
    <w:rsid w:val="00CF5FDB"/>
    <w:rsid w:val="00CF633A"/>
    <w:rsid w:val="00CF6357"/>
    <w:rsid w:val="00CF637F"/>
    <w:rsid w:val="00CF653A"/>
    <w:rsid w:val="00CF66DF"/>
    <w:rsid w:val="00CF672D"/>
    <w:rsid w:val="00CF6EF9"/>
    <w:rsid w:val="00CF7087"/>
    <w:rsid w:val="00CF7407"/>
    <w:rsid w:val="00CF7BDE"/>
    <w:rsid w:val="00CF7F39"/>
    <w:rsid w:val="00D00191"/>
    <w:rsid w:val="00D00670"/>
    <w:rsid w:val="00D0098D"/>
    <w:rsid w:val="00D00AA0"/>
    <w:rsid w:val="00D00BE2"/>
    <w:rsid w:val="00D00EDA"/>
    <w:rsid w:val="00D00F78"/>
    <w:rsid w:val="00D00FE6"/>
    <w:rsid w:val="00D012EC"/>
    <w:rsid w:val="00D01C40"/>
    <w:rsid w:val="00D01C60"/>
    <w:rsid w:val="00D01D36"/>
    <w:rsid w:val="00D01DB1"/>
    <w:rsid w:val="00D0215E"/>
    <w:rsid w:val="00D02211"/>
    <w:rsid w:val="00D0238F"/>
    <w:rsid w:val="00D02862"/>
    <w:rsid w:val="00D02894"/>
    <w:rsid w:val="00D033AD"/>
    <w:rsid w:val="00D034D0"/>
    <w:rsid w:val="00D0360E"/>
    <w:rsid w:val="00D036A6"/>
    <w:rsid w:val="00D03AD5"/>
    <w:rsid w:val="00D03D1A"/>
    <w:rsid w:val="00D03DF8"/>
    <w:rsid w:val="00D042D4"/>
    <w:rsid w:val="00D0430F"/>
    <w:rsid w:val="00D04618"/>
    <w:rsid w:val="00D0470C"/>
    <w:rsid w:val="00D0511C"/>
    <w:rsid w:val="00D051B6"/>
    <w:rsid w:val="00D0529A"/>
    <w:rsid w:val="00D056BB"/>
    <w:rsid w:val="00D057F4"/>
    <w:rsid w:val="00D05B49"/>
    <w:rsid w:val="00D05C9B"/>
    <w:rsid w:val="00D05D65"/>
    <w:rsid w:val="00D06109"/>
    <w:rsid w:val="00D065EB"/>
    <w:rsid w:val="00D069A4"/>
    <w:rsid w:val="00D06A2F"/>
    <w:rsid w:val="00D06C1D"/>
    <w:rsid w:val="00D06C85"/>
    <w:rsid w:val="00D07105"/>
    <w:rsid w:val="00D07164"/>
    <w:rsid w:val="00D074FD"/>
    <w:rsid w:val="00D07B77"/>
    <w:rsid w:val="00D07C8D"/>
    <w:rsid w:val="00D07C9A"/>
    <w:rsid w:val="00D102FA"/>
    <w:rsid w:val="00D103B8"/>
    <w:rsid w:val="00D10A73"/>
    <w:rsid w:val="00D10B5E"/>
    <w:rsid w:val="00D10D90"/>
    <w:rsid w:val="00D10F01"/>
    <w:rsid w:val="00D10F17"/>
    <w:rsid w:val="00D1127C"/>
    <w:rsid w:val="00D1138A"/>
    <w:rsid w:val="00D1139D"/>
    <w:rsid w:val="00D11816"/>
    <w:rsid w:val="00D11D42"/>
    <w:rsid w:val="00D1270A"/>
    <w:rsid w:val="00D12992"/>
    <w:rsid w:val="00D12C1E"/>
    <w:rsid w:val="00D13230"/>
    <w:rsid w:val="00D13688"/>
    <w:rsid w:val="00D13762"/>
    <w:rsid w:val="00D1383D"/>
    <w:rsid w:val="00D140C0"/>
    <w:rsid w:val="00D140E7"/>
    <w:rsid w:val="00D1411F"/>
    <w:rsid w:val="00D1439D"/>
    <w:rsid w:val="00D15601"/>
    <w:rsid w:val="00D16408"/>
    <w:rsid w:val="00D169AB"/>
    <w:rsid w:val="00D169AC"/>
    <w:rsid w:val="00D16E5A"/>
    <w:rsid w:val="00D171E2"/>
    <w:rsid w:val="00D1732A"/>
    <w:rsid w:val="00D177A6"/>
    <w:rsid w:val="00D17947"/>
    <w:rsid w:val="00D17D67"/>
    <w:rsid w:val="00D202DA"/>
    <w:rsid w:val="00D20B8D"/>
    <w:rsid w:val="00D20F8F"/>
    <w:rsid w:val="00D21A5C"/>
    <w:rsid w:val="00D21ADC"/>
    <w:rsid w:val="00D21EB2"/>
    <w:rsid w:val="00D22120"/>
    <w:rsid w:val="00D222EA"/>
    <w:rsid w:val="00D225D8"/>
    <w:rsid w:val="00D22944"/>
    <w:rsid w:val="00D233D0"/>
    <w:rsid w:val="00D23937"/>
    <w:rsid w:val="00D23C37"/>
    <w:rsid w:val="00D23FB1"/>
    <w:rsid w:val="00D2419F"/>
    <w:rsid w:val="00D24225"/>
    <w:rsid w:val="00D244BF"/>
    <w:rsid w:val="00D2494D"/>
    <w:rsid w:val="00D24CEE"/>
    <w:rsid w:val="00D24FAA"/>
    <w:rsid w:val="00D2504B"/>
    <w:rsid w:val="00D254F1"/>
    <w:rsid w:val="00D25725"/>
    <w:rsid w:val="00D258E8"/>
    <w:rsid w:val="00D258F1"/>
    <w:rsid w:val="00D25E28"/>
    <w:rsid w:val="00D25E59"/>
    <w:rsid w:val="00D25EFA"/>
    <w:rsid w:val="00D26024"/>
    <w:rsid w:val="00D26161"/>
    <w:rsid w:val="00D261C4"/>
    <w:rsid w:val="00D265FC"/>
    <w:rsid w:val="00D266ED"/>
    <w:rsid w:val="00D2696A"/>
    <w:rsid w:val="00D26CD7"/>
    <w:rsid w:val="00D270BB"/>
    <w:rsid w:val="00D274CB"/>
    <w:rsid w:val="00D27799"/>
    <w:rsid w:val="00D2787D"/>
    <w:rsid w:val="00D27BB0"/>
    <w:rsid w:val="00D27FF9"/>
    <w:rsid w:val="00D302EE"/>
    <w:rsid w:val="00D304FE"/>
    <w:rsid w:val="00D30CAC"/>
    <w:rsid w:val="00D317E4"/>
    <w:rsid w:val="00D31A24"/>
    <w:rsid w:val="00D328C7"/>
    <w:rsid w:val="00D328C8"/>
    <w:rsid w:val="00D329E7"/>
    <w:rsid w:val="00D32D5A"/>
    <w:rsid w:val="00D32EE0"/>
    <w:rsid w:val="00D32F4B"/>
    <w:rsid w:val="00D32FB6"/>
    <w:rsid w:val="00D3312D"/>
    <w:rsid w:val="00D332C2"/>
    <w:rsid w:val="00D33420"/>
    <w:rsid w:val="00D3367C"/>
    <w:rsid w:val="00D3396A"/>
    <w:rsid w:val="00D3397C"/>
    <w:rsid w:val="00D33F1A"/>
    <w:rsid w:val="00D3418F"/>
    <w:rsid w:val="00D344EF"/>
    <w:rsid w:val="00D348E6"/>
    <w:rsid w:val="00D34A12"/>
    <w:rsid w:val="00D34A21"/>
    <w:rsid w:val="00D34ECA"/>
    <w:rsid w:val="00D34FA8"/>
    <w:rsid w:val="00D35662"/>
    <w:rsid w:val="00D357A9"/>
    <w:rsid w:val="00D359AC"/>
    <w:rsid w:val="00D35ECD"/>
    <w:rsid w:val="00D362EA"/>
    <w:rsid w:val="00D366FF"/>
    <w:rsid w:val="00D368EC"/>
    <w:rsid w:val="00D36DA4"/>
    <w:rsid w:val="00D370A1"/>
    <w:rsid w:val="00D37456"/>
    <w:rsid w:val="00D377E7"/>
    <w:rsid w:val="00D37DF5"/>
    <w:rsid w:val="00D405B6"/>
    <w:rsid w:val="00D40818"/>
    <w:rsid w:val="00D40AF8"/>
    <w:rsid w:val="00D40D5A"/>
    <w:rsid w:val="00D41384"/>
    <w:rsid w:val="00D41695"/>
    <w:rsid w:val="00D41B07"/>
    <w:rsid w:val="00D41BB7"/>
    <w:rsid w:val="00D41C8A"/>
    <w:rsid w:val="00D41CF7"/>
    <w:rsid w:val="00D4216D"/>
    <w:rsid w:val="00D42174"/>
    <w:rsid w:val="00D42587"/>
    <w:rsid w:val="00D42776"/>
    <w:rsid w:val="00D4278F"/>
    <w:rsid w:val="00D42B40"/>
    <w:rsid w:val="00D434AB"/>
    <w:rsid w:val="00D4365E"/>
    <w:rsid w:val="00D437BD"/>
    <w:rsid w:val="00D437DD"/>
    <w:rsid w:val="00D43815"/>
    <w:rsid w:val="00D43B65"/>
    <w:rsid w:val="00D441B7"/>
    <w:rsid w:val="00D446EA"/>
    <w:rsid w:val="00D44794"/>
    <w:rsid w:val="00D44B89"/>
    <w:rsid w:val="00D44BE3"/>
    <w:rsid w:val="00D44E58"/>
    <w:rsid w:val="00D45042"/>
    <w:rsid w:val="00D4508D"/>
    <w:rsid w:val="00D458A7"/>
    <w:rsid w:val="00D45F63"/>
    <w:rsid w:val="00D460A0"/>
    <w:rsid w:val="00D460E8"/>
    <w:rsid w:val="00D462F7"/>
    <w:rsid w:val="00D463C7"/>
    <w:rsid w:val="00D468A7"/>
    <w:rsid w:val="00D46951"/>
    <w:rsid w:val="00D46989"/>
    <w:rsid w:val="00D46D2A"/>
    <w:rsid w:val="00D47796"/>
    <w:rsid w:val="00D47905"/>
    <w:rsid w:val="00D4793E"/>
    <w:rsid w:val="00D47FC9"/>
    <w:rsid w:val="00D50282"/>
    <w:rsid w:val="00D502A5"/>
    <w:rsid w:val="00D50A2B"/>
    <w:rsid w:val="00D50A5F"/>
    <w:rsid w:val="00D50D94"/>
    <w:rsid w:val="00D50FAD"/>
    <w:rsid w:val="00D5165A"/>
    <w:rsid w:val="00D51B2F"/>
    <w:rsid w:val="00D51B32"/>
    <w:rsid w:val="00D51FD1"/>
    <w:rsid w:val="00D52049"/>
    <w:rsid w:val="00D52223"/>
    <w:rsid w:val="00D522BC"/>
    <w:rsid w:val="00D5251B"/>
    <w:rsid w:val="00D5251D"/>
    <w:rsid w:val="00D52530"/>
    <w:rsid w:val="00D53054"/>
    <w:rsid w:val="00D53084"/>
    <w:rsid w:val="00D5358A"/>
    <w:rsid w:val="00D5373B"/>
    <w:rsid w:val="00D53860"/>
    <w:rsid w:val="00D53BA2"/>
    <w:rsid w:val="00D53E50"/>
    <w:rsid w:val="00D54204"/>
    <w:rsid w:val="00D545BC"/>
    <w:rsid w:val="00D54CF4"/>
    <w:rsid w:val="00D5512E"/>
    <w:rsid w:val="00D551F3"/>
    <w:rsid w:val="00D552F5"/>
    <w:rsid w:val="00D55991"/>
    <w:rsid w:val="00D55E0A"/>
    <w:rsid w:val="00D561B7"/>
    <w:rsid w:val="00D568E8"/>
    <w:rsid w:val="00D56978"/>
    <w:rsid w:val="00D569D5"/>
    <w:rsid w:val="00D56A4D"/>
    <w:rsid w:val="00D56A57"/>
    <w:rsid w:val="00D56A8B"/>
    <w:rsid w:val="00D56E98"/>
    <w:rsid w:val="00D571A4"/>
    <w:rsid w:val="00D5733A"/>
    <w:rsid w:val="00D57346"/>
    <w:rsid w:val="00D578B5"/>
    <w:rsid w:val="00D57A00"/>
    <w:rsid w:val="00D57BBF"/>
    <w:rsid w:val="00D57C4E"/>
    <w:rsid w:val="00D57F47"/>
    <w:rsid w:val="00D602D8"/>
    <w:rsid w:val="00D607AC"/>
    <w:rsid w:val="00D608F0"/>
    <w:rsid w:val="00D610E1"/>
    <w:rsid w:val="00D610F8"/>
    <w:rsid w:val="00D6140B"/>
    <w:rsid w:val="00D614EC"/>
    <w:rsid w:val="00D61874"/>
    <w:rsid w:val="00D61D48"/>
    <w:rsid w:val="00D62504"/>
    <w:rsid w:val="00D62522"/>
    <w:rsid w:val="00D62700"/>
    <w:rsid w:val="00D62D0A"/>
    <w:rsid w:val="00D62D62"/>
    <w:rsid w:val="00D62D77"/>
    <w:rsid w:val="00D62F9D"/>
    <w:rsid w:val="00D635DE"/>
    <w:rsid w:val="00D639C2"/>
    <w:rsid w:val="00D63DDD"/>
    <w:rsid w:val="00D63FDB"/>
    <w:rsid w:val="00D64359"/>
    <w:rsid w:val="00D64BE6"/>
    <w:rsid w:val="00D64F11"/>
    <w:rsid w:val="00D654A5"/>
    <w:rsid w:val="00D65648"/>
    <w:rsid w:val="00D65D9B"/>
    <w:rsid w:val="00D6658A"/>
    <w:rsid w:val="00D66F86"/>
    <w:rsid w:val="00D6795A"/>
    <w:rsid w:val="00D67A84"/>
    <w:rsid w:val="00D67CCC"/>
    <w:rsid w:val="00D70146"/>
    <w:rsid w:val="00D7041D"/>
    <w:rsid w:val="00D7078C"/>
    <w:rsid w:val="00D71071"/>
    <w:rsid w:val="00D7129A"/>
    <w:rsid w:val="00D715F5"/>
    <w:rsid w:val="00D7166C"/>
    <w:rsid w:val="00D7182C"/>
    <w:rsid w:val="00D71B71"/>
    <w:rsid w:val="00D71EA9"/>
    <w:rsid w:val="00D72041"/>
    <w:rsid w:val="00D721A9"/>
    <w:rsid w:val="00D724AF"/>
    <w:rsid w:val="00D72516"/>
    <w:rsid w:val="00D72693"/>
    <w:rsid w:val="00D72A15"/>
    <w:rsid w:val="00D72AEB"/>
    <w:rsid w:val="00D72CBF"/>
    <w:rsid w:val="00D73095"/>
    <w:rsid w:val="00D7329B"/>
    <w:rsid w:val="00D732F1"/>
    <w:rsid w:val="00D73426"/>
    <w:rsid w:val="00D738F4"/>
    <w:rsid w:val="00D73B9D"/>
    <w:rsid w:val="00D73F24"/>
    <w:rsid w:val="00D7427B"/>
    <w:rsid w:val="00D74585"/>
    <w:rsid w:val="00D7470C"/>
    <w:rsid w:val="00D7484A"/>
    <w:rsid w:val="00D74A26"/>
    <w:rsid w:val="00D74B10"/>
    <w:rsid w:val="00D75566"/>
    <w:rsid w:val="00D75955"/>
    <w:rsid w:val="00D75A1A"/>
    <w:rsid w:val="00D75BED"/>
    <w:rsid w:val="00D75C9F"/>
    <w:rsid w:val="00D75D9D"/>
    <w:rsid w:val="00D760EC"/>
    <w:rsid w:val="00D76189"/>
    <w:rsid w:val="00D76324"/>
    <w:rsid w:val="00D767C2"/>
    <w:rsid w:val="00D76A89"/>
    <w:rsid w:val="00D76E2E"/>
    <w:rsid w:val="00D771B5"/>
    <w:rsid w:val="00D7732E"/>
    <w:rsid w:val="00D77602"/>
    <w:rsid w:val="00D77B39"/>
    <w:rsid w:val="00D80067"/>
    <w:rsid w:val="00D8024A"/>
    <w:rsid w:val="00D803CA"/>
    <w:rsid w:val="00D805DC"/>
    <w:rsid w:val="00D8063D"/>
    <w:rsid w:val="00D8096F"/>
    <w:rsid w:val="00D80C3D"/>
    <w:rsid w:val="00D80EDC"/>
    <w:rsid w:val="00D80F04"/>
    <w:rsid w:val="00D8109E"/>
    <w:rsid w:val="00D811F7"/>
    <w:rsid w:val="00D812DF"/>
    <w:rsid w:val="00D8150C"/>
    <w:rsid w:val="00D8157F"/>
    <w:rsid w:val="00D81E02"/>
    <w:rsid w:val="00D820C1"/>
    <w:rsid w:val="00D822B3"/>
    <w:rsid w:val="00D82968"/>
    <w:rsid w:val="00D82E79"/>
    <w:rsid w:val="00D82FAA"/>
    <w:rsid w:val="00D82FD7"/>
    <w:rsid w:val="00D8320C"/>
    <w:rsid w:val="00D83315"/>
    <w:rsid w:val="00D8344F"/>
    <w:rsid w:val="00D8354C"/>
    <w:rsid w:val="00D8378F"/>
    <w:rsid w:val="00D83A9D"/>
    <w:rsid w:val="00D83C27"/>
    <w:rsid w:val="00D840E7"/>
    <w:rsid w:val="00D84307"/>
    <w:rsid w:val="00D8438D"/>
    <w:rsid w:val="00D84A3C"/>
    <w:rsid w:val="00D84FF9"/>
    <w:rsid w:val="00D85541"/>
    <w:rsid w:val="00D85D18"/>
    <w:rsid w:val="00D8610D"/>
    <w:rsid w:val="00D86238"/>
    <w:rsid w:val="00D8697B"/>
    <w:rsid w:val="00D869E4"/>
    <w:rsid w:val="00D871B9"/>
    <w:rsid w:val="00D879B8"/>
    <w:rsid w:val="00D87B0D"/>
    <w:rsid w:val="00D87C82"/>
    <w:rsid w:val="00D87FDB"/>
    <w:rsid w:val="00D87FEF"/>
    <w:rsid w:val="00D90220"/>
    <w:rsid w:val="00D90693"/>
    <w:rsid w:val="00D907EB"/>
    <w:rsid w:val="00D90A14"/>
    <w:rsid w:val="00D90A5E"/>
    <w:rsid w:val="00D90B04"/>
    <w:rsid w:val="00D90B21"/>
    <w:rsid w:val="00D90C1F"/>
    <w:rsid w:val="00D913A4"/>
    <w:rsid w:val="00D91581"/>
    <w:rsid w:val="00D91589"/>
    <w:rsid w:val="00D915A6"/>
    <w:rsid w:val="00D916D4"/>
    <w:rsid w:val="00D916D5"/>
    <w:rsid w:val="00D916F2"/>
    <w:rsid w:val="00D9170D"/>
    <w:rsid w:val="00D918E6"/>
    <w:rsid w:val="00D9191B"/>
    <w:rsid w:val="00D91A7E"/>
    <w:rsid w:val="00D91BF0"/>
    <w:rsid w:val="00D91F50"/>
    <w:rsid w:val="00D91FC5"/>
    <w:rsid w:val="00D928BA"/>
    <w:rsid w:val="00D92987"/>
    <w:rsid w:val="00D92D62"/>
    <w:rsid w:val="00D92EA5"/>
    <w:rsid w:val="00D92F26"/>
    <w:rsid w:val="00D92FB4"/>
    <w:rsid w:val="00D931DC"/>
    <w:rsid w:val="00D9351B"/>
    <w:rsid w:val="00D938D3"/>
    <w:rsid w:val="00D93DB8"/>
    <w:rsid w:val="00D940D4"/>
    <w:rsid w:val="00D943C1"/>
    <w:rsid w:val="00D9458B"/>
    <w:rsid w:val="00D94785"/>
    <w:rsid w:val="00D94A0E"/>
    <w:rsid w:val="00D94C7D"/>
    <w:rsid w:val="00D94CAE"/>
    <w:rsid w:val="00D957CF"/>
    <w:rsid w:val="00D95872"/>
    <w:rsid w:val="00D95DC3"/>
    <w:rsid w:val="00D95DF9"/>
    <w:rsid w:val="00D95FB6"/>
    <w:rsid w:val="00D96027"/>
    <w:rsid w:val="00D96393"/>
    <w:rsid w:val="00D96573"/>
    <w:rsid w:val="00D96AC9"/>
    <w:rsid w:val="00D96FE9"/>
    <w:rsid w:val="00D972A5"/>
    <w:rsid w:val="00D972D2"/>
    <w:rsid w:val="00D9743F"/>
    <w:rsid w:val="00D97651"/>
    <w:rsid w:val="00D97EEA"/>
    <w:rsid w:val="00DA00DC"/>
    <w:rsid w:val="00DA0AD4"/>
    <w:rsid w:val="00DA0D6B"/>
    <w:rsid w:val="00DA17EF"/>
    <w:rsid w:val="00DA1AAC"/>
    <w:rsid w:val="00DA1ABC"/>
    <w:rsid w:val="00DA1FE7"/>
    <w:rsid w:val="00DA2091"/>
    <w:rsid w:val="00DA220F"/>
    <w:rsid w:val="00DA28C7"/>
    <w:rsid w:val="00DA2BF0"/>
    <w:rsid w:val="00DA2C61"/>
    <w:rsid w:val="00DA2C9E"/>
    <w:rsid w:val="00DA340F"/>
    <w:rsid w:val="00DA3F43"/>
    <w:rsid w:val="00DA41C7"/>
    <w:rsid w:val="00DA43C1"/>
    <w:rsid w:val="00DA446D"/>
    <w:rsid w:val="00DA45AF"/>
    <w:rsid w:val="00DA465A"/>
    <w:rsid w:val="00DA4B44"/>
    <w:rsid w:val="00DA4E76"/>
    <w:rsid w:val="00DA5284"/>
    <w:rsid w:val="00DA53BF"/>
    <w:rsid w:val="00DA5CEC"/>
    <w:rsid w:val="00DA5E7F"/>
    <w:rsid w:val="00DA613F"/>
    <w:rsid w:val="00DA65C9"/>
    <w:rsid w:val="00DA66AD"/>
    <w:rsid w:val="00DA6B28"/>
    <w:rsid w:val="00DA70E4"/>
    <w:rsid w:val="00DA7224"/>
    <w:rsid w:val="00DA788B"/>
    <w:rsid w:val="00DA7906"/>
    <w:rsid w:val="00DA7B51"/>
    <w:rsid w:val="00DA7CBF"/>
    <w:rsid w:val="00DA7DF2"/>
    <w:rsid w:val="00DA7F6E"/>
    <w:rsid w:val="00DB051D"/>
    <w:rsid w:val="00DB08C9"/>
    <w:rsid w:val="00DB0ECE"/>
    <w:rsid w:val="00DB1943"/>
    <w:rsid w:val="00DB1B5D"/>
    <w:rsid w:val="00DB1C3B"/>
    <w:rsid w:val="00DB1C3F"/>
    <w:rsid w:val="00DB1DA9"/>
    <w:rsid w:val="00DB206D"/>
    <w:rsid w:val="00DB249B"/>
    <w:rsid w:val="00DB2CC5"/>
    <w:rsid w:val="00DB2D23"/>
    <w:rsid w:val="00DB2D64"/>
    <w:rsid w:val="00DB2D7E"/>
    <w:rsid w:val="00DB3152"/>
    <w:rsid w:val="00DB38EF"/>
    <w:rsid w:val="00DB3B02"/>
    <w:rsid w:val="00DB3CB5"/>
    <w:rsid w:val="00DB3F2C"/>
    <w:rsid w:val="00DB400B"/>
    <w:rsid w:val="00DB40B2"/>
    <w:rsid w:val="00DB40D8"/>
    <w:rsid w:val="00DB446C"/>
    <w:rsid w:val="00DB45A4"/>
    <w:rsid w:val="00DB490A"/>
    <w:rsid w:val="00DB4D4B"/>
    <w:rsid w:val="00DB4DA9"/>
    <w:rsid w:val="00DB4E62"/>
    <w:rsid w:val="00DB4F14"/>
    <w:rsid w:val="00DB504F"/>
    <w:rsid w:val="00DB527C"/>
    <w:rsid w:val="00DB558C"/>
    <w:rsid w:val="00DB59FD"/>
    <w:rsid w:val="00DB5B71"/>
    <w:rsid w:val="00DB5BA2"/>
    <w:rsid w:val="00DB5C50"/>
    <w:rsid w:val="00DB616B"/>
    <w:rsid w:val="00DB65D9"/>
    <w:rsid w:val="00DB6676"/>
    <w:rsid w:val="00DB692F"/>
    <w:rsid w:val="00DB6B79"/>
    <w:rsid w:val="00DB6D5F"/>
    <w:rsid w:val="00DB6D78"/>
    <w:rsid w:val="00DB6F67"/>
    <w:rsid w:val="00DB706F"/>
    <w:rsid w:val="00DB70C2"/>
    <w:rsid w:val="00DB7137"/>
    <w:rsid w:val="00DB71E9"/>
    <w:rsid w:val="00DB75CB"/>
    <w:rsid w:val="00DB7B7E"/>
    <w:rsid w:val="00DB7E3E"/>
    <w:rsid w:val="00DC0215"/>
    <w:rsid w:val="00DC0AC5"/>
    <w:rsid w:val="00DC0F2E"/>
    <w:rsid w:val="00DC107F"/>
    <w:rsid w:val="00DC14E7"/>
    <w:rsid w:val="00DC16A9"/>
    <w:rsid w:val="00DC16D8"/>
    <w:rsid w:val="00DC17D4"/>
    <w:rsid w:val="00DC20B8"/>
    <w:rsid w:val="00DC2B42"/>
    <w:rsid w:val="00DC31C1"/>
    <w:rsid w:val="00DC349E"/>
    <w:rsid w:val="00DC36DE"/>
    <w:rsid w:val="00DC3822"/>
    <w:rsid w:val="00DC3B14"/>
    <w:rsid w:val="00DC3B3D"/>
    <w:rsid w:val="00DC40D8"/>
    <w:rsid w:val="00DC4213"/>
    <w:rsid w:val="00DC49DB"/>
    <w:rsid w:val="00DC4BC7"/>
    <w:rsid w:val="00DC512D"/>
    <w:rsid w:val="00DC521E"/>
    <w:rsid w:val="00DC52F9"/>
    <w:rsid w:val="00DC5582"/>
    <w:rsid w:val="00DC56F7"/>
    <w:rsid w:val="00DC5934"/>
    <w:rsid w:val="00DC5A7D"/>
    <w:rsid w:val="00DC5BE4"/>
    <w:rsid w:val="00DC620B"/>
    <w:rsid w:val="00DC6850"/>
    <w:rsid w:val="00DC6D46"/>
    <w:rsid w:val="00DC712D"/>
    <w:rsid w:val="00DC7234"/>
    <w:rsid w:val="00DC72C9"/>
    <w:rsid w:val="00DC7664"/>
    <w:rsid w:val="00DC786A"/>
    <w:rsid w:val="00DD00EC"/>
    <w:rsid w:val="00DD0948"/>
    <w:rsid w:val="00DD0D6D"/>
    <w:rsid w:val="00DD0E0F"/>
    <w:rsid w:val="00DD12E2"/>
    <w:rsid w:val="00DD15B6"/>
    <w:rsid w:val="00DD2777"/>
    <w:rsid w:val="00DD279B"/>
    <w:rsid w:val="00DD288D"/>
    <w:rsid w:val="00DD28CD"/>
    <w:rsid w:val="00DD2985"/>
    <w:rsid w:val="00DD2D6F"/>
    <w:rsid w:val="00DD33FD"/>
    <w:rsid w:val="00DD39FF"/>
    <w:rsid w:val="00DD3FB6"/>
    <w:rsid w:val="00DD472D"/>
    <w:rsid w:val="00DD49A4"/>
    <w:rsid w:val="00DD4D7C"/>
    <w:rsid w:val="00DD564E"/>
    <w:rsid w:val="00DD5A1A"/>
    <w:rsid w:val="00DD5A8D"/>
    <w:rsid w:val="00DD6157"/>
    <w:rsid w:val="00DD62DD"/>
    <w:rsid w:val="00DD6318"/>
    <w:rsid w:val="00DD669A"/>
    <w:rsid w:val="00DD6928"/>
    <w:rsid w:val="00DD6A04"/>
    <w:rsid w:val="00DD6E62"/>
    <w:rsid w:val="00DD750E"/>
    <w:rsid w:val="00DE0323"/>
    <w:rsid w:val="00DE0518"/>
    <w:rsid w:val="00DE05E9"/>
    <w:rsid w:val="00DE09E5"/>
    <w:rsid w:val="00DE0C95"/>
    <w:rsid w:val="00DE0C98"/>
    <w:rsid w:val="00DE1147"/>
    <w:rsid w:val="00DE15D3"/>
    <w:rsid w:val="00DE179E"/>
    <w:rsid w:val="00DE1ADD"/>
    <w:rsid w:val="00DE1D05"/>
    <w:rsid w:val="00DE259F"/>
    <w:rsid w:val="00DE2866"/>
    <w:rsid w:val="00DE28C6"/>
    <w:rsid w:val="00DE2C9E"/>
    <w:rsid w:val="00DE2F26"/>
    <w:rsid w:val="00DE315B"/>
    <w:rsid w:val="00DE32D8"/>
    <w:rsid w:val="00DE33DC"/>
    <w:rsid w:val="00DE3BF9"/>
    <w:rsid w:val="00DE3D6A"/>
    <w:rsid w:val="00DE3EF6"/>
    <w:rsid w:val="00DE3FF8"/>
    <w:rsid w:val="00DE4568"/>
    <w:rsid w:val="00DE4BE9"/>
    <w:rsid w:val="00DE4C48"/>
    <w:rsid w:val="00DE4D6E"/>
    <w:rsid w:val="00DE4DAD"/>
    <w:rsid w:val="00DE4DFB"/>
    <w:rsid w:val="00DE4E0A"/>
    <w:rsid w:val="00DE5449"/>
    <w:rsid w:val="00DE5F0C"/>
    <w:rsid w:val="00DE607E"/>
    <w:rsid w:val="00DE6109"/>
    <w:rsid w:val="00DE61A3"/>
    <w:rsid w:val="00DE6777"/>
    <w:rsid w:val="00DE6D33"/>
    <w:rsid w:val="00DE6D83"/>
    <w:rsid w:val="00DE71A6"/>
    <w:rsid w:val="00DE725F"/>
    <w:rsid w:val="00DE7343"/>
    <w:rsid w:val="00DE75CD"/>
    <w:rsid w:val="00DE78BC"/>
    <w:rsid w:val="00DF09DD"/>
    <w:rsid w:val="00DF09E8"/>
    <w:rsid w:val="00DF0A80"/>
    <w:rsid w:val="00DF10A2"/>
    <w:rsid w:val="00DF1663"/>
    <w:rsid w:val="00DF17F8"/>
    <w:rsid w:val="00DF184C"/>
    <w:rsid w:val="00DF1C84"/>
    <w:rsid w:val="00DF1CC3"/>
    <w:rsid w:val="00DF1D0C"/>
    <w:rsid w:val="00DF219A"/>
    <w:rsid w:val="00DF22CD"/>
    <w:rsid w:val="00DF24D1"/>
    <w:rsid w:val="00DF2F41"/>
    <w:rsid w:val="00DF33D9"/>
    <w:rsid w:val="00DF35B0"/>
    <w:rsid w:val="00DF37DF"/>
    <w:rsid w:val="00DF39A2"/>
    <w:rsid w:val="00DF40F2"/>
    <w:rsid w:val="00DF4263"/>
    <w:rsid w:val="00DF42BD"/>
    <w:rsid w:val="00DF4730"/>
    <w:rsid w:val="00DF49A6"/>
    <w:rsid w:val="00DF4D8D"/>
    <w:rsid w:val="00DF52C2"/>
    <w:rsid w:val="00DF5796"/>
    <w:rsid w:val="00DF5AD1"/>
    <w:rsid w:val="00DF5C37"/>
    <w:rsid w:val="00DF5C73"/>
    <w:rsid w:val="00DF6161"/>
    <w:rsid w:val="00DF61DA"/>
    <w:rsid w:val="00DF6278"/>
    <w:rsid w:val="00DF6352"/>
    <w:rsid w:val="00DF6569"/>
    <w:rsid w:val="00DF65AE"/>
    <w:rsid w:val="00DF6E3A"/>
    <w:rsid w:val="00DF730C"/>
    <w:rsid w:val="00DF7481"/>
    <w:rsid w:val="00DF7588"/>
    <w:rsid w:val="00DF79FE"/>
    <w:rsid w:val="00DF7B43"/>
    <w:rsid w:val="00DF7CA9"/>
    <w:rsid w:val="00DF7E5E"/>
    <w:rsid w:val="00E003B2"/>
    <w:rsid w:val="00E00865"/>
    <w:rsid w:val="00E00A1E"/>
    <w:rsid w:val="00E00B72"/>
    <w:rsid w:val="00E00DA9"/>
    <w:rsid w:val="00E0105F"/>
    <w:rsid w:val="00E011CE"/>
    <w:rsid w:val="00E015A9"/>
    <w:rsid w:val="00E01A73"/>
    <w:rsid w:val="00E01B0F"/>
    <w:rsid w:val="00E01DBF"/>
    <w:rsid w:val="00E01DF5"/>
    <w:rsid w:val="00E01E85"/>
    <w:rsid w:val="00E01FA2"/>
    <w:rsid w:val="00E020F0"/>
    <w:rsid w:val="00E0220D"/>
    <w:rsid w:val="00E0263A"/>
    <w:rsid w:val="00E02652"/>
    <w:rsid w:val="00E0298D"/>
    <w:rsid w:val="00E029A3"/>
    <w:rsid w:val="00E02AEE"/>
    <w:rsid w:val="00E02BB8"/>
    <w:rsid w:val="00E02C86"/>
    <w:rsid w:val="00E02CCD"/>
    <w:rsid w:val="00E02F10"/>
    <w:rsid w:val="00E03006"/>
    <w:rsid w:val="00E03029"/>
    <w:rsid w:val="00E03494"/>
    <w:rsid w:val="00E0376B"/>
    <w:rsid w:val="00E037FD"/>
    <w:rsid w:val="00E03A36"/>
    <w:rsid w:val="00E03C63"/>
    <w:rsid w:val="00E03DD3"/>
    <w:rsid w:val="00E03EF7"/>
    <w:rsid w:val="00E044C0"/>
    <w:rsid w:val="00E048BD"/>
    <w:rsid w:val="00E049DE"/>
    <w:rsid w:val="00E04CFC"/>
    <w:rsid w:val="00E0522C"/>
    <w:rsid w:val="00E05342"/>
    <w:rsid w:val="00E053DD"/>
    <w:rsid w:val="00E05DF5"/>
    <w:rsid w:val="00E0616D"/>
    <w:rsid w:val="00E06509"/>
    <w:rsid w:val="00E065F9"/>
    <w:rsid w:val="00E0661F"/>
    <w:rsid w:val="00E06A59"/>
    <w:rsid w:val="00E06C5B"/>
    <w:rsid w:val="00E06DB8"/>
    <w:rsid w:val="00E071A3"/>
    <w:rsid w:val="00E0726A"/>
    <w:rsid w:val="00E074E8"/>
    <w:rsid w:val="00E10220"/>
    <w:rsid w:val="00E10D05"/>
    <w:rsid w:val="00E112B6"/>
    <w:rsid w:val="00E1185C"/>
    <w:rsid w:val="00E119A1"/>
    <w:rsid w:val="00E123D0"/>
    <w:rsid w:val="00E1255F"/>
    <w:rsid w:val="00E128CC"/>
    <w:rsid w:val="00E12A4C"/>
    <w:rsid w:val="00E12C00"/>
    <w:rsid w:val="00E13049"/>
    <w:rsid w:val="00E131F8"/>
    <w:rsid w:val="00E1332B"/>
    <w:rsid w:val="00E13574"/>
    <w:rsid w:val="00E13617"/>
    <w:rsid w:val="00E13980"/>
    <w:rsid w:val="00E145D6"/>
    <w:rsid w:val="00E14C8F"/>
    <w:rsid w:val="00E14D3F"/>
    <w:rsid w:val="00E15249"/>
    <w:rsid w:val="00E1580F"/>
    <w:rsid w:val="00E158E0"/>
    <w:rsid w:val="00E160EE"/>
    <w:rsid w:val="00E1647F"/>
    <w:rsid w:val="00E16494"/>
    <w:rsid w:val="00E1678B"/>
    <w:rsid w:val="00E16874"/>
    <w:rsid w:val="00E16A46"/>
    <w:rsid w:val="00E16AF1"/>
    <w:rsid w:val="00E16EA1"/>
    <w:rsid w:val="00E17118"/>
    <w:rsid w:val="00E17683"/>
    <w:rsid w:val="00E176CA"/>
    <w:rsid w:val="00E17756"/>
    <w:rsid w:val="00E17D9A"/>
    <w:rsid w:val="00E201A6"/>
    <w:rsid w:val="00E202D9"/>
    <w:rsid w:val="00E20527"/>
    <w:rsid w:val="00E20D16"/>
    <w:rsid w:val="00E21429"/>
    <w:rsid w:val="00E21924"/>
    <w:rsid w:val="00E21D60"/>
    <w:rsid w:val="00E21D6E"/>
    <w:rsid w:val="00E21D84"/>
    <w:rsid w:val="00E22239"/>
    <w:rsid w:val="00E2257B"/>
    <w:rsid w:val="00E2294C"/>
    <w:rsid w:val="00E22DCB"/>
    <w:rsid w:val="00E22FE2"/>
    <w:rsid w:val="00E23129"/>
    <w:rsid w:val="00E2318E"/>
    <w:rsid w:val="00E2329A"/>
    <w:rsid w:val="00E2344C"/>
    <w:rsid w:val="00E24BC9"/>
    <w:rsid w:val="00E24CDB"/>
    <w:rsid w:val="00E24D20"/>
    <w:rsid w:val="00E24D72"/>
    <w:rsid w:val="00E250B6"/>
    <w:rsid w:val="00E253C6"/>
    <w:rsid w:val="00E25488"/>
    <w:rsid w:val="00E2589A"/>
    <w:rsid w:val="00E25D33"/>
    <w:rsid w:val="00E25D9D"/>
    <w:rsid w:val="00E26166"/>
    <w:rsid w:val="00E26326"/>
    <w:rsid w:val="00E26501"/>
    <w:rsid w:val="00E266A1"/>
    <w:rsid w:val="00E2737F"/>
    <w:rsid w:val="00E2773D"/>
    <w:rsid w:val="00E27E52"/>
    <w:rsid w:val="00E27E5B"/>
    <w:rsid w:val="00E27EF9"/>
    <w:rsid w:val="00E3007E"/>
    <w:rsid w:val="00E305C0"/>
    <w:rsid w:val="00E30674"/>
    <w:rsid w:val="00E3069C"/>
    <w:rsid w:val="00E30A67"/>
    <w:rsid w:val="00E31645"/>
    <w:rsid w:val="00E317FA"/>
    <w:rsid w:val="00E31D7C"/>
    <w:rsid w:val="00E31E98"/>
    <w:rsid w:val="00E322FE"/>
    <w:rsid w:val="00E32764"/>
    <w:rsid w:val="00E32BBA"/>
    <w:rsid w:val="00E32C36"/>
    <w:rsid w:val="00E3311B"/>
    <w:rsid w:val="00E331E6"/>
    <w:rsid w:val="00E33335"/>
    <w:rsid w:val="00E336B9"/>
    <w:rsid w:val="00E33705"/>
    <w:rsid w:val="00E33CC5"/>
    <w:rsid w:val="00E33DD7"/>
    <w:rsid w:val="00E3410F"/>
    <w:rsid w:val="00E34194"/>
    <w:rsid w:val="00E34735"/>
    <w:rsid w:val="00E34BBF"/>
    <w:rsid w:val="00E354D1"/>
    <w:rsid w:val="00E356D7"/>
    <w:rsid w:val="00E35827"/>
    <w:rsid w:val="00E358A7"/>
    <w:rsid w:val="00E3599F"/>
    <w:rsid w:val="00E35B76"/>
    <w:rsid w:val="00E35EA5"/>
    <w:rsid w:val="00E36B1E"/>
    <w:rsid w:val="00E36F38"/>
    <w:rsid w:val="00E37397"/>
    <w:rsid w:val="00E37742"/>
    <w:rsid w:val="00E377FA"/>
    <w:rsid w:val="00E37EBE"/>
    <w:rsid w:val="00E3875C"/>
    <w:rsid w:val="00E406E8"/>
    <w:rsid w:val="00E40B58"/>
    <w:rsid w:val="00E41040"/>
    <w:rsid w:val="00E410C4"/>
    <w:rsid w:val="00E41B5D"/>
    <w:rsid w:val="00E42386"/>
    <w:rsid w:val="00E427E9"/>
    <w:rsid w:val="00E4282D"/>
    <w:rsid w:val="00E42DFA"/>
    <w:rsid w:val="00E43184"/>
    <w:rsid w:val="00E435F0"/>
    <w:rsid w:val="00E43755"/>
    <w:rsid w:val="00E439D4"/>
    <w:rsid w:val="00E43CEB"/>
    <w:rsid w:val="00E4468D"/>
    <w:rsid w:val="00E4474D"/>
    <w:rsid w:val="00E44C64"/>
    <w:rsid w:val="00E450A7"/>
    <w:rsid w:val="00E4550B"/>
    <w:rsid w:val="00E45768"/>
    <w:rsid w:val="00E45915"/>
    <w:rsid w:val="00E45935"/>
    <w:rsid w:val="00E45B4F"/>
    <w:rsid w:val="00E45DC1"/>
    <w:rsid w:val="00E4624F"/>
    <w:rsid w:val="00E462B3"/>
    <w:rsid w:val="00E4679D"/>
    <w:rsid w:val="00E4708A"/>
    <w:rsid w:val="00E4713D"/>
    <w:rsid w:val="00E472D2"/>
    <w:rsid w:val="00E47514"/>
    <w:rsid w:val="00E47966"/>
    <w:rsid w:val="00E479FC"/>
    <w:rsid w:val="00E47AE6"/>
    <w:rsid w:val="00E47B3D"/>
    <w:rsid w:val="00E47B3E"/>
    <w:rsid w:val="00E504BF"/>
    <w:rsid w:val="00E50648"/>
    <w:rsid w:val="00E508F7"/>
    <w:rsid w:val="00E50AC3"/>
    <w:rsid w:val="00E50D5D"/>
    <w:rsid w:val="00E50E78"/>
    <w:rsid w:val="00E511F1"/>
    <w:rsid w:val="00E512C1"/>
    <w:rsid w:val="00E516F5"/>
    <w:rsid w:val="00E518C9"/>
    <w:rsid w:val="00E51A40"/>
    <w:rsid w:val="00E51C99"/>
    <w:rsid w:val="00E51D6F"/>
    <w:rsid w:val="00E52B82"/>
    <w:rsid w:val="00E533A2"/>
    <w:rsid w:val="00E53441"/>
    <w:rsid w:val="00E539E2"/>
    <w:rsid w:val="00E53A72"/>
    <w:rsid w:val="00E53B57"/>
    <w:rsid w:val="00E53F2F"/>
    <w:rsid w:val="00E53F89"/>
    <w:rsid w:val="00E5451D"/>
    <w:rsid w:val="00E54B73"/>
    <w:rsid w:val="00E54D56"/>
    <w:rsid w:val="00E54E2D"/>
    <w:rsid w:val="00E550AF"/>
    <w:rsid w:val="00E553C6"/>
    <w:rsid w:val="00E55A80"/>
    <w:rsid w:val="00E56921"/>
    <w:rsid w:val="00E57658"/>
    <w:rsid w:val="00E5799A"/>
    <w:rsid w:val="00E57D62"/>
    <w:rsid w:val="00E57EBA"/>
    <w:rsid w:val="00E6007E"/>
    <w:rsid w:val="00E60442"/>
    <w:rsid w:val="00E607C3"/>
    <w:rsid w:val="00E607E0"/>
    <w:rsid w:val="00E60862"/>
    <w:rsid w:val="00E60EA2"/>
    <w:rsid w:val="00E615E0"/>
    <w:rsid w:val="00E6197D"/>
    <w:rsid w:val="00E61D2A"/>
    <w:rsid w:val="00E62094"/>
    <w:rsid w:val="00E62228"/>
    <w:rsid w:val="00E62A5E"/>
    <w:rsid w:val="00E62CEA"/>
    <w:rsid w:val="00E62D66"/>
    <w:rsid w:val="00E630C0"/>
    <w:rsid w:val="00E63644"/>
    <w:rsid w:val="00E63873"/>
    <w:rsid w:val="00E64289"/>
    <w:rsid w:val="00E64A87"/>
    <w:rsid w:val="00E64BCA"/>
    <w:rsid w:val="00E64D8C"/>
    <w:rsid w:val="00E64E3C"/>
    <w:rsid w:val="00E64E6E"/>
    <w:rsid w:val="00E656EB"/>
    <w:rsid w:val="00E65822"/>
    <w:rsid w:val="00E65947"/>
    <w:rsid w:val="00E65AFF"/>
    <w:rsid w:val="00E65D2C"/>
    <w:rsid w:val="00E65F4E"/>
    <w:rsid w:val="00E65F65"/>
    <w:rsid w:val="00E65FE3"/>
    <w:rsid w:val="00E660B7"/>
    <w:rsid w:val="00E665CA"/>
    <w:rsid w:val="00E66761"/>
    <w:rsid w:val="00E66931"/>
    <w:rsid w:val="00E66E0A"/>
    <w:rsid w:val="00E67409"/>
    <w:rsid w:val="00E67411"/>
    <w:rsid w:val="00E676C8"/>
    <w:rsid w:val="00E676F8"/>
    <w:rsid w:val="00E67A20"/>
    <w:rsid w:val="00E67D2D"/>
    <w:rsid w:val="00E67D4C"/>
    <w:rsid w:val="00E67DAE"/>
    <w:rsid w:val="00E67E58"/>
    <w:rsid w:val="00E67EDD"/>
    <w:rsid w:val="00E70040"/>
    <w:rsid w:val="00E701E8"/>
    <w:rsid w:val="00E70365"/>
    <w:rsid w:val="00E704AA"/>
    <w:rsid w:val="00E71172"/>
    <w:rsid w:val="00E7130C"/>
    <w:rsid w:val="00E7142A"/>
    <w:rsid w:val="00E7168B"/>
    <w:rsid w:val="00E719F3"/>
    <w:rsid w:val="00E71C74"/>
    <w:rsid w:val="00E71EA6"/>
    <w:rsid w:val="00E7211B"/>
    <w:rsid w:val="00E7217E"/>
    <w:rsid w:val="00E7245B"/>
    <w:rsid w:val="00E72692"/>
    <w:rsid w:val="00E72816"/>
    <w:rsid w:val="00E72E47"/>
    <w:rsid w:val="00E7309D"/>
    <w:rsid w:val="00E73B2E"/>
    <w:rsid w:val="00E73E4C"/>
    <w:rsid w:val="00E73F1E"/>
    <w:rsid w:val="00E741DA"/>
    <w:rsid w:val="00E7469B"/>
    <w:rsid w:val="00E74760"/>
    <w:rsid w:val="00E74CC5"/>
    <w:rsid w:val="00E74E09"/>
    <w:rsid w:val="00E75435"/>
    <w:rsid w:val="00E75533"/>
    <w:rsid w:val="00E7553B"/>
    <w:rsid w:val="00E75695"/>
    <w:rsid w:val="00E75710"/>
    <w:rsid w:val="00E757E7"/>
    <w:rsid w:val="00E75824"/>
    <w:rsid w:val="00E76A23"/>
    <w:rsid w:val="00E76BB2"/>
    <w:rsid w:val="00E76C4F"/>
    <w:rsid w:val="00E77303"/>
    <w:rsid w:val="00E77638"/>
    <w:rsid w:val="00E77668"/>
    <w:rsid w:val="00E77AF5"/>
    <w:rsid w:val="00E77C3B"/>
    <w:rsid w:val="00E80644"/>
    <w:rsid w:val="00E80776"/>
    <w:rsid w:val="00E809D6"/>
    <w:rsid w:val="00E80E08"/>
    <w:rsid w:val="00E80F6F"/>
    <w:rsid w:val="00E811B8"/>
    <w:rsid w:val="00E8161E"/>
    <w:rsid w:val="00E8162A"/>
    <w:rsid w:val="00E816C9"/>
    <w:rsid w:val="00E8173F"/>
    <w:rsid w:val="00E81AE3"/>
    <w:rsid w:val="00E81BF8"/>
    <w:rsid w:val="00E81D7F"/>
    <w:rsid w:val="00E8206D"/>
    <w:rsid w:val="00E821FD"/>
    <w:rsid w:val="00E82561"/>
    <w:rsid w:val="00E82A6D"/>
    <w:rsid w:val="00E82C09"/>
    <w:rsid w:val="00E8302F"/>
    <w:rsid w:val="00E8316B"/>
    <w:rsid w:val="00E834DD"/>
    <w:rsid w:val="00E8357A"/>
    <w:rsid w:val="00E83939"/>
    <w:rsid w:val="00E839CE"/>
    <w:rsid w:val="00E83B3E"/>
    <w:rsid w:val="00E83F97"/>
    <w:rsid w:val="00E84100"/>
    <w:rsid w:val="00E8419B"/>
    <w:rsid w:val="00E84278"/>
    <w:rsid w:val="00E8432F"/>
    <w:rsid w:val="00E84374"/>
    <w:rsid w:val="00E845CD"/>
    <w:rsid w:val="00E84C8F"/>
    <w:rsid w:val="00E84E0C"/>
    <w:rsid w:val="00E84ED9"/>
    <w:rsid w:val="00E85281"/>
    <w:rsid w:val="00E85560"/>
    <w:rsid w:val="00E85B19"/>
    <w:rsid w:val="00E85FCD"/>
    <w:rsid w:val="00E8678F"/>
    <w:rsid w:val="00E86846"/>
    <w:rsid w:val="00E86871"/>
    <w:rsid w:val="00E87147"/>
    <w:rsid w:val="00E9060B"/>
    <w:rsid w:val="00E906E6"/>
    <w:rsid w:val="00E906FE"/>
    <w:rsid w:val="00E90846"/>
    <w:rsid w:val="00E90C90"/>
    <w:rsid w:val="00E90D06"/>
    <w:rsid w:val="00E9135E"/>
    <w:rsid w:val="00E9148C"/>
    <w:rsid w:val="00E9154F"/>
    <w:rsid w:val="00E91BE6"/>
    <w:rsid w:val="00E92446"/>
    <w:rsid w:val="00E925CE"/>
    <w:rsid w:val="00E925FA"/>
    <w:rsid w:val="00E92AD9"/>
    <w:rsid w:val="00E92E76"/>
    <w:rsid w:val="00E934F5"/>
    <w:rsid w:val="00E935C2"/>
    <w:rsid w:val="00E93970"/>
    <w:rsid w:val="00E93A03"/>
    <w:rsid w:val="00E93A73"/>
    <w:rsid w:val="00E93AA9"/>
    <w:rsid w:val="00E93E5C"/>
    <w:rsid w:val="00E9417B"/>
    <w:rsid w:val="00E9440D"/>
    <w:rsid w:val="00E94566"/>
    <w:rsid w:val="00E9457D"/>
    <w:rsid w:val="00E9463D"/>
    <w:rsid w:val="00E94DEB"/>
    <w:rsid w:val="00E95034"/>
    <w:rsid w:val="00E951F2"/>
    <w:rsid w:val="00E952C0"/>
    <w:rsid w:val="00E953CD"/>
    <w:rsid w:val="00E954A6"/>
    <w:rsid w:val="00E9579B"/>
    <w:rsid w:val="00E95F81"/>
    <w:rsid w:val="00E9619E"/>
    <w:rsid w:val="00E9633F"/>
    <w:rsid w:val="00E96357"/>
    <w:rsid w:val="00E969E6"/>
    <w:rsid w:val="00E96DED"/>
    <w:rsid w:val="00E97399"/>
    <w:rsid w:val="00E979B7"/>
    <w:rsid w:val="00EA00AF"/>
    <w:rsid w:val="00EA0247"/>
    <w:rsid w:val="00EA0B5A"/>
    <w:rsid w:val="00EA1538"/>
    <w:rsid w:val="00EA1633"/>
    <w:rsid w:val="00EA1A0F"/>
    <w:rsid w:val="00EA1D68"/>
    <w:rsid w:val="00EA1E71"/>
    <w:rsid w:val="00EA2144"/>
    <w:rsid w:val="00EA21F7"/>
    <w:rsid w:val="00EA2A9F"/>
    <w:rsid w:val="00EA3106"/>
    <w:rsid w:val="00EA3169"/>
    <w:rsid w:val="00EA326A"/>
    <w:rsid w:val="00EA3369"/>
    <w:rsid w:val="00EA366F"/>
    <w:rsid w:val="00EA387B"/>
    <w:rsid w:val="00EA3A66"/>
    <w:rsid w:val="00EA3C1D"/>
    <w:rsid w:val="00EA3DC8"/>
    <w:rsid w:val="00EA40F2"/>
    <w:rsid w:val="00EA4168"/>
    <w:rsid w:val="00EA4782"/>
    <w:rsid w:val="00EA4F7C"/>
    <w:rsid w:val="00EA56E2"/>
    <w:rsid w:val="00EA5728"/>
    <w:rsid w:val="00EA599A"/>
    <w:rsid w:val="00EA5A15"/>
    <w:rsid w:val="00EA5F16"/>
    <w:rsid w:val="00EA6079"/>
    <w:rsid w:val="00EA60F1"/>
    <w:rsid w:val="00EA6735"/>
    <w:rsid w:val="00EA6FB4"/>
    <w:rsid w:val="00EA6FB6"/>
    <w:rsid w:val="00EA7030"/>
    <w:rsid w:val="00EA71DB"/>
    <w:rsid w:val="00EA7673"/>
    <w:rsid w:val="00EA76C6"/>
    <w:rsid w:val="00EA7700"/>
    <w:rsid w:val="00EA773A"/>
    <w:rsid w:val="00EA7950"/>
    <w:rsid w:val="00EA7AF4"/>
    <w:rsid w:val="00EA7B6D"/>
    <w:rsid w:val="00EA7CB4"/>
    <w:rsid w:val="00EB05B2"/>
    <w:rsid w:val="00EB0670"/>
    <w:rsid w:val="00EB0832"/>
    <w:rsid w:val="00EB0C22"/>
    <w:rsid w:val="00EB0D1F"/>
    <w:rsid w:val="00EB0FB2"/>
    <w:rsid w:val="00EB10F9"/>
    <w:rsid w:val="00EB1613"/>
    <w:rsid w:val="00EB1B5B"/>
    <w:rsid w:val="00EB1B5D"/>
    <w:rsid w:val="00EB1BA9"/>
    <w:rsid w:val="00EB1D73"/>
    <w:rsid w:val="00EB1DCD"/>
    <w:rsid w:val="00EB24D9"/>
    <w:rsid w:val="00EB253C"/>
    <w:rsid w:val="00EB2658"/>
    <w:rsid w:val="00EB27D6"/>
    <w:rsid w:val="00EB27F6"/>
    <w:rsid w:val="00EB29D3"/>
    <w:rsid w:val="00EB2EFB"/>
    <w:rsid w:val="00EB3462"/>
    <w:rsid w:val="00EB3748"/>
    <w:rsid w:val="00EB381E"/>
    <w:rsid w:val="00EB3A99"/>
    <w:rsid w:val="00EB3B0C"/>
    <w:rsid w:val="00EB3B4C"/>
    <w:rsid w:val="00EB41E3"/>
    <w:rsid w:val="00EB423E"/>
    <w:rsid w:val="00EB43B6"/>
    <w:rsid w:val="00EB445A"/>
    <w:rsid w:val="00EB469A"/>
    <w:rsid w:val="00EB4ABE"/>
    <w:rsid w:val="00EB58A7"/>
    <w:rsid w:val="00EB5984"/>
    <w:rsid w:val="00EB5DAB"/>
    <w:rsid w:val="00EB64A8"/>
    <w:rsid w:val="00EB66CE"/>
    <w:rsid w:val="00EB7006"/>
    <w:rsid w:val="00EB7894"/>
    <w:rsid w:val="00EC0164"/>
    <w:rsid w:val="00EC0169"/>
    <w:rsid w:val="00EC0491"/>
    <w:rsid w:val="00EC086B"/>
    <w:rsid w:val="00EC08B3"/>
    <w:rsid w:val="00EC0A45"/>
    <w:rsid w:val="00EC0CE3"/>
    <w:rsid w:val="00EC1065"/>
    <w:rsid w:val="00EC111C"/>
    <w:rsid w:val="00EC1270"/>
    <w:rsid w:val="00EC14BC"/>
    <w:rsid w:val="00EC14E6"/>
    <w:rsid w:val="00EC192E"/>
    <w:rsid w:val="00EC1B15"/>
    <w:rsid w:val="00EC1D05"/>
    <w:rsid w:val="00EC1E6B"/>
    <w:rsid w:val="00EC1FF2"/>
    <w:rsid w:val="00EC222F"/>
    <w:rsid w:val="00EC2264"/>
    <w:rsid w:val="00EC233D"/>
    <w:rsid w:val="00EC263A"/>
    <w:rsid w:val="00EC2698"/>
    <w:rsid w:val="00EC26C3"/>
    <w:rsid w:val="00EC2802"/>
    <w:rsid w:val="00EC2A40"/>
    <w:rsid w:val="00EC2C42"/>
    <w:rsid w:val="00EC2D26"/>
    <w:rsid w:val="00EC31D4"/>
    <w:rsid w:val="00EC3222"/>
    <w:rsid w:val="00EC324E"/>
    <w:rsid w:val="00EC32FA"/>
    <w:rsid w:val="00EC37F3"/>
    <w:rsid w:val="00EC3D1C"/>
    <w:rsid w:val="00EC429E"/>
    <w:rsid w:val="00EC453D"/>
    <w:rsid w:val="00EC4A38"/>
    <w:rsid w:val="00EC50B6"/>
    <w:rsid w:val="00EC530D"/>
    <w:rsid w:val="00EC5333"/>
    <w:rsid w:val="00EC5620"/>
    <w:rsid w:val="00EC569C"/>
    <w:rsid w:val="00EC5B28"/>
    <w:rsid w:val="00EC6412"/>
    <w:rsid w:val="00EC6437"/>
    <w:rsid w:val="00EC65C6"/>
    <w:rsid w:val="00EC6B06"/>
    <w:rsid w:val="00EC6CA2"/>
    <w:rsid w:val="00EC7B8D"/>
    <w:rsid w:val="00ED008E"/>
    <w:rsid w:val="00ED0396"/>
    <w:rsid w:val="00ED0631"/>
    <w:rsid w:val="00ED2035"/>
    <w:rsid w:val="00ED2273"/>
    <w:rsid w:val="00ED28D1"/>
    <w:rsid w:val="00ED28E1"/>
    <w:rsid w:val="00ED3BC5"/>
    <w:rsid w:val="00ED3D9F"/>
    <w:rsid w:val="00ED4369"/>
    <w:rsid w:val="00ED440F"/>
    <w:rsid w:val="00ED4619"/>
    <w:rsid w:val="00ED46A9"/>
    <w:rsid w:val="00ED4706"/>
    <w:rsid w:val="00ED4A28"/>
    <w:rsid w:val="00ED5028"/>
    <w:rsid w:val="00ED53DF"/>
    <w:rsid w:val="00ED56BB"/>
    <w:rsid w:val="00ED591F"/>
    <w:rsid w:val="00ED5A97"/>
    <w:rsid w:val="00ED5D58"/>
    <w:rsid w:val="00ED60EF"/>
    <w:rsid w:val="00ED61A5"/>
    <w:rsid w:val="00ED6475"/>
    <w:rsid w:val="00ED65AD"/>
    <w:rsid w:val="00ED6879"/>
    <w:rsid w:val="00ED6CF1"/>
    <w:rsid w:val="00ED7204"/>
    <w:rsid w:val="00ED739C"/>
    <w:rsid w:val="00ED75BF"/>
    <w:rsid w:val="00ED7698"/>
    <w:rsid w:val="00ED7726"/>
    <w:rsid w:val="00ED778F"/>
    <w:rsid w:val="00ED791D"/>
    <w:rsid w:val="00ED79D4"/>
    <w:rsid w:val="00ED7A21"/>
    <w:rsid w:val="00ED7E20"/>
    <w:rsid w:val="00EE016F"/>
    <w:rsid w:val="00EE0183"/>
    <w:rsid w:val="00EE1072"/>
    <w:rsid w:val="00EE12F0"/>
    <w:rsid w:val="00EE12F7"/>
    <w:rsid w:val="00EE13B0"/>
    <w:rsid w:val="00EE1571"/>
    <w:rsid w:val="00EE1A39"/>
    <w:rsid w:val="00EE1A83"/>
    <w:rsid w:val="00EE1BCA"/>
    <w:rsid w:val="00EE1D4E"/>
    <w:rsid w:val="00EE22D5"/>
    <w:rsid w:val="00EE2571"/>
    <w:rsid w:val="00EE274A"/>
    <w:rsid w:val="00EE28EE"/>
    <w:rsid w:val="00EE2CCB"/>
    <w:rsid w:val="00EE3209"/>
    <w:rsid w:val="00EE343D"/>
    <w:rsid w:val="00EE34A8"/>
    <w:rsid w:val="00EE3682"/>
    <w:rsid w:val="00EE36C9"/>
    <w:rsid w:val="00EE3806"/>
    <w:rsid w:val="00EE3CEE"/>
    <w:rsid w:val="00EE3E3E"/>
    <w:rsid w:val="00EE3E8A"/>
    <w:rsid w:val="00EE41BF"/>
    <w:rsid w:val="00EE42D9"/>
    <w:rsid w:val="00EE46BE"/>
    <w:rsid w:val="00EE49AE"/>
    <w:rsid w:val="00EE4CE2"/>
    <w:rsid w:val="00EE4DC1"/>
    <w:rsid w:val="00EE5109"/>
    <w:rsid w:val="00EE510B"/>
    <w:rsid w:val="00EE55E7"/>
    <w:rsid w:val="00EE58BB"/>
    <w:rsid w:val="00EE5C9C"/>
    <w:rsid w:val="00EE5F67"/>
    <w:rsid w:val="00EE5F85"/>
    <w:rsid w:val="00EE60A8"/>
    <w:rsid w:val="00EE6556"/>
    <w:rsid w:val="00EE6666"/>
    <w:rsid w:val="00EE6810"/>
    <w:rsid w:val="00EE6862"/>
    <w:rsid w:val="00EE69DA"/>
    <w:rsid w:val="00EE6BD5"/>
    <w:rsid w:val="00EE7453"/>
    <w:rsid w:val="00EE7AE6"/>
    <w:rsid w:val="00EE7B11"/>
    <w:rsid w:val="00EE7B24"/>
    <w:rsid w:val="00EE7C3F"/>
    <w:rsid w:val="00EF0019"/>
    <w:rsid w:val="00EF0034"/>
    <w:rsid w:val="00EF0D0A"/>
    <w:rsid w:val="00EF15F4"/>
    <w:rsid w:val="00EF163B"/>
    <w:rsid w:val="00EF165B"/>
    <w:rsid w:val="00EF1752"/>
    <w:rsid w:val="00EF18F9"/>
    <w:rsid w:val="00EF19DE"/>
    <w:rsid w:val="00EF1B82"/>
    <w:rsid w:val="00EF2085"/>
    <w:rsid w:val="00EF2227"/>
    <w:rsid w:val="00EF29B5"/>
    <w:rsid w:val="00EF2C44"/>
    <w:rsid w:val="00EF3454"/>
    <w:rsid w:val="00EF358C"/>
    <w:rsid w:val="00EF37BC"/>
    <w:rsid w:val="00EF3C0C"/>
    <w:rsid w:val="00EF3D67"/>
    <w:rsid w:val="00EF4225"/>
    <w:rsid w:val="00EF4385"/>
    <w:rsid w:val="00EF43A1"/>
    <w:rsid w:val="00EF4C1C"/>
    <w:rsid w:val="00EF4C58"/>
    <w:rsid w:val="00EF53C1"/>
    <w:rsid w:val="00EF546C"/>
    <w:rsid w:val="00EF573F"/>
    <w:rsid w:val="00EF5BBE"/>
    <w:rsid w:val="00EF6032"/>
    <w:rsid w:val="00EF6283"/>
    <w:rsid w:val="00EF6321"/>
    <w:rsid w:val="00EF666D"/>
    <w:rsid w:val="00EF6E33"/>
    <w:rsid w:val="00EF7338"/>
    <w:rsid w:val="00EF76D9"/>
    <w:rsid w:val="00EF790F"/>
    <w:rsid w:val="00EF7AD2"/>
    <w:rsid w:val="00EF7E3C"/>
    <w:rsid w:val="00F005F8"/>
    <w:rsid w:val="00F0072F"/>
    <w:rsid w:val="00F00A26"/>
    <w:rsid w:val="00F00C69"/>
    <w:rsid w:val="00F00CBC"/>
    <w:rsid w:val="00F00D6B"/>
    <w:rsid w:val="00F01080"/>
    <w:rsid w:val="00F01F05"/>
    <w:rsid w:val="00F0265A"/>
    <w:rsid w:val="00F026FD"/>
    <w:rsid w:val="00F028E5"/>
    <w:rsid w:val="00F02D40"/>
    <w:rsid w:val="00F032FB"/>
    <w:rsid w:val="00F03335"/>
    <w:rsid w:val="00F034C8"/>
    <w:rsid w:val="00F03508"/>
    <w:rsid w:val="00F03BA3"/>
    <w:rsid w:val="00F03E4F"/>
    <w:rsid w:val="00F03E61"/>
    <w:rsid w:val="00F03FAB"/>
    <w:rsid w:val="00F0423B"/>
    <w:rsid w:val="00F04657"/>
    <w:rsid w:val="00F0474A"/>
    <w:rsid w:val="00F047F6"/>
    <w:rsid w:val="00F049C8"/>
    <w:rsid w:val="00F04CF8"/>
    <w:rsid w:val="00F05719"/>
    <w:rsid w:val="00F057E3"/>
    <w:rsid w:val="00F05BD9"/>
    <w:rsid w:val="00F06106"/>
    <w:rsid w:val="00F06A65"/>
    <w:rsid w:val="00F06D45"/>
    <w:rsid w:val="00F06E37"/>
    <w:rsid w:val="00F0765D"/>
    <w:rsid w:val="00F078BE"/>
    <w:rsid w:val="00F0795C"/>
    <w:rsid w:val="00F07BC8"/>
    <w:rsid w:val="00F07C57"/>
    <w:rsid w:val="00F07E19"/>
    <w:rsid w:val="00F10251"/>
    <w:rsid w:val="00F106BB"/>
    <w:rsid w:val="00F1087F"/>
    <w:rsid w:val="00F10CD4"/>
    <w:rsid w:val="00F10D20"/>
    <w:rsid w:val="00F10E89"/>
    <w:rsid w:val="00F11190"/>
    <w:rsid w:val="00F111B0"/>
    <w:rsid w:val="00F116E1"/>
    <w:rsid w:val="00F11DC7"/>
    <w:rsid w:val="00F12034"/>
    <w:rsid w:val="00F12359"/>
    <w:rsid w:val="00F127FB"/>
    <w:rsid w:val="00F12876"/>
    <w:rsid w:val="00F1292D"/>
    <w:rsid w:val="00F13110"/>
    <w:rsid w:val="00F1320E"/>
    <w:rsid w:val="00F133D7"/>
    <w:rsid w:val="00F133FB"/>
    <w:rsid w:val="00F1369E"/>
    <w:rsid w:val="00F13960"/>
    <w:rsid w:val="00F13C13"/>
    <w:rsid w:val="00F14059"/>
    <w:rsid w:val="00F14412"/>
    <w:rsid w:val="00F14761"/>
    <w:rsid w:val="00F148BF"/>
    <w:rsid w:val="00F1496C"/>
    <w:rsid w:val="00F14B57"/>
    <w:rsid w:val="00F14C2C"/>
    <w:rsid w:val="00F14E6C"/>
    <w:rsid w:val="00F14E95"/>
    <w:rsid w:val="00F1511F"/>
    <w:rsid w:val="00F15143"/>
    <w:rsid w:val="00F152A6"/>
    <w:rsid w:val="00F15539"/>
    <w:rsid w:val="00F15712"/>
    <w:rsid w:val="00F1591A"/>
    <w:rsid w:val="00F15C13"/>
    <w:rsid w:val="00F16562"/>
    <w:rsid w:val="00F177C2"/>
    <w:rsid w:val="00F177EE"/>
    <w:rsid w:val="00F17CBF"/>
    <w:rsid w:val="00F2018E"/>
    <w:rsid w:val="00F2019E"/>
    <w:rsid w:val="00F209BC"/>
    <w:rsid w:val="00F210A7"/>
    <w:rsid w:val="00F21173"/>
    <w:rsid w:val="00F21329"/>
    <w:rsid w:val="00F2143B"/>
    <w:rsid w:val="00F21D35"/>
    <w:rsid w:val="00F21E0B"/>
    <w:rsid w:val="00F22075"/>
    <w:rsid w:val="00F22220"/>
    <w:rsid w:val="00F222AC"/>
    <w:rsid w:val="00F22700"/>
    <w:rsid w:val="00F2315E"/>
    <w:rsid w:val="00F2332A"/>
    <w:rsid w:val="00F236BA"/>
    <w:rsid w:val="00F236DF"/>
    <w:rsid w:val="00F23722"/>
    <w:rsid w:val="00F23AC6"/>
    <w:rsid w:val="00F244B7"/>
    <w:rsid w:val="00F24CEB"/>
    <w:rsid w:val="00F251C6"/>
    <w:rsid w:val="00F251DE"/>
    <w:rsid w:val="00F25237"/>
    <w:rsid w:val="00F2533E"/>
    <w:rsid w:val="00F25534"/>
    <w:rsid w:val="00F25786"/>
    <w:rsid w:val="00F2595B"/>
    <w:rsid w:val="00F25DDE"/>
    <w:rsid w:val="00F25EDB"/>
    <w:rsid w:val="00F26016"/>
    <w:rsid w:val="00F26109"/>
    <w:rsid w:val="00F2621D"/>
    <w:rsid w:val="00F26320"/>
    <w:rsid w:val="00F263C4"/>
    <w:rsid w:val="00F26A86"/>
    <w:rsid w:val="00F26B3E"/>
    <w:rsid w:val="00F26ECC"/>
    <w:rsid w:val="00F278BD"/>
    <w:rsid w:val="00F27B05"/>
    <w:rsid w:val="00F27DCF"/>
    <w:rsid w:val="00F30188"/>
    <w:rsid w:val="00F306FD"/>
    <w:rsid w:val="00F308FD"/>
    <w:rsid w:val="00F30FE3"/>
    <w:rsid w:val="00F3115D"/>
    <w:rsid w:val="00F3124C"/>
    <w:rsid w:val="00F312CD"/>
    <w:rsid w:val="00F32080"/>
    <w:rsid w:val="00F3258E"/>
    <w:rsid w:val="00F32BD5"/>
    <w:rsid w:val="00F32D04"/>
    <w:rsid w:val="00F32D99"/>
    <w:rsid w:val="00F3304E"/>
    <w:rsid w:val="00F3305F"/>
    <w:rsid w:val="00F337FB"/>
    <w:rsid w:val="00F3387C"/>
    <w:rsid w:val="00F33997"/>
    <w:rsid w:val="00F33B71"/>
    <w:rsid w:val="00F33FB4"/>
    <w:rsid w:val="00F3405B"/>
    <w:rsid w:val="00F34291"/>
    <w:rsid w:val="00F34BC8"/>
    <w:rsid w:val="00F34D13"/>
    <w:rsid w:val="00F34D60"/>
    <w:rsid w:val="00F35208"/>
    <w:rsid w:val="00F35676"/>
    <w:rsid w:val="00F356CE"/>
    <w:rsid w:val="00F35A5B"/>
    <w:rsid w:val="00F36275"/>
    <w:rsid w:val="00F3649A"/>
    <w:rsid w:val="00F365C2"/>
    <w:rsid w:val="00F366A6"/>
    <w:rsid w:val="00F36847"/>
    <w:rsid w:val="00F3688C"/>
    <w:rsid w:val="00F36B70"/>
    <w:rsid w:val="00F36BDF"/>
    <w:rsid w:val="00F36D5C"/>
    <w:rsid w:val="00F36E6F"/>
    <w:rsid w:val="00F37324"/>
    <w:rsid w:val="00F37373"/>
    <w:rsid w:val="00F374EF"/>
    <w:rsid w:val="00F37A16"/>
    <w:rsid w:val="00F4036A"/>
    <w:rsid w:val="00F407EB"/>
    <w:rsid w:val="00F41445"/>
    <w:rsid w:val="00F414E7"/>
    <w:rsid w:val="00F414EB"/>
    <w:rsid w:val="00F415D8"/>
    <w:rsid w:val="00F41814"/>
    <w:rsid w:val="00F4189F"/>
    <w:rsid w:val="00F41B53"/>
    <w:rsid w:val="00F41B59"/>
    <w:rsid w:val="00F41BD3"/>
    <w:rsid w:val="00F41F99"/>
    <w:rsid w:val="00F42167"/>
    <w:rsid w:val="00F422FB"/>
    <w:rsid w:val="00F425F4"/>
    <w:rsid w:val="00F42ADB"/>
    <w:rsid w:val="00F42F6A"/>
    <w:rsid w:val="00F432EB"/>
    <w:rsid w:val="00F43B3C"/>
    <w:rsid w:val="00F43DEA"/>
    <w:rsid w:val="00F43F29"/>
    <w:rsid w:val="00F43FA5"/>
    <w:rsid w:val="00F449CF"/>
    <w:rsid w:val="00F44C92"/>
    <w:rsid w:val="00F45390"/>
    <w:rsid w:val="00F45BE8"/>
    <w:rsid w:val="00F45FBB"/>
    <w:rsid w:val="00F46031"/>
    <w:rsid w:val="00F46111"/>
    <w:rsid w:val="00F461A8"/>
    <w:rsid w:val="00F46B5F"/>
    <w:rsid w:val="00F47091"/>
    <w:rsid w:val="00F47668"/>
    <w:rsid w:val="00F476CC"/>
    <w:rsid w:val="00F47E7D"/>
    <w:rsid w:val="00F47F63"/>
    <w:rsid w:val="00F50488"/>
    <w:rsid w:val="00F50770"/>
    <w:rsid w:val="00F5088D"/>
    <w:rsid w:val="00F50961"/>
    <w:rsid w:val="00F50CA5"/>
    <w:rsid w:val="00F51312"/>
    <w:rsid w:val="00F514F7"/>
    <w:rsid w:val="00F51728"/>
    <w:rsid w:val="00F517C7"/>
    <w:rsid w:val="00F51923"/>
    <w:rsid w:val="00F521C1"/>
    <w:rsid w:val="00F5220A"/>
    <w:rsid w:val="00F52B86"/>
    <w:rsid w:val="00F52F7B"/>
    <w:rsid w:val="00F53037"/>
    <w:rsid w:val="00F5304E"/>
    <w:rsid w:val="00F53684"/>
    <w:rsid w:val="00F53D40"/>
    <w:rsid w:val="00F53E7C"/>
    <w:rsid w:val="00F54057"/>
    <w:rsid w:val="00F54654"/>
    <w:rsid w:val="00F5487A"/>
    <w:rsid w:val="00F5571C"/>
    <w:rsid w:val="00F55C78"/>
    <w:rsid w:val="00F55CE4"/>
    <w:rsid w:val="00F55E46"/>
    <w:rsid w:val="00F55FFB"/>
    <w:rsid w:val="00F56217"/>
    <w:rsid w:val="00F5622E"/>
    <w:rsid w:val="00F562EB"/>
    <w:rsid w:val="00F5661C"/>
    <w:rsid w:val="00F56D06"/>
    <w:rsid w:val="00F56FFC"/>
    <w:rsid w:val="00F5704A"/>
    <w:rsid w:val="00F57087"/>
    <w:rsid w:val="00F57134"/>
    <w:rsid w:val="00F5745B"/>
    <w:rsid w:val="00F57E09"/>
    <w:rsid w:val="00F57E4B"/>
    <w:rsid w:val="00F57FB6"/>
    <w:rsid w:val="00F600EF"/>
    <w:rsid w:val="00F6021C"/>
    <w:rsid w:val="00F602BF"/>
    <w:rsid w:val="00F605FE"/>
    <w:rsid w:val="00F6065A"/>
    <w:rsid w:val="00F60CAC"/>
    <w:rsid w:val="00F60D64"/>
    <w:rsid w:val="00F613B0"/>
    <w:rsid w:val="00F61612"/>
    <w:rsid w:val="00F6162F"/>
    <w:rsid w:val="00F618AA"/>
    <w:rsid w:val="00F61E8A"/>
    <w:rsid w:val="00F6212D"/>
    <w:rsid w:val="00F6289D"/>
    <w:rsid w:val="00F62B59"/>
    <w:rsid w:val="00F63305"/>
    <w:rsid w:val="00F6357F"/>
    <w:rsid w:val="00F638B8"/>
    <w:rsid w:val="00F63C16"/>
    <w:rsid w:val="00F643A8"/>
    <w:rsid w:val="00F64437"/>
    <w:rsid w:val="00F64813"/>
    <w:rsid w:val="00F64E42"/>
    <w:rsid w:val="00F65052"/>
    <w:rsid w:val="00F6572C"/>
    <w:rsid w:val="00F658A7"/>
    <w:rsid w:val="00F65A85"/>
    <w:rsid w:val="00F65CD4"/>
    <w:rsid w:val="00F66392"/>
    <w:rsid w:val="00F665A0"/>
    <w:rsid w:val="00F6669F"/>
    <w:rsid w:val="00F666B8"/>
    <w:rsid w:val="00F66ADB"/>
    <w:rsid w:val="00F66AE2"/>
    <w:rsid w:val="00F66B46"/>
    <w:rsid w:val="00F66D61"/>
    <w:rsid w:val="00F66E45"/>
    <w:rsid w:val="00F673FA"/>
    <w:rsid w:val="00F6741E"/>
    <w:rsid w:val="00F67819"/>
    <w:rsid w:val="00F67C39"/>
    <w:rsid w:val="00F70141"/>
    <w:rsid w:val="00F7022A"/>
    <w:rsid w:val="00F704B5"/>
    <w:rsid w:val="00F70E23"/>
    <w:rsid w:val="00F71388"/>
    <w:rsid w:val="00F714B2"/>
    <w:rsid w:val="00F7169D"/>
    <w:rsid w:val="00F7177B"/>
    <w:rsid w:val="00F71C65"/>
    <w:rsid w:val="00F71FDA"/>
    <w:rsid w:val="00F725AA"/>
    <w:rsid w:val="00F728D2"/>
    <w:rsid w:val="00F729C4"/>
    <w:rsid w:val="00F73033"/>
    <w:rsid w:val="00F73BE5"/>
    <w:rsid w:val="00F743EF"/>
    <w:rsid w:val="00F74703"/>
    <w:rsid w:val="00F7495E"/>
    <w:rsid w:val="00F74D99"/>
    <w:rsid w:val="00F74F8B"/>
    <w:rsid w:val="00F754AD"/>
    <w:rsid w:val="00F758EC"/>
    <w:rsid w:val="00F76346"/>
    <w:rsid w:val="00F76388"/>
    <w:rsid w:val="00F76406"/>
    <w:rsid w:val="00F766E1"/>
    <w:rsid w:val="00F76866"/>
    <w:rsid w:val="00F768A7"/>
    <w:rsid w:val="00F76C33"/>
    <w:rsid w:val="00F7712F"/>
    <w:rsid w:val="00F77940"/>
    <w:rsid w:val="00F77BEE"/>
    <w:rsid w:val="00F77D36"/>
    <w:rsid w:val="00F77F6A"/>
    <w:rsid w:val="00F800BA"/>
    <w:rsid w:val="00F806C0"/>
    <w:rsid w:val="00F80765"/>
    <w:rsid w:val="00F8091B"/>
    <w:rsid w:val="00F810D9"/>
    <w:rsid w:val="00F8133B"/>
    <w:rsid w:val="00F816EF"/>
    <w:rsid w:val="00F822BF"/>
    <w:rsid w:val="00F82872"/>
    <w:rsid w:val="00F8292F"/>
    <w:rsid w:val="00F83025"/>
    <w:rsid w:val="00F83123"/>
    <w:rsid w:val="00F83400"/>
    <w:rsid w:val="00F83637"/>
    <w:rsid w:val="00F83941"/>
    <w:rsid w:val="00F83949"/>
    <w:rsid w:val="00F83A31"/>
    <w:rsid w:val="00F83A90"/>
    <w:rsid w:val="00F83C8E"/>
    <w:rsid w:val="00F83EA1"/>
    <w:rsid w:val="00F83EC1"/>
    <w:rsid w:val="00F84097"/>
    <w:rsid w:val="00F84D99"/>
    <w:rsid w:val="00F84F25"/>
    <w:rsid w:val="00F856C3"/>
    <w:rsid w:val="00F85793"/>
    <w:rsid w:val="00F8584F"/>
    <w:rsid w:val="00F85E8D"/>
    <w:rsid w:val="00F86448"/>
    <w:rsid w:val="00F86841"/>
    <w:rsid w:val="00F868A8"/>
    <w:rsid w:val="00F8699F"/>
    <w:rsid w:val="00F86B98"/>
    <w:rsid w:val="00F86C7A"/>
    <w:rsid w:val="00F86CAB"/>
    <w:rsid w:val="00F86CF3"/>
    <w:rsid w:val="00F86E65"/>
    <w:rsid w:val="00F8719D"/>
    <w:rsid w:val="00F87270"/>
    <w:rsid w:val="00F87822"/>
    <w:rsid w:val="00F87929"/>
    <w:rsid w:val="00F87DAA"/>
    <w:rsid w:val="00F87E9E"/>
    <w:rsid w:val="00F90233"/>
    <w:rsid w:val="00F90473"/>
    <w:rsid w:val="00F904E1"/>
    <w:rsid w:val="00F90E2E"/>
    <w:rsid w:val="00F90EE0"/>
    <w:rsid w:val="00F90FE5"/>
    <w:rsid w:val="00F911BC"/>
    <w:rsid w:val="00F911BF"/>
    <w:rsid w:val="00F91399"/>
    <w:rsid w:val="00F916AF"/>
    <w:rsid w:val="00F91C2A"/>
    <w:rsid w:val="00F91F80"/>
    <w:rsid w:val="00F9283C"/>
    <w:rsid w:val="00F93478"/>
    <w:rsid w:val="00F93758"/>
    <w:rsid w:val="00F941EC"/>
    <w:rsid w:val="00F942E6"/>
    <w:rsid w:val="00F9456F"/>
    <w:rsid w:val="00F94629"/>
    <w:rsid w:val="00F952CB"/>
    <w:rsid w:val="00F9550B"/>
    <w:rsid w:val="00F95A9D"/>
    <w:rsid w:val="00F95C5F"/>
    <w:rsid w:val="00F95EFE"/>
    <w:rsid w:val="00F96E48"/>
    <w:rsid w:val="00F970F2"/>
    <w:rsid w:val="00F971A8"/>
    <w:rsid w:val="00F97399"/>
    <w:rsid w:val="00F97484"/>
    <w:rsid w:val="00F9748B"/>
    <w:rsid w:val="00F97B1F"/>
    <w:rsid w:val="00F97DC2"/>
    <w:rsid w:val="00FA0589"/>
    <w:rsid w:val="00FA063D"/>
    <w:rsid w:val="00FA08BF"/>
    <w:rsid w:val="00FA0A1F"/>
    <w:rsid w:val="00FA0DD5"/>
    <w:rsid w:val="00FA198B"/>
    <w:rsid w:val="00FA19B1"/>
    <w:rsid w:val="00FA1B46"/>
    <w:rsid w:val="00FA1E42"/>
    <w:rsid w:val="00FA2130"/>
    <w:rsid w:val="00FA21D8"/>
    <w:rsid w:val="00FA2562"/>
    <w:rsid w:val="00FA27C6"/>
    <w:rsid w:val="00FA2E15"/>
    <w:rsid w:val="00FA2E71"/>
    <w:rsid w:val="00FA2F81"/>
    <w:rsid w:val="00FA301F"/>
    <w:rsid w:val="00FA3451"/>
    <w:rsid w:val="00FA350B"/>
    <w:rsid w:val="00FA3BAA"/>
    <w:rsid w:val="00FA3CBC"/>
    <w:rsid w:val="00FA3CFC"/>
    <w:rsid w:val="00FA3DB4"/>
    <w:rsid w:val="00FA40AA"/>
    <w:rsid w:val="00FA4183"/>
    <w:rsid w:val="00FA420C"/>
    <w:rsid w:val="00FA4434"/>
    <w:rsid w:val="00FA48D6"/>
    <w:rsid w:val="00FA5265"/>
    <w:rsid w:val="00FA5297"/>
    <w:rsid w:val="00FA535D"/>
    <w:rsid w:val="00FA5858"/>
    <w:rsid w:val="00FA5A7B"/>
    <w:rsid w:val="00FA5D74"/>
    <w:rsid w:val="00FA5E03"/>
    <w:rsid w:val="00FA6112"/>
    <w:rsid w:val="00FA63A9"/>
    <w:rsid w:val="00FA65E9"/>
    <w:rsid w:val="00FA6914"/>
    <w:rsid w:val="00FA6F86"/>
    <w:rsid w:val="00FA7228"/>
    <w:rsid w:val="00FA74A1"/>
    <w:rsid w:val="00FA75D2"/>
    <w:rsid w:val="00FA76FB"/>
    <w:rsid w:val="00FA78BA"/>
    <w:rsid w:val="00FA7C7F"/>
    <w:rsid w:val="00FA7F1A"/>
    <w:rsid w:val="00FB0055"/>
    <w:rsid w:val="00FB02AE"/>
    <w:rsid w:val="00FB02CD"/>
    <w:rsid w:val="00FB04A4"/>
    <w:rsid w:val="00FB0739"/>
    <w:rsid w:val="00FB07DD"/>
    <w:rsid w:val="00FB0865"/>
    <w:rsid w:val="00FB0CC1"/>
    <w:rsid w:val="00FB0F60"/>
    <w:rsid w:val="00FB0FB2"/>
    <w:rsid w:val="00FB19DA"/>
    <w:rsid w:val="00FB1F94"/>
    <w:rsid w:val="00FB1FCF"/>
    <w:rsid w:val="00FB2091"/>
    <w:rsid w:val="00FB21B1"/>
    <w:rsid w:val="00FB24C1"/>
    <w:rsid w:val="00FB24FC"/>
    <w:rsid w:val="00FB2688"/>
    <w:rsid w:val="00FB2B7D"/>
    <w:rsid w:val="00FB2D98"/>
    <w:rsid w:val="00FB2E73"/>
    <w:rsid w:val="00FB310D"/>
    <w:rsid w:val="00FB336F"/>
    <w:rsid w:val="00FB3794"/>
    <w:rsid w:val="00FB3961"/>
    <w:rsid w:val="00FB3D4D"/>
    <w:rsid w:val="00FB3DB8"/>
    <w:rsid w:val="00FB43A1"/>
    <w:rsid w:val="00FB456D"/>
    <w:rsid w:val="00FB4797"/>
    <w:rsid w:val="00FB49FE"/>
    <w:rsid w:val="00FB4F4D"/>
    <w:rsid w:val="00FB4F64"/>
    <w:rsid w:val="00FB50D7"/>
    <w:rsid w:val="00FB5610"/>
    <w:rsid w:val="00FB5872"/>
    <w:rsid w:val="00FB5928"/>
    <w:rsid w:val="00FB5995"/>
    <w:rsid w:val="00FB5D8E"/>
    <w:rsid w:val="00FB5DA8"/>
    <w:rsid w:val="00FB6326"/>
    <w:rsid w:val="00FB6490"/>
    <w:rsid w:val="00FB683B"/>
    <w:rsid w:val="00FB6BEA"/>
    <w:rsid w:val="00FB6D64"/>
    <w:rsid w:val="00FB713E"/>
    <w:rsid w:val="00FB723F"/>
    <w:rsid w:val="00FB73A5"/>
    <w:rsid w:val="00FB7A28"/>
    <w:rsid w:val="00FB7C41"/>
    <w:rsid w:val="00FB7FE2"/>
    <w:rsid w:val="00FC0389"/>
    <w:rsid w:val="00FC0678"/>
    <w:rsid w:val="00FC0F98"/>
    <w:rsid w:val="00FC1037"/>
    <w:rsid w:val="00FC10E3"/>
    <w:rsid w:val="00FC11D8"/>
    <w:rsid w:val="00FC1793"/>
    <w:rsid w:val="00FC1BEC"/>
    <w:rsid w:val="00FC1C3E"/>
    <w:rsid w:val="00FC24F2"/>
    <w:rsid w:val="00FC26B7"/>
    <w:rsid w:val="00FC2893"/>
    <w:rsid w:val="00FC28EA"/>
    <w:rsid w:val="00FC2A72"/>
    <w:rsid w:val="00FC3183"/>
    <w:rsid w:val="00FC3623"/>
    <w:rsid w:val="00FC3687"/>
    <w:rsid w:val="00FC3882"/>
    <w:rsid w:val="00FC3A35"/>
    <w:rsid w:val="00FC3E9D"/>
    <w:rsid w:val="00FC3FA1"/>
    <w:rsid w:val="00FC3FA7"/>
    <w:rsid w:val="00FC4057"/>
    <w:rsid w:val="00FC423A"/>
    <w:rsid w:val="00FC451C"/>
    <w:rsid w:val="00FC4804"/>
    <w:rsid w:val="00FC48F4"/>
    <w:rsid w:val="00FC4C27"/>
    <w:rsid w:val="00FC4D18"/>
    <w:rsid w:val="00FC506E"/>
    <w:rsid w:val="00FC5091"/>
    <w:rsid w:val="00FC5103"/>
    <w:rsid w:val="00FC519E"/>
    <w:rsid w:val="00FC5479"/>
    <w:rsid w:val="00FC5805"/>
    <w:rsid w:val="00FC58E0"/>
    <w:rsid w:val="00FC5C37"/>
    <w:rsid w:val="00FC608C"/>
    <w:rsid w:val="00FC61C7"/>
    <w:rsid w:val="00FC6383"/>
    <w:rsid w:val="00FC67B3"/>
    <w:rsid w:val="00FC698D"/>
    <w:rsid w:val="00FC6DF1"/>
    <w:rsid w:val="00FC6F76"/>
    <w:rsid w:val="00FC732F"/>
    <w:rsid w:val="00FC7414"/>
    <w:rsid w:val="00FC7870"/>
    <w:rsid w:val="00FC7987"/>
    <w:rsid w:val="00FC7B6E"/>
    <w:rsid w:val="00FD014F"/>
    <w:rsid w:val="00FD0799"/>
    <w:rsid w:val="00FD0F7B"/>
    <w:rsid w:val="00FD110C"/>
    <w:rsid w:val="00FD12D4"/>
    <w:rsid w:val="00FD18CA"/>
    <w:rsid w:val="00FD19FF"/>
    <w:rsid w:val="00FD1A39"/>
    <w:rsid w:val="00FD1B7D"/>
    <w:rsid w:val="00FD1F92"/>
    <w:rsid w:val="00FD2162"/>
    <w:rsid w:val="00FD2403"/>
    <w:rsid w:val="00FD266B"/>
    <w:rsid w:val="00FD297D"/>
    <w:rsid w:val="00FD2986"/>
    <w:rsid w:val="00FD2C90"/>
    <w:rsid w:val="00FD2F42"/>
    <w:rsid w:val="00FD34B7"/>
    <w:rsid w:val="00FD3B3B"/>
    <w:rsid w:val="00FD3B91"/>
    <w:rsid w:val="00FD3CBD"/>
    <w:rsid w:val="00FD3F3C"/>
    <w:rsid w:val="00FD3FBD"/>
    <w:rsid w:val="00FD43C7"/>
    <w:rsid w:val="00FD450B"/>
    <w:rsid w:val="00FD4663"/>
    <w:rsid w:val="00FD4678"/>
    <w:rsid w:val="00FD4777"/>
    <w:rsid w:val="00FD4798"/>
    <w:rsid w:val="00FD47A3"/>
    <w:rsid w:val="00FD4E6A"/>
    <w:rsid w:val="00FD5035"/>
    <w:rsid w:val="00FD5136"/>
    <w:rsid w:val="00FD515D"/>
    <w:rsid w:val="00FD528F"/>
    <w:rsid w:val="00FD54F4"/>
    <w:rsid w:val="00FD55B3"/>
    <w:rsid w:val="00FD5750"/>
    <w:rsid w:val="00FD58AC"/>
    <w:rsid w:val="00FD5980"/>
    <w:rsid w:val="00FD59E4"/>
    <w:rsid w:val="00FD5B38"/>
    <w:rsid w:val="00FD5B5D"/>
    <w:rsid w:val="00FD5B8C"/>
    <w:rsid w:val="00FD5CCA"/>
    <w:rsid w:val="00FD62B8"/>
    <w:rsid w:val="00FD66D7"/>
    <w:rsid w:val="00FD6AF2"/>
    <w:rsid w:val="00FD72EA"/>
    <w:rsid w:val="00FD740D"/>
    <w:rsid w:val="00FD7461"/>
    <w:rsid w:val="00FD759C"/>
    <w:rsid w:val="00FD79B0"/>
    <w:rsid w:val="00FD7C7F"/>
    <w:rsid w:val="00FD7D79"/>
    <w:rsid w:val="00FE0214"/>
    <w:rsid w:val="00FE026C"/>
    <w:rsid w:val="00FE08BD"/>
    <w:rsid w:val="00FE08E8"/>
    <w:rsid w:val="00FE092C"/>
    <w:rsid w:val="00FE099A"/>
    <w:rsid w:val="00FE1165"/>
    <w:rsid w:val="00FE14DF"/>
    <w:rsid w:val="00FE1A00"/>
    <w:rsid w:val="00FE236E"/>
    <w:rsid w:val="00FE2515"/>
    <w:rsid w:val="00FE2648"/>
    <w:rsid w:val="00FE2974"/>
    <w:rsid w:val="00FE2B45"/>
    <w:rsid w:val="00FE2B99"/>
    <w:rsid w:val="00FE3005"/>
    <w:rsid w:val="00FE333A"/>
    <w:rsid w:val="00FE3350"/>
    <w:rsid w:val="00FE3B7A"/>
    <w:rsid w:val="00FE40A0"/>
    <w:rsid w:val="00FE413F"/>
    <w:rsid w:val="00FE43DC"/>
    <w:rsid w:val="00FE459C"/>
    <w:rsid w:val="00FE4A50"/>
    <w:rsid w:val="00FE4B3F"/>
    <w:rsid w:val="00FE4BCE"/>
    <w:rsid w:val="00FE58DC"/>
    <w:rsid w:val="00FE5AB7"/>
    <w:rsid w:val="00FE5E2F"/>
    <w:rsid w:val="00FE6630"/>
    <w:rsid w:val="00FE68F8"/>
    <w:rsid w:val="00FE6BD2"/>
    <w:rsid w:val="00FE6C7A"/>
    <w:rsid w:val="00FE6D6D"/>
    <w:rsid w:val="00FE7183"/>
    <w:rsid w:val="00FE7564"/>
    <w:rsid w:val="00FE75E5"/>
    <w:rsid w:val="00FE7F13"/>
    <w:rsid w:val="00FF0288"/>
    <w:rsid w:val="00FF0AF4"/>
    <w:rsid w:val="00FF0B7F"/>
    <w:rsid w:val="00FF0BC1"/>
    <w:rsid w:val="00FF10C0"/>
    <w:rsid w:val="00FF1335"/>
    <w:rsid w:val="00FF1A5B"/>
    <w:rsid w:val="00FF1CBC"/>
    <w:rsid w:val="00FF1D1C"/>
    <w:rsid w:val="00FF1D42"/>
    <w:rsid w:val="00FF1EDB"/>
    <w:rsid w:val="00FF1EDD"/>
    <w:rsid w:val="00FF24DF"/>
    <w:rsid w:val="00FF2801"/>
    <w:rsid w:val="00FF2829"/>
    <w:rsid w:val="00FF3288"/>
    <w:rsid w:val="00FF3652"/>
    <w:rsid w:val="00FF3C0C"/>
    <w:rsid w:val="00FF4DCF"/>
    <w:rsid w:val="00FF54FB"/>
    <w:rsid w:val="00FF5868"/>
    <w:rsid w:val="00FF58CB"/>
    <w:rsid w:val="00FF5C26"/>
    <w:rsid w:val="00FF6242"/>
    <w:rsid w:val="00FF6423"/>
    <w:rsid w:val="00FF6543"/>
    <w:rsid w:val="00FF6739"/>
    <w:rsid w:val="00FF6992"/>
    <w:rsid w:val="00FF6B27"/>
    <w:rsid w:val="00FF6D32"/>
    <w:rsid w:val="00FF6DD5"/>
    <w:rsid w:val="00FF70C6"/>
    <w:rsid w:val="00FF7193"/>
    <w:rsid w:val="00FF71AC"/>
    <w:rsid w:val="00FF7444"/>
    <w:rsid w:val="00FF7699"/>
    <w:rsid w:val="00FF77B6"/>
    <w:rsid w:val="00FF77DC"/>
    <w:rsid w:val="00FF7D8C"/>
    <w:rsid w:val="010B18CA"/>
    <w:rsid w:val="010D5221"/>
    <w:rsid w:val="0110B035"/>
    <w:rsid w:val="011E1475"/>
    <w:rsid w:val="0125808E"/>
    <w:rsid w:val="0130B956"/>
    <w:rsid w:val="0154B4DE"/>
    <w:rsid w:val="01660ADE"/>
    <w:rsid w:val="017E7EE1"/>
    <w:rsid w:val="01C40D91"/>
    <w:rsid w:val="01CAF200"/>
    <w:rsid w:val="01EB24EE"/>
    <w:rsid w:val="02026231"/>
    <w:rsid w:val="02076221"/>
    <w:rsid w:val="02151E22"/>
    <w:rsid w:val="0239507D"/>
    <w:rsid w:val="023AB636"/>
    <w:rsid w:val="02671E31"/>
    <w:rsid w:val="0271EEBC"/>
    <w:rsid w:val="02764A9A"/>
    <w:rsid w:val="02B4C7EB"/>
    <w:rsid w:val="02B82A64"/>
    <w:rsid w:val="02D949F8"/>
    <w:rsid w:val="02DB9D39"/>
    <w:rsid w:val="02E268F7"/>
    <w:rsid w:val="02E3A987"/>
    <w:rsid w:val="02EF4861"/>
    <w:rsid w:val="02EFC2F0"/>
    <w:rsid w:val="02FEC789"/>
    <w:rsid w:val="030EDC41"/>
    <w:rsid w:val="03237333"/>
    <w:rsid w:val="03246177"/>
    <w:rsid w:val="034BFA48"/>
    <w:rsid w:val="034CA515"/>
    <w:rsid w:val="03522AEB"/>
    <w:rsid w:val="0360CE57"/>
    <w:rsid w:val="0363DF8D"/>
    <w:rsid w:val="0365F602"/>
    <w:rsid w:val="037D57F7"/>
    <w:rsid w:val="0388C8D0"/>
    <w:rsid w:val="0394539F"/>
    <w:rsid w:val="039BC4BA"/>
    <w:rsid w:val="039E014B"/>
    <w:rsid w:val="03CCEE31"/>
    <w:rsid w:val="043E742D"/>
    <w:rsid w:val="04400166"/>
    <w:rsid w:val="04496514"/>
    <w:rsid w:val="046569AF"/>
    <w:rsid w:val="048995D1"/>
    <w:rsid w:val="04926231"/>
    <w:rsid w:val="049AE5D8"/>
    <w:rsid w:val="049C449F"/>
    <w:rsid w:val="04F3F3E7"/>
    <w:rsid w:val="0512F4F7"/>
    <w:rsid w:val="05220BD9"/>
    <w:rsid w:val="0526199D"/>
    <w:rsid w:val="052BED70"/>
    <w:rsid w:val="0540C635"/>
    <w:rsid w:val="0558D212"/>
    <w:rsid w:val="0559C70E"/>
    <w:rsid w:val="05885A45"/>
    <w:rsid w:val="058E6D17"/>
    <w:rsid w:val="058FC8D4"/>
    <w:rsid w:val="05945557"/>
    <w:rsid w:val="05ABEBA1"/>
    <w:rsid w:val="05CC8C9B"/>
    <w:rsid w:val="05CD455B"/>
    <w:rsid w:val="05D2153F"/>
    <w:rsid w:val="05DDBEAE"/>
    <w:rsid w:val="05DEBC09"/>
    <w:rsid w:val="05F2274A"/>
    <w:rsid w:val="06007995"/>
    <w:rsid w:val="06126579"/>
    <w:rsid w:val="061F7C7D"/>
    <w:rsid w:val="062F85DC"/>
    <w:rsid w:val="063EDA57"/>
    <w:rsid w:val="065569EA"/>
    <w:rsid w:val="066114CE"/>
    <w:rsid w:val="068192A7"/>
    <w:rsid w:val="068575C0"/>
    <w:rsid w:val="068B3C6D"/>
    <w:rsid w:val="06A09108"/>
    <w:rsid w:val="06A0B1D9"/>
    <w:rsid w:val="06A82D69"/>
    <w:rsid w:val="06AE31DD"/>
    <w:rsid w:val="06CB5E0F"/>
    <w:rsid w:val="06FFBCAC"/>
    <w:rsid w:val="07088BA2"/>
    <w:rsid w:val="070B6646"/>
    <w:rsid w:val="0713AE2B"/>
    <w:rsid w:val="07142D18"/>
    <w:rsid w:val="071AFCAD"/>
    <w:rsid w:val="071B8D4E"/>
    <w:rsid w:val="0724B400"/>
    <w:rsid w:val="0739A87F"/>
    <w:rsid w:val="074FA023"/>
    <w:rsid w:val="0752898D"/>
    <w:rsid w:val="0771CCD6"/>
    <w:rsid w:val="07871FF2"/>
    <w:rsid w:val="07978C8B"/>
    <w:rsid w:val="07A1CC2B"/>
    <w:rsid w:val="07A5248A"/>
    <w:rsid w:val="07AF4674"/>
    <w:rsid w:val="07B1E145"/>
    <w:rsid w:val="07B92502"/>
    <w:rsid w:val="07BD41C8"/>
    <w:rsid w:val="07C4A919"/>
    <w:rsid w:val="07DAB061"/>
    <w:rsid w:val="07E5EC2D"/>
    <w:rsid w:val="08048972"/>
    <w:rsid w:val="080F6921"/>
    <w:rsid w:val="081FD0AA"/>
    <w:rsid w:val="082238BF"/>
    <w:rsid w:val="082A548D"/>
    <w:rsid w:val="0833FEC0"/>
    <w:rsid w:val="08400BF6"/>
    <w:rsid w:val="08410428"/>
    <w:rsid w:val="084C6018"/>
    <w:rsid w:val="08579ACD"/>
    <w:rsid w:val="08595D80"/>
    <w:rsid w:val="085CF9A9"/>
    <w:rsid w:val="087A534B"/>
    <w:rsid w:val="088A109B"/>
    <w:rsid w:val="089BB456"/>
    <w:rsid w:val="08A30B1B"/>
    <w:rsid w:val="08A9226C"/>
    <w:rsid w:val="08B2B3BA"/>
    <w:rsid w:val="08FAAABC"/>
    <w:rsid w:val="08FC3EAA"/>
    <w:rsid w:val="0901303C"/>
    <w:rsid w:val="090FEA58"/>
    <w:rsid w:val="0919C9A1"/>
    <w:rsid w:val="091D1C14"/>
    <w:rsid w:val="0923A91D"/>
    <w:rsid w:val="09283A67"/>
    <w:rsid w:val="0930407E"/>
    <w:rsid w:val="093D739B"/>
    <w:rsid w:val="093E57A0"/>
    <w:rsid w:val="095DB165"/>
    <w:rsid w:val="09656641"/>
    <w:rsid w:val="096E1D15"/>
    <w:rsid w:val="096EAB15"/>
    <w:rsid w:val="099F6E84"/>
    <w:rsid w:val="09BE2A82"/>
    <w:rsid w:val="09C2797B"/>
    <w:rsid w:val="09F77D26"/>
    <w:rsid w:val="0A08B5C0"/>
    <w:rsid w:val="0A08C08A"/>
    <w:rsid w:val="0A1DC918"/>
    <w:rsid w:val="0A1F5552"/>
    <w:rsid w:val="0A2FB404"/>
    <w:rsid w:val="0A33222E"/>
    <w:rsid w:val="0A44A816"/>
    <w:rsid w:val="0A462F0F"/>
    <w:rsid w:val="0A5020CE"/>
    <w:rsid w:val="0A63DE0E"/>
    <w:rsid w:val="0A6BCFC8"/>
    <w:rsid w:val="0A832A1A"/>
    <w:rsid w:val="0A9D3E2D"/>
    <w:rsid w:val="0AA860BA"/>
    <w:rsid w:val="0AAC3C49"/>
    <w:rsid w:val="0AD4652F"/>
    <w:rsid w:val="0AD742DE"/>
    <w:rsid w:val="0AE5BD07"/>
    <w:rsid w:val="0AE8A441"/>
    <w:rsid w:val="0AEC0839"/>
    <w:rsid w:val="0B013A93"/>
    <w:rsid w:val="0B026295"/>
    <w:rsid w:val="0B1198A9"/>
    <w:rsid w:val="0B4F8CC5"/>
    <w:rsid w:val="0B5477DD"/>
    <w:rsid w:val="0B5877D3"/>
    <w:rsid w:val="0B5A4FE8"/>
    <w:rsid w:val="0B7474FB"/>
    <w:rsid w:val="0B7F6675"/>
    <w:rsid w:val="0BC3E095"/>
    <w:rsid w:val="0BCC5F6D"/>
    <w:rsid w:val="0BECBE83"/>
    <w:rsid w:val="0C0ECFA8"/>
    <w:rsid w:val="0C1A934A"/>
    <w:rsid w:val="0C2B9D84"/>
    <w:rsid w:val="0C386B42"/>
    <w:rsid w:val="0C4E1972"/>
    <w:rsid w:val="0C50D144"/>
    <w:rsid w:val="0C56161B"/>
    <w:rsid w:val="0C5F5E7F"/>
    <w:rsid w:val="0C753B6B"/>
    <w:rsid w:val="0C763CEC"/>
    <w:rsid w:val="0C7CB7A8"/>
    <w:rsid w:val="0C8A7F85"/>
    <w:rsid w:val="0C9652DB"/>
    <w:rsid w:val="0CAA5B9A"/>
    <w:rsid w:val="0CD4C612"/>
    <w:rsid w:val="0CE6B1C1"/>
    <w:rsid w:val="0CE9A5A6"/>
    <w:rsid w:val="0CF150EB"/>
    <w:rsid w:val="0CF22BAB"/>
    <w:rsid w:val="0D05DF69"/>
    <w:rsid w:val="0D195A5B"/>
    <w:rsid w:val="0D1B36D6"/>
    <w:rsid w:val="0D1E2478"/>
    <w:rsid w:val="0D2C6216"/>
    <w:rsid w:val="0D5DBCDA"/>
    <w:rsid w:val="0D5F50D3"/>
    <w:rsid w:val="0D702AAF"/>
    <w:rsid w:val="0D85EBEA"/>
    <w:rsid w:val="0D8ECF64"/>
    <w:rsid w:val="0D9029A5"/>
    <w:rsid w:val="0DA28F87"/>
    <w:rsid w:val="0DA35B7F"/>
    <w:rsid w:val="0DB2AB80"/>
    <w:rsid w:val="0DB4A4B9"/>
    <w:rsid w:val="0DDA6614"/>
    <w:rsid w:val="0DDBC942"/>
    <w:rsid w:val="0DDD4DDC"/>
    <w:rsid w:val="0DEAD3B7"/>
    <w:rsid w:val="0DF26B0B"/>
    <w:rsid w:val="0E02193C"/>
    <w:rsid w:val="0E2A81F2"/>
    <w:rsid w:val="0E472373"/>
    <w:rsid w:val="0E68B615"/>
    <w:rsid w:val="0E6CC89F"/>
    <w:rsid w:val="0E7D3453"/>
    <w:rsid w:val="0E7D52E2"/>
    <w:rsid w:val="0E82293E"/>
    <w:rsid w:val="0E942876"/>
    <w:rsid w:val="0EA72731"/>
    <w:rsid w:val="0EE932C9"/>
    <w:rsid w:val="0EEF59FE"/>
    <w:rsid w:val="0EF1CD7A"/>
    <w:rsid w:val="0F1E92B6"/>
    <w:rsid w:val="0F235E43"/>
    <w:rsid w:val="0F2CC49B"/>
    <w:rsid w:val="0F4804C4"/>
    <w:rsid w:val="0F4F9354"/>
    <w:rsid w:val="0F79C703"/>
    <w:rsid w:val="0F842C84"/>
    <w:rsid w:val="0FAB6566"/>
    <w:rsid w:val="0FB5B02D"/>
    <w:rsid w:val="0FBB4B25"/>
    <w:rsid w:val="0FF37279"/>
    <w:rsid w:val="0FFFC5C9"/>
    <w:rsid w:val="100A26C2"/>
    <w:rsid w:val="100C66D4"/>
    <w:rsid w:val="102297BE"/>
    <w:rsid w:val="10368CED"/>
    <w:rsid w:val="104B41DF"/>
    <w:rsid w:val="1073DB68"/>
    <w:rsid w:val="1080176C"/>
    <w:rsid w:val="108129F9"/>
    <w:rsid w:val="10969F97"/>
    <w:rsid w:val="10B1F156"/>
    <w:rsid w:val="10C34BE5"/>
    <w:rsid w:val="10D110B7"/>
    <w:rsid w:val="10F324FF"/>
    <w:rsid w:val="11196C6A"/>
    <w:rsid w:val="111A735E"/>
    <w:rsid w:val="111BA49E"/>
    <w:rsid w:val="1146486F"/>
    <w:rsid w:val="117428B1"/>
    <w:rsid w:val="11750C11"/>
    <w:rsid w:val="117F0674"/>
    <w:rsid w:val="11991428"/>
    <w:rsid w:val="119FB3D7"/>
    <w:rsid w:val="11A86A06"/>
    <w:rsid w:val="11C321EE"/>
    <w:rsid w:val="11C847A9"/>
    <w:rsid w:val="11CC8D05"/>
    <w:rsid w:val="11D13FBD"/>
    <w:rsid w:val="11D3717C"/>
    <w:rsid w:val="11D7161C"/>
    <w:rsid w:val="11D8AA50"/>
    <w:rsid w:val="11DA2D98"/>
    <w:rsid w:val="11E5337E"/>
    <w:rsid w:val="11E85FD8"/>
    <w:rsid w:val="11EC9E11"/>
    <w:rsid w:val="11EDEB1E"/>
    <w:rsid w:val="11FAD073"/>
    <w:rsid w:val="1200DB46"/>
    <w:rsid w:val="1212DA57"/>
    <w:rsid w:val="123B7144"/>
    <w:rsid w:val="1241D08C"/>
    <w:rsid w:val="1242D49F"/>
    <w:rsid w:val="12485818"/>
    <w:rsid w:val="1251F4E3"/>
    <w:rsid w:val="125EE52F"/>
    <w:rsid w:val="12795360"/>
    <w:rsid w:val="129DAA3C"/>
    <w:rsid w:val="129E0B75"/>
    <w:rsid w:val="12B8EF87"/>
    <w:rsid w:val="12CE9396"/>
    <w:rsid w:val="12D293C2"/>
    <w:rsid w:val="12DF5D80"/>
    <w:rsid w:val="12E3C7C2"/>
    <w:rsid w:val="12E59353"/>
    <w:rsid w:val="12E605F0"/>
    <w:rsid w:val="12F544CE"/>
    <w:rsid w:val="12F80543"/>
    <w:rsid w:val="13031175"/>
    <w:rsid w:val="1317D45D"/>
    <w:rsid w:val="1320BC3E"/>
    <w:rsid w:val="13265D10"/>
    <w:rsid w:val="1332FF37"/>
    <w:rsid w:val="1348C43F"/>
    <w:rsid w:val="135092DF"/>
    <w:rsid w:val="135EF24F"/>
    <w:rsid w:val="1362F62E"/>
    <w:rsid w:val="136B8EF1"/>
    <w:rsid w:val="1372EDD8"/>
    <w:rsid w:val="138546A0"/>
    <w:rsid w:val="1389932E"/>
    <w:rsid w:val="139205BD"/>
    <w:rsid w:val="13A12ABA"/>
    <w:rsid w:val="13ABA707"/>
    <w:rsid w:val="13B05169"/>
    <w:rsid w:val="13BE9AF4"/>
    <w:rsid w:val="13D69433"/>
    <w:rsid w:val="13DB4F6B"/>
    <w:rsid w:val="13E27AB8"/>
    <w:rsid w:val="13FA9FC1"/>
    <w:rsid w:val="1424A26F"/>
    <w:rsid w:val="144744C3"/>
    <w:rsid w:val="1448F8B7"/>
    <w:rsid w:val="145B016E"/>
    <w:rsid w:val="145D30BF"/>
    <w:rsid w:val="145E4C40"/>
    <w:rsid w:val="1460A841"/>
    <w:rsid w:val="1477251F"/>
    <w:rsid w:val="1482B601"/>
    <w:rsid w:val="14837610"/>
    <w:rsid w:val="14892038"/>
    <w:rsid w:val="14BA016C"/>
    <w:rsid w:val="150EC00E"/>
    <w:rsid w:val="1514334B"/>
    <w:rsid w:val="151E767B"/>
    <w:rsid w:val="1540F7C3"/>
    <w:rsid w:val="1557951A"/>
    <w:rsid w:val="15766D25"/>
    <w:rsid w:val="15884B07"/>
    <w:rsid w:val="159114F0"/>
    <w:rsid w:val="15A3A9C4"/>
    <w:rsid w:val="15A47418"/>
    <w:rsid w:val="15AD7ADD"/>
    <w:rsid w:val="15BC0EA7"/>
    <w:rsid w:val="15C73781"/>
    <w:rsid w:val="15CB508B"/>
    <w:rsid w:val="15DBA41E"/>
    <w:rsid w:val="15FBAF95"/>
    <w:rsid w:val="160185BF"/>
    <w:rsid w:val="160706DB"/>
    <w:rsid w:val="16098DD4"/>
    <w:rsid w:val="162821B8"/>
    <w:rsid w:val="163A25B3"/>
    <w:rsid w:val="1642259B"/>
    <w:rsid w:val="16498CFF"/>
    <w:rsid w:val="16511209"/>
    <w:rsid w:val="16640A22"/>
    <w:rsid w:val="16651CD9"/>
    <w:rsid w:val="1682D51F"/>
    <w:rsid w:val="16856BAE"/>
    <w:rsid w:val="1688D21D"/>
    <w:rsid w:val="16D1EDA8"/>
    <w:rsid w:val="16DE60AE"/>
    <w:rsid w:val="16E70B09"/>
    <w:rsid w:val="16F004A8"/>
    <w:rsid w:val="16F03F6B"/>
    <w:rsid w:val="16F832BB"/>
    <w:rsid w:val="170A6336"/>
    <w:rsid w:val="17319EE0"/>
    <w:rsid w:val="1750A107"/>
    <w:rsid w:val="175BC7E3"/>
    <w:rsid w:val="1761AA81"/>
    <w:rsid w:val="176A8F66"/>
    <w:rsid w:val="17767673"/>
    <w:rsid w:val="1782CB76"/>
    <w:rsid w:val="17A843BE"/>
    <w:rsid w:val="17ABDA04"/>
    <w:rsid w:val="17ADBAAB"/>
    <w:rsid w:val="17BD192B"/>
    <w:rsid w:val="17C1E4D9"/>
    <w:rsid w:val="17D27517"/>
    <w:rsid w:val="1806775B"/>
    <w:rsid w:val="1819EB4B"/>
    <w:rsid w:val="181DE33A"/>
    <w:rsid w:val="1827F57C"/>
    <w:rsid w:val="1839301E"/>
    <w:rsid w:val="1873B14A"/>
    <w:rsid w:val="187EABAC"/>
    <w:rsid w:val="187F220F"/>
    <w:rsid w:val="188E9545"/>
    <w:rsid w:val="18956C91"/>
    <w:rsid w:val="18A91709"/>
    <w:rsid w:val="18AF5F48"/>
    <w:rsid w:val="18C6380A"/>
    <w:rsid w:val="18F91FB9"/>
    <w:rsid w:val="1903434B"/>
    <w:rsid w:val="190417FF"/>
    <w:rsid w:val="191A499F"/>
    <w:rsid w:val="19241957"/>
    <w:rsid w:val="1938361D"/>
    <w:rsid w:val="1938763E"/>
    <w:rsid w:val="19543BDA"/>
    <w:rsid w:val="195A536C"/>
    <w:rsid w:val="1964B4B3"/>
    <w:rsid w:val="197040E4"/>
    <w:rsid w:val="1971AA55"/>
    <w:rsid w:val="19767362"/>
    <w:rsid w:val="198752A2"/>
    <w:rsid w:val="198F6C1B"/>
    <w:rsid w:val="19A7F50B"/>
    <w:rsid w:val="19A86C31"/>
    <w:rsid w:val="19ACEA6A"/>
    <w:rsid w:val="19AEA767"/>
    <w:rsid w:val="19E005A6"/>
    <w:rsid w:val="19E14939"/>
    <w:rsid w:val="19F3BC3F"/>
    <w:rsid w:val="1A1B1376"/>
    <w:rsid w:val="1A371CD3"/>
    <w:rsid w:val="1A632E1C"/>
    <w:rsid w:val="1A8342F3"/>
    <w:rsid w:val="1A87D93B"/>
    <w:rsid w:val="1A8AD727"/>
    <w:rsid w:val="1A8FF4FD"/>
    <w:rsid w:val="1A91BE4C"/>
    <w:rsid w:val="1ABAD1ED"/>
    <w:rsid w:val="1ACB45BE"/>
    <w:rsid w:val="1AD8D24D"/>
    <w:rsid w:val="1AD9B395"/>
    <w:rsid w:val="1AFA0228"/>
    <w:rsid w:val="1B02BEFB"/>
    <w:rsid w:val="1B096A12"/>
    <w:rsid w:val="1B15376D"/>
    <w:rsid w:val="1B39867F"/>
    <w:rsid w:val="1B471912"/>
    <w:rsid w:val="1B4DDDD8"/>
    <w:rsid w:val="1B696443"/>
    <w:rsid w:val="1B6E158F"/>
    <w:rsid w:val="1B96F814"/>
    <w:rsid w:val="1BA68B7E"/>
    <w:rsid w:val="1BA916DE"/>
    <w:rsid w:val="1BAF5379"/>
    <w:rsid w:val="1BAFC3DF"/>
    <w:rsid w:val="1BB7872A"/>
    <w:rsid w:val="1BC94F01"/>
    <w:rsid w:val="1BE2C407"/>
    <w:rsid w:val="1BF1EC85"/>
    <w:rsid w:val="1BFAB599"/>
    <w:rsid w:val="1C03B6E7"/>
    <w:rsid w:val="1C100E49"/>
    <w:rsid w:val="1C15A3D9"/>
    <w:rsid w:val="1C18007B"/>
    <w:rsid w:val="1C1B63CD"/>
    <w:rsid w:val="1C32D44B"/>
    <w:rsid w:val="1C33F411"/>
    <w:rsid w:val="1C3A72E0"/>
    <w:rsid w:val="1C3B218F"/>
    <w:rsid w:val="1C604899"/>
    <w:rsid w:val="1C7157DB"/>
    <w:rsid w:val="1C842F02"/>
    <w:rsid w:val="1C930C28"/>
    <w:rsid w:val="1CA4401E"/>
    <w:rsid w:val="1CAD0E1D"/>
    <w:rsid w:val="1CB50B4A"/>
    <w:rsid w:val="1CCF816D"/>
    <w:rsid w:val="1CD54C10"/>
    <w:rsid w:val="1CE5833A"/>
    <w:rsid w:val="1CF834EC"/>
    <w:rsid w:val="1CF9F0A1"/>
    <w:rsid w:val="1D3C6166"/>
    <w:rsid w:val="1D56D7E1"/>
    <w:rsid w:val="1D661602"/>
    <w:rsid w:val="1D690FFD"/>
    <w:rsid w:val="1D6C9995"/>
    <w:rsid w:val="1D83FCA1"/>
    <w:rsid w:val="1D88FC4C"/>
    <w:rsid w:val="1D90DC8D"/>
    <w:rsid w:val="1D9F3994"/>
    <w:rsid w:val="1DA8C8F5"/>
    <w:rsid w:val="1DB28432"/>
    <w:rsid w:val="1DC8F5EE"/>
    <w:rsid w:val="1DD32965"/>
    <w:rsid w:val="1DD455B1"/>
    <w:rsid w:val="1DDBF1EB"/>
    <w:rsid w:val="1DDDAA0F"/>
    <w:rsid w:val="1DF65B14"/>
    <w:rsid w:val="1DFCCEB2"/>
    <w:rsid w:val="1DFD73FA"/>
    <w:rsid w:val="1E0ABF63"/>
    <w:rsid w:val="1E17C9AA"/>
    <w:rsid w:val="1E244A6A"/>
    <w:rsid w:val="1E37E09E"/>
    <w:rsid w:val="1E3E43E6"/>
    <w:rsid w:val="1E3F2D5B"/>
    <w:rsid w:val="1E51AF09"/>
    <w:rsid w:val="1E568E49"/>
    <w:rsid w:val="1E8887C0"/>
    <w:rsid w:val="1E8DCBB2"/>
    <w:rsid w:val="1E90E029"/>
    <w:rsid w:val="1E972DBF"/>
    <w:rsid w:val="1EA004B6"/>
    <w:rsid w:val="1EA43B34"/>
    <w:rsid w:val="1EC9EA81"/>
    <w:rsid w:val="1ED8C7ED"/>
    <w:rsid w:val="1EE80CA4"/>
    <w:rsid w:val="1EEE67B1"/>
    <w:rsid w:val="1EF41822"/>
    <w:rsid w:val="1F00CBEF"/>
    <w:rsid w:val="1F1A1B1F"/>
    <w:rsid w:val="1F23EC2C"/>
    <w:rsid w:val="1F27D8D7"/>
    <w:rsid w:val="1F2E9394"/>
    <w:rsid w:val="1F3331D9"/>
    <w:rsid w:val="1F37E860"/>
    <w:rsid w:val="1F38178C"/>
    <w:rsid w:val="1F60151C"/>
    <w:rsid w:val="1F73D65D"/>
    <w:rsid w:val="1F7B8590"/>
    <w:rsid w:val="1F8BB091"/>
    <w:rsid w:val="1F8DB9BD"/>
    <w:rsid w:val="1F8DC954"/>
    <w:rsid w:val="1FA2ADBD"/>
    <w:rsid w:val="1FA3AB3C"/>
    <w:rsid w:val="1FA6E7E8"/>
    <w:rsid w:val="1FAB7C5F"/>
    <w:rsid w:val="1FB5B6C1"/>
    <w:rsid w:val="1FBFE99F"/>
    <w:rsid w:val="1FC98F30"/>
    <w:rsid w:val="1FE8FF4B"/>
    <w:rsid w:val="1FFB81F2"/>
    <w:rsid w:val="20037F23"/>
    <w:rsid w:val="201E2205"/>
    <w:rsid w:val="201E5A9E"/>
    <w:rsid w:val="202722E4"/>
    <w:rsid w:val="203987EC"/>
    <w:rsid w:val="204A3CB2"/>
    <w:rsid w:val="206A5041"/>
    <w:rsid w:val="206A5F0F"/>
    <w:rsid w:val="206C29B4"/>
    <w:rsid w:val="2074259C"/>
    <w:rsid w:val="208132A8"/>
    <w:rsid w:val="208F550B"/>
    <w:rsid w:val="2090B0A8"/>
    <w:rsid w:val="20A08555"/>
    <w:rsid w:val="20E067CF"/>
    <w:rsid w:val="20EB91FC"/>
    <w:rsid w:val="20F957F2"/>
    <w:rsid w:val="2116578D"/>
    <w:rsid w:val="21250571"/>
    <w:rsid w:val="212862B8"/>
    <w:rsid w:val="212A81D8"/>
    <w:rsid w:val="213E9619"/>
    <w:rsid w:val="2147C872"/>
    <w:rsid w:val="21489C82"/>
    <w:rsid w:val="2169A479"/>
    <w:rsid w:val="21732B86"/>
    <w:rsid w:val="217D39D7"/>
    <w:rsid w:val="218CD517"/>
    <w:rsid w:val="219036E2"/>
    <w:rsid w:val="21969F64"/>
    <w:rsid w:val="219EF12B"/>
    <w:rsid w:val="21A42D80"/>
    <w:rsid w:val="21AA8405"/>
    <w:rsid w:val="21C08D95"/>
    <w:rsid w:val="21C8E76A"/>
    <w:rsid w:val="21CD82A7"/>
    <w:rsid w:val="21D36557"/>
    <w:rsid w:val="21D3C1A5"/>
    <w:rsid w:val="21D411FC"/>
    <w:rsid w:val="21D7F784"/>
    <w:rsid w:val="21DB9B9F"/>
    <w:rsid w:val="21F39E22"/>
    <w:rsid w:val="21F61B1F"/>
    <w:rsid w:val="21F78E97"/>
    <w:rsid w:val="22127CBA"/>
    <w:rsid w:val="22146F13"/>
    <w:rsid w:val="223D3309"/>
    <w:rsid w:val="224493C3"/>
    <w:rsid w:val="22495A6B"/>
    <w:rsid w:val="2256BD84"/>
    <w:rsid w:val="2257D4B8"/>
    <w:rsid w:val="227A2249"/>
    <w:rsid w:val="2294736C"/>
    <w:rsid w:val="2294EB5A"/>
    <w:rsid w:val="22B229C6"/>
    <w:rsid w:val="22B3EEDC"/>
    <w:rsid w:val="22C320CD"/>
    <w:rsid w:val="22C5620C"/>
    <w:rsid w:val="22C56A16"/>
    <w:rsid w:val="22DD85EC"/>
    <w:rsid w:val="22EFD1DD"/>
    <w:rsid w:val="2319E84E"/>
    <w:rsid w:val="233017A6"/>
    <w:rsid w:val="234C73C6"/>
    <w:rsid w:val="236DDE5D"/>
    <w:rsid w:val="2376CED6"/>
    <w:rsid w:val="23790886"/>
    <w:rsid w:val="23A1A872"/>
    <w:rsid w:val="23BA5FBD"/>
    <w:rsid w:val="23BA8053"/>
    <w:rsid w:val="23CF03C6"/>
    <w:rsid w:val="23D81A7C"/>
    <w:rsid w:val="23EB18BD"/>
    <w:rsid w:val="23EFD2C6"/>
    <w:rsid w:val="23FB9F4A"/>
    <w:rsid w:val="2406B4EB"/>
    <w:rsid w:val="24092A35"/>
    <w:rsid w:val="24248BEC"/>
    <w:rsid w:val="242D4F54"/>
    <w:rsid w:val="245B6A41"/>
    <w:rsid w:val="245F2649"/>
    <w:rsid w:val="246026DE"/>
    <w:rsid w:val="24741A72"/>
    <w:rsid w:val="247DBC63"/>
    <w:rsid w:val="247F8FBF"/>
    <w:rsid w:val="248CAD6B"/>
    <w:rsid w:val="249671FA"/>
    <w:rsid w:val="24B13389"/>
    <w:rsid w:val="24C68098"/>
    <w:rsid w:val="24CDBB8F"/>
    <w:rsid w:val="24DDDFE4"/>
    <w:rsid w:val="24E00903"/>
    <w:rsid w:val="2500BEE3"/>
    <w:rsid w:val="25259D09"/>
    <w:rsid w:val="253DB999"/>
    <w:rsid w:val="254FF4F0"/>
    <w:rsid w:val="255D00CF"/>
    <w:rsid w:val="256BD15D"/>
    <w:rsid w:val="25767922"/>
    <w:rsid w:val="2597A5E0"/>
    <w:rsid w:val="25B52793"/>
    <w:rsid w:val="25C04D34"/>
    <w:rsid w:val="25CB06E3"/>
    <w:rsid w:val="25E00842"/>
    <w:rsid w:val="25F74D20"/>
    <w:rsid w:val="25F797D9"/>
    <w:rsid w:val="26232F95"/>
    <w:rsid w:val="263C301B"/>
    <w:rsid w:val="263E0317"/>
    <w:rsid w:val="263E8EC1"/>
    <w:rsid w:val="2642E1C6"/>
    <w:rsid w:val="26463F89"/>
    <w:rsid w:val="26568A8F"/>
    <w:rsid w:val="26863D9A"/>
    <w:rsid w:val="2693EF4E"/>
    <w:rsid w:val="269C6142"/>
    <w:rsid w:val="26AFD685"/>
    <w:rsid w:val="26D021AA"/>
    <w:rsid w:val="26D5977F"/>
    <w:rsid w:val="26DFF29C"/>
    <w:rsid w:val="26E75504"/>
    <w:rsid w:val="26F453CB"/>
    <w:rsid w:val="2708158D"/>
    <w:rsid w:val="2719244B"/>
    <w:rsid w:val="2719BA65"/>
    <w:rsid w:val="272B210F"/>
    <w:rsid w:val="27566469"/>
    <w:rsid w:val="27ABB321"/>
    <w:rsid w:val="27AD55F4"/>
    <w:rsid w:val="27B6EC6A"/>
    <w:rsid w:val="27CB7A40"/>
    <w:rsid w:val="27E81740"/>
    <w:rsid w:val="27F1F734"/>
    <w:rsid w:val="282021BB"/>
    <w:rsid w:val="284A26DC"/>
    <w:rsid w:val="2857E8DC"/>
    <w:rsid w:val="286035D8"/>
    <w:rsid w:val="28729319"/>
    <w:rsid w:val="287E9C74"/>
    <w:rsid w:val="28934707"/>
    <w:rsid w:val="28C5A7C7"/>
    <w:rsid w:val="28C8BACD"/>
    <w:rsid w:val="28D234FA"/>
    <w:rsid w:val="28E96829"/>
    <w:rsid w:val="28F461F4"/>
    <w:rsid w:val="2908452E"/>
    <w:rsid w:val="291BEFE5"/>
    <w:rsid w:val="291E40C5"/>
    <w:rsid w:val="2924E463"/>
    <w:rsid w:val="2932DCEE"/>
    <w:rsid w:val="294EA7DD"/>
    <w:rsid w:val="2953E03C"/>
    <w:rsid w:val="2984DCD9"/>
    <w:rsid w:val="298D2C82"/>
    <w:rsid w:val="2997B459"/>
    <w:rsid w:val="299B7128"/>
    <w:rsid w:val="29E232B7"/>
    <w:rsid w:val="29E5EA6A"/>
    <w:rsid w:val="2A14D57D"/>
    <w:rsid w:val="2A15EA81"/>
    <w:rsid w:val="2A17935E"/>
    <w:rsid w:val="2A17F805"/>
    <w:rsid w:val="2A450F1F"/>
    <w:rsid w:val="2A487816"/>
    <w:rsid w:val="2A4A096B"/>
    <w:rsid w:val="2A500582"/>
    <w:rsid w:val="2A50F323"/>
    <w:rsid w:val="2A6425E8"/>
    <w:rsid w:val="2A68F1A3"/>
    <w:rsid w:val="2A741476"/>
    <w:rsid w:val="2A8369D0"/>
    <w:rsid w:val="2AACFD67"/>
    <w:rsid w:val="2AB1EE0C"/>
    <w:rsid w:val="2B00C8EA"/>
    <w:rsid w:val="2B42656A"/>
    <w:rsid w:val="2B45C0B3"/>
    <w:rsid w:val="2B56CB5A"/>
    <w:rsid w:val="2B5A806E"/>
    <w:rsid w:val="2B5C9B90"/>
    <w:rsid w:val="2B60C921"/>
    <w:rsid w:val="2B65C013"/>
    <w:rsid w:val="2B6BF0ED"/>
    <w:rsid w:val="2B7DBCAB"/>
    <w:rsid w:val="2B829410"/>
    <w:rsid w:val="2B83B217"/>
    <w:rsid w:val="2B9E4E25"/>
    <w:rsid w:val="2BA0A9A7"/>
    <w:rsid w:val="2BB61870"/>
    <w:rsid w:val="2BC6F22B"/>
    <w:rsid w:val="2BDC934A"/>
    <w:rsid w:val="2C04F4D7"/>
    <w:rsid w:val="2C0BC035"/>
    <w:rsid w:val="2C168B40"/>
    <w:rsid w:val="2C4D6057"/>
    <w:rsid w:val="2C7EB501"/>
    <w:rsid w:val="2C8066CF"/>
    <w:rsid w:val="2C839171"/>
    <w:rsid w:val="2C979B63"/>
    <w:rsid w:val="2CDCD8FE"/>
    <w:rsid w:val="2CDF9381"/>
    <w:rsid w:val="2CEA3120"/>
    <w:rsid w:val="2D04723D"/>
    <w:rsid w:val="2D14CE25"/>
    <w:rsid w:val="2D1639F7"/>
    <w:rsid w:val="2D251993"/>
    <w:rsid w:val="2D58C21F"/>
    <w:rsid w:val="2D5B74A2"/>
    <w:rsid w:val="2D6A68DE"/>
    <w:rsid w:val="2DA479CE"/>
    <w:rsid w:val="2DCB7156"/>
    <w:rsid w:val="2DEA3809"/>
    <w:rsid w:val="2DF012BA"/>
    <w:rsid w:val="2E0710DC"/>
    <w:rsid w:val="2E213107"/>
    <w:rsid w:val="2E2AD641"/>
    <w:rsid w:val="2E2AE9E1"/>
    <w:rsid w:val="2E2E897B"/>
    <w:rsid w:val="2E5BBE12"/>
    <w:rsid w:val="2E5C4E56"/>
    <w:rsid w:val="2E67A454"/>
    <w:rsid w:val="2E872E37"/>
    <w:rsid w:val="2EAC1D8F"/>
    <w:rsid w:val="2EB770A2"/>
    <w:rsid w:val="2EB90A9E"/>
    <w:rsid w:val="2EDBEC41"/>
    <w:rsid w:val="2EDFA9E7"/>
    <w:rsid w:val="2EFAD51A"/>
    <w:rsid w:val="2F227650"/>
    <w:rsid w:val="2F353163"/>
    <w:rsid w:val="2F5D2A2D"/>
    <w:rsid w:val="2F77F93A"/>
    <w:rsid w:val="2F9ADB53"/>
    <w:rsid w:val="2FA5AC8A"/>
    <w:rsid w:val="2FAC642E"/>
    <w:rsid w:val="2FF80807"/>
    <w:rsid w:val="30111FCC"/>
    <w:rsid w:val="3015B1A5"/>
    <w:rsid w:val="304836E8"/>
    <w:rsid w:val="30509D6A"/>
    <w:rsid w:val="307F8FD6"/>
    <w:rsid w:val="3093D095"/>
    <w:rsid w:val="309E1684"/>
    <w:rsid w:val="30A1F6A1"/>
    <w:rsid w:val="30AD4B45"/>
    <w:rsid w:val="30B14B47"/>
    <w:rsid w:val="30C2C278"/>
    <w:rsid w:val="30CA4435"/>
    <w:rsid w:val="30D4C2DC"/>
    <w:rsid w:val="30DB1D25"/>
    <w:rsid w:val="30DBCA54"/>
    <w:rsid w:val="30E13FE2"/>
    <w:rsid w:val="310CC5D4"/>
    <w:rsid w:val="311F8D3C"/>
    <w:rsid w:val="314A9280"/>
    <w:rsid w:val="3162B129"/>
    <w:rsid w:val="316B8CDA"/>
    <w:rsid w:val="3189D0F6"/>
    <w:rsid w:val="318A55F3"/>
    <w:rsid w:val="31939B28"/>
    <w:rsid w:val="319515CC"/>
    <w:rsid w:val="319EE41F"/>
    <w:rsid w:val="31A14F19"/>
    <w:rsid w:val="31A6830D"/>
    <w:rsid w:val="31A9AF94"/>
    <w:rsid w:val="31D6AD30"/>
    <w:rsid w:val="31E2EE2F"/>
    <w:rsid w:val="31E59FDE"/>
    <w:rsid w:val="320FCDC7"/>
    <w:rsid w:val="321EEDB0"/>
    <w:rsid w:val="3240CEA6"/>
    <w:rsid w:val="32476F5C"/>
    <w:rsid w:val="3248EDC6"/>
    <w:rsid w:val="324A6B16"/>
    <w:rsid w:val="32642CE3"/>
    <w:rsid w:val="326779B0"/>
    <w:rsid w:val="32CCB528"/>
    <w:rsid w:val="32CDEB09"/>
    <w:rsid w:val="32E53357"/>
    <w:rsid w:val="33103776"/>
    <w:rsid w:val="3317D219"/>
    <w:rsid w:val="3326E0C7"/>
    <w:rsid w:val="3338583A"/>
    <w:rsid w:val="3346BCA1"/>
    <w:rsid w:val="3369EE53"/>
    <w:rsid w:val="337E4352"/>
    <w:rsid w:val="33AD97E8"/>
    <w:rsid w:val="33BBB402"/>
    <w:rsid w:val="33C56610"/>
    <w:rsid w:val="33D734F5"/>
    <w:rsid w:val="33D77CA1"/>
    <w:rsid w:val="33DCC11D"/>
    <w:rsid w:val="33F1D284"/>
    <w:rsid w:val="33FD243B"/>
    <w:rsid w:val="34058E0A"/>
    <w:rsid w:val="340DF576"/>
    <w:rsid w:val="3427E507"/>
    <w:rsid w:val="343524DA"/>
    <w:rsid w:val="3448E975"/>
    <w:rsid w:val="34724EB2"/>
    <w:rsid w:val="34822AC5"/>
    <w:rsid w:val="34B12147"/>
    <w:rsid w:val="34B1842C"/>
    <w:rsid w:val="34DBF2F8"/>
    <w:rsid w:val="34E3A841"/>
    <w:rsid w:val="34F2EFBD"/>
    <w:rsid w:val="351B571D"/>
    <w:rsid w:val="352E5C59"/>
    <w:rsid w:val="352F0A11"/>
    <w:rsid w:val="3531102F"/>
    <w:rsid w:val="35369403"/>
    <w:rsid w:val="3559F83C"/>
    <w:rsid w:val="355E94E4"/>
    <w:rsid w:val="3585E8A0"/>
    <w:rsid w:val="3588C5EE"/>
    <w:rsid w:val="359B2DEB"/>
    <w:rsid w:val="35DA9203"/>
    <w:rsid w:val="36023AE1"/>
    <w:rsid w:val="3626E25C"/>
    <w:rsid w:val="365869E3"/>
    <w:rsid w:val="36B5A0C0"/>
    <w:rsid w:val="36BA3745"/>
    <w:rsid w:val="36CA1CF0"/>
    <w:rsid w:val="36CC3582"/>
    <w:rsid w:val="36F3377F"/>
    <w:rsid w:val="36F433E6"/>
    <w:rsid w:val="36FD8865"/>
    <w:rsid w:val="36FFF554"/>
    <w:rsid w:val="370DC878"/>
    <w:rsid w:val="37108A22"/>
    <w:rsid w:val="37228306"/>
    <w:rsid w:val="372F9E3E"/>
    <w:rsid w:val="373A44C3"/>
    <w:rsid w:val="376C2F91"/>
    <w:rsid w:val="3774B227"/>
    <w:rsid w:val="379088B8"/>
    <w:rsid w:val="37998C8F"/>
    <w:rsid w:val="37A6115A"/>
    <w:rsid w:val="37E8B288"/>
    <w:rsid w:val="37F283A4"/>
    <w:rsid w:val="37F2E633"/>
    <w:rsid w:val="3809F222"/>
    <w:rsid w:val="380D9829"/>
    <w:rsid w:val="381BBFB8"/>
    <w:rsid w:val="38636C49"/>
    <w:rsid w:val="38699725"/>
    <w:rsid w:val="387FB05B"/>
    <w:rsid w:val="3881EF62"/>
    <w:rsid w:val="3894D08C"/>
    <w:rsid w:val="38A37B12"/>
    <w:rsid w:val="38CA648F"/>
    <w:rsid w:val="38CD194E"/>
    <w:rsid w:val="38D47B44"/>
    <w:rsid w:val="38E4DFDA"/>
    <w:rsid w:val="38F60B5D"/>
    <w:rsid w:val="391ED707"/>
    <w:rsid w:val="39243AB3"/>
    <w:rsid w:val="39300452"/>
    <w:rsid w:val="3941F539"/>
    <w:rsid w:val="3970213A"/>
    <w:rsid w:val="3978065F"/>
    <w:rsid w:val="398BD7BA"/>
    <w:rsid w:val="39910CE6"/>
    <w:rsid w:val="3994DBF9"/>
    <w:rsid w:val="39A47310"/>
    <w:rsid w:val="39A8DABF"/>
    <w:rsid w:val="39B4D6F5"/>
    <w:rsid w:val="39B99750"/>
    <w:rsid w:val="39C2982B"/>
    <w:rsid w:val="39EEC24F"/>
    <w:rsid w:val="39F66A82"/>
    <w:rsid w:val="3A1171E1"/>
    <w:rsid w:val="3A21F5B6"/>
    <w:rsid w:val="3A2A65C2"/>
    <w:rsid w:val="3A4AB15C"/>
    <w:rsid w:val="3A54C7E4"/>
    <w:rsid w:val="3A74EABD"/>
    <w:rsid w:val="3A8617AD"/>
    <w:rsid w:val="3A86560C"/>
    <w:rsid w:val="3A9129D1"/>
    <w:rsid w:val="3A94C36B"/>
    <w:rsid w:val="3AB2EB50"/>
    <w:rsid w:val="3ABFAE37"/>
    <w:rsid w:val="3AC60DE1"/>
    <w:rsid w:val="3ADC555A"/>
    <w:rsid w:val="3AE921FF"/>
    <w:rsid w:val="3AFD7348"/>
    <w:rsid w:val="3B0FF287"/>
    <w:rsid w:val="3B139957"/>
    <w:rsid w:val="3B20C0D4"/>
    <w:rsid w:val="3B34587A"/>
    <w:rsid w:val="3B4DC2CF"/>
    <w:rsid w:val="3B656244"/>
    <w:rsid w:val="3B7C1074"/>
    <w:rsid w:val="3B91620B"/>
    <w:rsid w:val="3B97939B"/>
    <w:rsid w:val="3BB08DBE"/>
    <w:rsid w:val="3BDDFDB4"/>
    <w:rsid w:val="3BE0187F"/>
    <w:rsid w:val="3BF7F899"/>
    <w:rsid w:val="3C02BDE1"/>
    <w:rsid w:val="3C16089F"/>
    <w:rsid w:val="3C45F29B"/>
    <w:rsid w:val="3C71DD8E"/>
    <w:rsid w:val="3C8BBB91"/>
    <w:rsid w:val="3C9407A4"/>
    <w:rsid w:val="3C986714"/>
    <w:rsid w:val="3CA00371"/>
    <w:rsid w:val="3CA26E33"/>
    <w:rsid w:val="3CA6DA0E"/>
    <w:rsid w:val="3CBFD738"/>
    <w:rsid w:val="3CC1A25C"/>
    <w:rsid w:val="3CD56ED7"/>
    <w:rsid w:val="3CF91C30"/>
    <w:rsid w:val="3D159AD8"/>
    <w:rsid w:val="3D2C7522"/>
    <w:rsid w:val="3D4A46E9"/>
    <w:rsid w:val="3D5C8241"/>
    <w:rsid w:val="3D7F1412"/>
    <w:rsid w:val="3D883229"/>
    <w:rsid w:val="3D8E6A5F"/>
    <w:rsid w:val="3DA368EF"/>
    <w:rsid w:val="3DB65B2F"/>
    <w:rsid w:val="3DCDF9C4"/>
    <w:rsid w:val="3DCE7169"/>
    <w:rsid w:val="3DE257CD"/>
    <w:rsid w:val="3DF77A00"/>
    <w:rsid w:val="3E12C33C"/>
    <w:rsid w:val="3E1D5C26"/>
    <w:rsid w:val="3E35A457"/>
    <w:rsid w:val="3E4A0DE3"/>
    <w:rsid w:val="3E5AE43F"/>
    <w:rsid w:val="3E6B2845"/>
    <w:rsid w:val="3E7333B0"/>
    <w:rsid w:val="3E889BC8"/>
    <w:rsid w:val="3EA918FC"/>
    <w:rsid w:val="3EACD0CE"/>
    <w:rsid w:val="3EB4CF0B"/>
    <w:rsid w:val="3EB80CA0"/>
    <w:rsid w:val="3ECA59B7"/>
    <w:rsid w:val="3ED9B5B6"/>
    <w:rsid w:val="3EEA13C7"/>
    <w:rsid w:val="3EF36E51"/>
    <w:rsid w:val="3EF8DB1D"/>
    <w:rsid w:val="3F05022F"/>
    <w:rsid w:val="3F0B1920"/>
    <w:rsid w:val="3F19B930"/>
    <w:rsid w:val="3F2105C6"/>
    <w:rsid w:val="3F36C1A9"/>
    <w:rsid w:val="3F3CF296"/>
    <w:rsid w:val="3F5A2277"/>
    <w:rsid w:val="3F5CD5D4"/>
    <w:rsid w:val="3F7A7D30"/>
    <w:rsid w:val="3F835432"/>
    <w:rsid w:val="3FB6044C"/>
    <w:rsid w:val="3FC1E865"/>
    <w:rsid w:val="3FD85787"/>
    <w:rsid w:val="3FEA758C"/>
    <w:rsid w:val="3FFB1DB0"/>
    <w:rsid w:val="400B2E3A"/>
    <w:rsid w:val="400EA19B"/>
    <w:rsid w:val="401D493A"/>
    <w:rsid w:val="4066BAE3"/>
    <w:rsid w:val="407BA65E"/>
    <w:rsid w:val="407F59FC"/>
    <w:rsid w:val="409CB551"/>
    <w:rsid w:val="40AB8DE8"/>
    <w:rsid w:val="40B9F007"/>
    <w:rsid w:val="40CA29CB"/>
    <w:rsid w:val="40FD62C1"/>
    <w:rsid w:val="410B7626"/>
    <w:rsid w:val="41149969"/>
    <w:rsid w:val="41187443"/>
    <w:rsid w:val="4129A458"/>
    <w:rsid w:val="413D7247"/>
    <w:rsid w:val="41606C13"/>
    <w:rsid w:val="4163C168"/>
    <w:rsid w:val="4179C712"/>
    <w:rsid w:val="41AEC847"/>
    <w:rsid w:val="41BE29EB"/>
    <w:rsid w:val="41CF23E6"/>
    <w:rsid w:val="41FFBED0"/>
    <w:rsid w:val="4201E790"/>
    <w:rsid w:val="4207B4C6"/>
    <w:rsid w:val="420C4453"/>
    <w:rsid w:val="421C7243"/>
    <w:rsid w:val="422E1125"/>
    <w:rsid w:val="424DAD6E"/>
    <w:rsid w:val="4258A6D4"/>
    <w:rsid w:val="429DA735"/>
    <w:rsid w:val="42A3242B"/>
    <w:rsid w:val="42ABCE79"/>
    <w:rsid w:val="42B25F0B"/>
    <w:rsid w:val="42B3F5D1"/>
    <w:rsid w:val="42C36C61"/>
    <w:rsid w:val="430F7E62"/>
    <w:rsid w:val="43260386"/>
    <w:rsid w:val="432E539A"/>
    <w:rsid w:val="433D53E1"/>
    <w:rsid w:val="4354BAAD"/>
    <w:rsid w:val="43570966"/>
    <w:rsid w:val="43637809"/>
    <w:rsid w:val="43860343"/>
    <w:rsid w:val="43B50535"/>
    <w:rsid w:val="43D56F95"/>
    <w:rsid w:val="43F9261E"/>
    <w:rsid w:val="44002A97"/>
    <w:rsid w:val="4410C6A1"/>
    <w:rsid w:val="4438B194"/>
    <w:rsid w:val="449D13EC"/>
    <w:rsid w:val="44AD9D68"/>
    <w:rsid w:val="44BB1970"/>
    <w:rsid w:val="44C953A0"/>
    <w:rsid w:val="44CD1579"/>
    <w:rsid w:val="44DA1DCA"/>
    <w:rsid w:val="44DFF706"/>
    <w:rsid w:val="45098368"/>
    <w:rsid w:val="452321C2"/>
    <w:rsid w:val="452E5CEB"/>
    <w:rsid w:val="453144F1"/>
    <w:rsid w:val="4534FB2A"/>
    <w:rsid w:val="45940AB7"/>
    <w:rsid w:val="45A0EE55"/>
    <w:rsid w:val="45CEB1AB"/>
    <w:rsid w:val="45D95533"/>
    <w:rsid w:val="45DE8DB0"/>
    <w:rsid w:val="45E220DA"/>
    <w:rsid w:val="460252E8"/>
    <w:rsid w:val="460EF2A0"/>
    <w:rsid w:val="46191077"/>
    <w:rsid w:val="4643948C"/>
    <w:rsid w:val="465669DD"/>
    <w:rsid w:val="46590640"/>
    <w:rsid w:val="4662594E"/>
    <w:rsid w:val="4679FEF6"/>
    <w:rsid w:val="46AD8E24"/>
    <w:rsid w:val="46D356C9"/>
    <w:rsid w:val="46E0129E"/>
    <w:rsid w:val="46F9D6A4"/>
    <w:rsid w:val="46FD1D5C"/>
    <w:rsid w:val="4724C143"/>
    <w:rsid w:val="472A11BF"/>
    <w:rsid w:val="47504507"/>
    <w:rsid w:val="476F78E8"/>
    <w:rsid w:val="4786DBBA"/>
    <w:rsid w:val="478AFB8D"/>
    <w:rsid w:val="4796DF45"/>
    <w:rsid w:val="47B470CD"/>
    <w:rsid w:val="47FABCDE"/>
    <w:rsid w:val="48073FBB"/>
    <w:rsid w:val="4825399A"/>
    <w:rsid w:val="482AEEE0"/>
    <w:rsid w:val="48431DFB"/>
    <w:rsid w:val="485450FE"/>
    <w:rsid w:val="48564530"/>
    <w:rsid w:val="485B4E55"/>
    <w:rsid w:val="48642176"/>
    <w:rsid w:val="4873F255"/>
    <w:rsid w:val="4883211E"/>
    <w:rsid w:val="488AD142"/>
    <w:rsid w:val="48961EBC"/>
    <w:rsid w:val="4896CFBA"/>
    <w:rsid w:val="489C30AA"/>
    <w:rsid w:val="489E0F87"/>
    <w:rsid w:val="48A564F6"/>
    <w:rsid w:val="48B20FC9"/>
    <w:rsid w:val="48D27077"/>
    <w:rsid w:val="48F21A04"/>
    <w:rsid w:val="48F70880"/>
    <w:rsid w:val="4905E650"/>
    <w:rsid w:val="49136A7D"/>
    <w:rsid w:val="4925F5A1"/>
    <w:rsid w:val="492931A1"/>
    <w:rsid w:val="494331AF"/>
    <w:rsid w:val="494FA0DD"/>
    <w:rsid w:val="4965EC0C"/>
    <w:rsid w:val="49697119"/>
    <w:rsid w:val="4969E5D9"/>
    <w:rsid w:val="496CFF02"/>
    <w:rsid w:val="4975B5D6"/>
    <w:rsid w:val="497B931A"/>
    <w:rsid w:val="498849E7"/>
    <w:rsid w:val="49BD36B3"/>
    <w:rsid w:val="49C508CC"/>
    <w:rsid w:val="49D738BE"/>
    <w:rsid w:val="49F0C7DD"/>
    <w:rsid w:val="49F90BB1"/>
    <w:rsid w:val="4A0E0A34"/>
    <w:rsid w:val="4A138F60"/>
    <w:rsid w:val="4A3FFDA7"/>
    <w:rsid w:val="4A40A07D"/>
    <w:rsid w:val="4A44DB5C"/>
    <w:rsid w:val="4A533C48"/>
    <w:rsid w:val="4A574971"/>
    <w:rsid w:val="4A776292"/>
    <w:rsid w:val="4A7D85A8"/>
    <w:rsid w:val="4A856BCA"/>
    <w:rsid w:val="4A948E84"/>
    <w:rsid w:val="4A96F496"/>
    <w:rsid w:val="4AA159D7"/>
    <w:rsid w:val="4ABC5953"/>
    <w:rsid w:val="4ABE3079"/>
    <w:rsid w:val="4AC100D1"/>
    <w:rsid w:val="4ACA8288"/>
    <w:rsid w:val="4AD7F407"/>
    <w:rsid w:val="4AD9217D"/>
    <w:rsid w:val="4AEB3FEE"/>
    <w:rsid w:val="4AFC0F8F"/>
    <w:rsid w:val="4B105556"/>
    <w:rsid w:val="4B1A033F"/>
    <w:rsid w:val="4B2266FF"/>
    <w:rsid w:val="4B60D49B"/>
    <w:rsid w:val="4B6776A7"/>
    <w:rsid w:val="4B6CC594"/>
    <w:rsid w:val="4B7D0182"/>
    <w:rsid w:val="4BA7E79E"/>
    <w:rsid w:val="4BAF3EA2"/>
    <w:rsid w:val="4BB364BD"/>
    <w:rsid w:val="4BCA81BB"/>
    <w:rsid w:val="4BDE989A"/>
    <w:rsid w:val="4BF231C0"/>
    <w:rsid w:val="4BF330AD"/>
    <w:rsid w:val="4BF7A4C0"/>
    <w:rsid w:val="4C0565BA"/>
    <w:rsid w:val="4C52EFA1"/>
    <w:rsid w:val="4C6333B4"/>
    <w:rsid w:val="4C85322A"/>
    <w:rsid w:val="4C926415"/>
    <w:rsid w:val="4CAB3EE4"/>
    <w:rsid w:val="4CB27E31"/>
    <w:rsid w:val="4CCD673B"/>
    <w:rsid w:val="4CD245DE"/>
    <w:rsid w:val="4CDE3248"/>
    <w:rsid w:val="4CE4431C"/>
    <w:rsid w:val="4CE63B11"/>
    <w:rsid w:val="4D1C5D80"/>
    <w:rsid w:val="4D1FACF9"/>
    <w:rsid w:val="4D29264E"/>
    <w:rsid w:val="4D2A548E"/>
    <w:rsid w:val="4D2C64CD"/>
    <w:rsid w:val="4D2EAFD8"/>
    <w:rsid w:val="4D3684C5"/>
    <w:rsid w:val="4D37BCFA"/>
    <w:rsid w:val="4D437DB3"/>
    <w:rsid w:val="4D493B04"/>
    <w:rsid w:val="4D4C4DC1"/>
    <w:rsid w:val="4D532570"/>
    <w:rsid w:val="4D537C3F"/>
    <w:rsid w:val="4D61A6F5"/>
    <w:rsid w:val="4D67967E"/>
    <w:rsid w:val="4D67F4F5"/>
    <w:rsid w:val="4DA66CA7"/>
    <w:rsid w:val="4DB50267"/>
    <w:rsid w:val="4DDC2492"/>
    <w:rsid w:val="4DE2C74E"/>
    <w:rsid w:val="4DE67014"/>
    <w:rsid w:val="4DFFDBD5"/>
    <w:rsid w:val="4E0CB01F"/>
    <w:rsid w:val="4E1347E9"/>
    <w:rsid w:val="4E233E9D"/>
    <w:rsid w:val="4E374E19"/>
    <w:rsid w:val="4E60CF1A"/>
    <w:rsid w:val="4E7C0109"/>
    <w:rsid w:val="4E89AAFB"/>
    <w:rsid w:val="4EAAC793"/>
    <w:rsid w:val="4EB76F42"/>
    <w:rsid w:val="4EC72C38"/>
    <w:rsid w:val="4ECBAB6C"/>
    <w:rsid w:val="4ED5737B"/>
    <w:rsid w:val="4ED85640"/>
    <w:rsid w:val="4EE80D9F"/>
    <w:rsid w:val="4F00C4FB"/>
    <w:rsid w:val="4F07C1C1"/>
    <w:rsid w:val="4F1E436C"/>
    <w:rsid w:val="4F2F252F"/>
    <w:rsid w:val="4F5D7FF9"/>
    <w:rsid w:val="4F70A18C"/>
    <w:rsid w:val="4F781C4A"/>
    <w:rsid w:val="4F795C61"/>
    <w:rsid w:val="4F90273C"/>
    <w:rsid w:val="4FA8F990"/>
    <w:rsid w:val="4FC409F6"/>
    <w:rsid w:val="4FC48B80"/>
    <w:rsid w:val="4FCBECB2"/>
    <w:rsid w:val="4FDD7FD0"/>
    <w:rsid w:val="4FF93341"/>
    <w:rsid w:val="4FFB57FB"/>
    <w:rsid w:val="4FFC5A6F"/>
    <w:rsid w:val="500819D2"/>
    <w:rsid w:val="50187091"/>
    <w:rsid w:val="5033D312"/>
    <w:rsid w:val="503A8833"/>
    <w:rsid w:val="505840ED"/>
    <w:rsid w:val="5062FAAD"/>
    <w:rsid w:val="50656129"/>
    <w:rsid w:val="5088588A"/>
    <w:rsid w:val="508C6929"/>
    <w:rsid w:val="50936DC0"/>
    <w:rsid w:val="50AAAC80"/>
    <w:rsid w:val="50AC34CD"/>
    <w:rsid w:val="50B7EA6C"/>
    <w:rsid w:val="50F2CB10"/>
    <w:rsid w:val="5100C68C"/>
    <w:rsid w:val="51078FEB"/>
    <w:rsid w:val="51196CEF"/>
    <w:rsid w:val="5161D497"/>
    <w:rsid w:val="516DDD7E"/>
    <w:rsid w:val="519C633C"/>
    <w:rsid w:val="51B6FC52"/>
    <w:rsid w:val="51B794C0"/>
    <w:rsid w:val="51C6E422"/>
    <w:rsid w:val="51DB2D90"/>
    <w:rsid w:val="51E37065"/>
    <w:rsid w:val="52019139"/>
    <w:rsid w:val="523C553E"/>
    <w:rsid w:val="523F66DD"/>
    <w:rsid w:val="524803F0"/>
    <w:rsid w:val="52548C84"/>
    <w:rsid w:val="525FA2B4"/>
    <w:rsid w:val="5263B301"/>
    <w:rsid w:val="526AAB40"/>
    <w:rsid w:val="5274ACB6"/>
    <w:rsid w:val="5288B06D"/>
    <w:rsid w:val="52C8EA79"/>
    <w:rsid w:val="52C9F80A"/>
    <w:rsid w:val="52D6E8B6"/>
    <w:rsid w:val="52D8BB15"/>
    <w:rsid w:val="52F58F3E"/>
    <w:rsid w:val="53101E6E"/>
    <w:rsid w:val="531ABDA7"/>
    <w:rsid w:val="531B8474"/>
    <w:rsid w:val="533174F3"/>
    <w:rsid w:val="53405DED"/>
    <w:rsid w:val="53488E7D"/>
    <w:rsid w:val="535929F2"/>
    <w:rsid w:val="53608759"/>
    <w:rsid w:val="536A4FAE"/>
    <w:rsid w:val="53818DFC"/>
    <w:rsid w:val="5383C873"/>
    <w:rsid w:val="53A4F422"/>
    <w:rsid w:val="53BF17FF"/>
    <w:rsid w:val="53E86024"/>
    <w:rsid w:val="53F23611"/>
    <w:rsid w:val="54000F5A"/>
    <w:rsid w:val="540075B1"/>
    <w:rsid w:val="5431EAB3"/>
    <w:rsid w:val="543C7D76"/>
    <w:rsid w:val="5451B1D1"/>
    <w:rsid w:val="5459CE5F"/>
    <w:rsid w:val="5460D8A6"/>
    <w:rsid w:val="546C375B"/>
    <w:rsid w:val="547B2460"/>
    <w:rsid w:val="548CFDDD"/>
    <w:rsid w:val="5494EB63"/>
    <w:rsid w:val="54AD28BF"/>
    <w:rsid w:val="54B20D98"/>
    <w:rsid w:val="54B24F48"/>
    <w:rsid w:val="54E90FEC"/>
    <w:rsid w:val="54F9308C"/>
    <w:rsid w:val="550A9E7A"/>
    <w:rsid w:val="550ADFC4"/>
    <w:rsid w:val="551C7E31"/>
    <w:rsid w:val="553314E2"/>
    <w:rsid w:val="554DE7B4"/>
    <w:rsid w:val="555D13F8"/>
    <w:rsid w:val="55748879"/>
    <w:rsid w:val="5578458E"/>
    <w:rsid w:val="55798067"/>
    <w:rsid w:val="558BF38D"/>
    <w:rsid w:val="558C4655"/>
    <w:rsid w:val="558E1C57"/>
    <w:rsid w:val="55A27F8E"/>
    <w:rsid w:val="55B7157E"/>
    <w:rsid w:val="55C20B51"/>
    <w:rsid w:val="55C7A9FB"/>
    <w:rsid w:val="55F0ED9D"/>
    <w:rsid w:val="55F96B41"/>
    <w:rsid w:val="55FEA46F"/>
    <w:rsid w:val="561131C4"/>
    <w:rsid w:val="56207651"/>
    <w:rsid w:val="5633D5A9"/>
    <w:rsid w:val="564CFADB"/>
    <w:rsid w:val="565B45B0"/>
    <w:rsid w:val="56672B9C"/>
    <w:rsid w:val="5670C1E8"/>
    <w:rsid w:val="568ED35C"/>
    <w:rsid w:val="56A48656"/>
    <w:rsid w:val="56B0862F"/>
    <w:rsid w:val="56C2490B"/>
    <w:rsid w:val="56C3FC1C"/>
    <w:rsid w:val="56EDDA56"/>
    <w:rsid w:val="56F31F3E"/>
    <w:rsid w:val="56F5B2E5"/>
    <w:rsid w:val="57022333"/>
    <w:rsid w:val="57071C9C"/>
    <w:rsid w:val="5710F78E"/>
    <w:rsid w:val="5711E0E3"/>
    <w:rsid w:val="57317077"/>
    <w:rsid w:val="57693C9D"/>
    <w:rsid w:val="577267B9"/>
    <w:rsid w:val="577E711B"/>
    <w:rsid w:val="57816DD2"/>
    <w:rsid w:val="578413B3"/>
    <w:rsid w:val="579EDE93"/>
    <w:rsid w:val="57AE820F"/>
    <w:rsid w:val="57BDBF63"/>
    <w:rsid w:val="57F29B10"/>
    <w:rsid w:val="5803DA4C"/>
    <w:rsid w:val="580CF2F7"/>
    <w:rsid w:val="580EC869"/>
    <w:rsid w:val="5830E3CC"/>
    <w:rsid w:val="58319E4C"/>
    <w:rsid w:val="584BE6A1"/>
    <w:rsid w:val="58727E77"/>
    <w:rsid w:val="5894E79C"/>
    <w:rsid w:val="5894E821"/>
    <w:rsid w:val="58987D6F"/>
    <w:rsid w:val="58A915F3"/>
    <w:rsid w:val="58AC293B"/>
    <w:rsid w:val="58C034FA"/>
    <w:rsid w:val="58C1FBCC"/>
    <w:rsid w:val="58CCFD76"/>
    <w:rsid w:val="58D9A072"/>
    <w:rsid w:val="58E1B47E"/>
    <w:rsid w:val="58E6879D"/>
    <w:rsid w:val="58F16EE7"/>
    <w:rsid w:val="58FD0848"/>
    <w:rsid w:val="58FE7CC9"/>
    <w:rsid w:val="59106B81"/>
    <w:rsid w:val="5922671C"/>
    <w:rsid w:val="592E477A"/>
    <w:rsid w:val="5941CC9E"/>
    <w:rsid w:val="594A365F"/>
    <w:rsid w:val="5957C866"/>
    <w:rsid w:val="595F77C7"/>
    <w:rsid w:val="5976290B"/>
    <w:rsid w:val="597F1BFC"/>
    <w:rsid w:val="598208AB"/>
    <w:rsid w:val="598217C7"/>
    <w:rsid w:val="59941D44"/>
    <w:rsid w:val="59A0B677"/>
    <w:rsid w:val="59AE4F43"/>
    <w:rsid w:val="59BDC4E7"/>
    <w:rsid w:val="59D6EE62"/>
    <w:rsid w:val="59E417FA"/>
    <w:rsid w:val="59EDAC9E"/>
    <w:rsid w:val="59F30709"/>
    <w:rsid w:val="5A1CC858"/>
    <w:rsid w:val="5A1D26AE"/>
    <w:rsid w:val="5A37A869"/>
    <w:rsid w:val="5A573D34"/>
    <w:rsid w:val="5A7353C7"/>
    <w:rsid w:val="5A967DB7"/>
    <w:rsid w:val="5A975A6A"/>
    <w:rsid w:val="5AA0DB2B"/>
    <w:rsid w:val="5AA64093"/>
    <w:rsid w:val="5AA85E29"/>
    <w:rsid w:val="5AAB74D6"/>
    <w:rsid w:val="5AC45EC0"/>
    <w:rsid w:val="5AD2BADB"/>
    <w:rsid w:val="5AE25014"/>
    <w:rsid w:val="5B00054B"/>
    <w:rsid w:val="5B018CA3"/>
    <w:rsid w:val="5B0EA8E2"/>
    <w:rsid w:val="5B1628FC"/>
    <w:rsid w:val="5B203C1F"/>
    <w:rsid w:val="5B2AAD6D"/>
    <w:rsid w:val="5B2DA6AB"/>
    <w:rsid w:val="5B33AF41"/>
    <w:rsid w:val="5B35D105"/>
    <w:rsid w:val="5B440B6F"/>
    <w:rsid w:val="5B61F493"/>
    <w:rsid w:val="5B67780C"/>
    <w:rsid w:val="5B686128"/>
    <w:rsid w:val="5B9C4358"/>
    <w:rsid w:val="5BA84284"/>
    <w:rsid w:val="5BC3DF4C"/>
    <w:rsid w:val="5BC50239"/>
    <w:rsid w:val="5BD8B6B4"/>
    <w:rsid w:val="5BE9AE46"/>
    <w:rsid w:val="5BEC9583"/>
    <w:rsid w:val="5BFAA672"/>
    <w:rsid w:val="5C019388"/>
    <w:rsid w:val="5C066912"/>
    <w:rsid w:val="5C27D7FE"/>
    <w:rsid w:val="5C38682C"/>
    <w:rsid w:val="5C4B9942"/>
    <w:rsid w:val="5C625DCA"/>
    <w:rsid w:val="5C7371FB"/>
    <w:rsid w:val="5C7DF5EA"/>
    <w:rsid w:val="5C8561AF"/>
    <w:rsid w:val="5C92ACD9"/>
    <w:rsid w:val="5CB44355"/>
    <w:rsid w:val="5CB5862D"/>
    <w:rsid w:val="5CDCFB83"/>
    <w:rsid w:val="5CDFA793"/>
    <w:rsid w:val="5CFBACFD"/>
    <w:rsid w:val="5D092C4B"/>
    <w:rsid w:val="5D0FB5A7"/>
    <w:rsid w:val="5D19F009"/>
    <w:rsid w:val="5D27AC4F"/>
    <w:rsid w:val="5D329543"/>
    <w:rsid w:val="5D410C0E"/>
    <w:rsid w:val="5D4A9232"/>
    <w:rsid w:val="5D563F26"/>
    <w:rsid w:val="5D7147D3"/>
    <w:rsid w:val="5D76F41F"/>
    <w:rsid w:val="5D882944"/>
    <w:rsid w:val="5DB4C59D"/>
    <w:rsid w:val="5DD8AB29"/>
    <w:rsid w:val="5DE4C9EE"/>
    <w:rsid w:val="5DFA710A"/>
    <w:rsid w:val="5E06A563"/>
    <w:rsid w:val="5E3DC845"/>
    <w:rsid w:val="5E3EDA9D"/>
    <w:rsid w:val="5E47BB10"/>
    <w:rsid w:val="5E5623B5"/>
    <w:rsid w:val="5E608EC6"/>
    <w:rsid w:val="5E630E7B"/>
    <w:rsid w:val="5E6D6A13"/>
    <w:rsid w:val="5E7C3F83"/>
    <w:rsid w:val="5E7FA5CF"/>
    <w:rsid w:val="5E899C59"/>
    <w:rsid w:val="5E8A1536"/>
    <w:rsid w:val="5E995F33"/>
    <w:rsid w:val="5EA52CFC"/>
    <w:rsid w:val="5EB2B20B"/>
    <w:rsid w:val="5ED0BDFB"/>
    <w:rsid w:val="5EDFBECB"/>
    <w:rsid w:val="5EE4FA6F"/>
    <w:rsid w:val="5EFDF998"/>
    <w:rsid w:val="5EFF6013"/>
    <w:rsid w:val="5F078A4D"/>
    <w:rsid w:val="5F1013A7"/>
    <w:rsid w:val="5F1CEFC3"/>
    <w:rsid w:val="5F654761"/>
    <w:rsid w:val="5F6EC1C0"/>
    <w:rsid w:val="5F6F52D1"/>
    <w:rsid w:val="5F7A965F"/>
    <w:rsid w:val="5F849372"/>
    <w:rsid w:val="5F8E4DA1"/>
    <w:rsid w:val="5F934068"/>
    <w:rsid w:val="5FA40B70"/>
    <w:rsid w:val="5FA6E77B"/>
    <w:rsid w:val="5FB3959F"/>
    <w:rsid w:val="5FE233D7"/>
    <w:rsid w:val="5FFA83AC"/>
    <w:rsid w:val="6009386F"/>
    <w:rsid w:val="601C4CC6"/>
    <w:rsid w:val="6042A4CA"/>
    <w:rsid w:val="60625F0A"/>
    <w:rsid w:val="60697873"/>
    <w:rsid w:val="6078EC9C"/>
    <w:rsid w:val="607D5594"/>
    <w:rsid w:val="608253C2"/>
    <w:rsid w:val="609B8977"/>
    <w:rsid w:val="609C0520"/>
    <w:rsid w:val="609D472A"/>
    <w:rsid w:val="60A17F40"/>
    <w:rsid w:val="60ADE1E7"/>
    <w:rsid w:val="60B5711D"/>
    <w:rsid w:val="60C254BD"/>
    <w:rsid w:val="60D53D30"/>
    <w:rsid w:val="60F758A5"/>
    <w:rsid w:val="60FDB109"/>
    <w:rsid w:val="610C5737"/>
    <w:rsid w:val="610D3482"/>
    <w:rsid w:val="611A9BBE"/>
    <w:rsid w:val="6123B4C7"/>
    <w:rsid w:val="613C1DE8"/>
    <w:rsid w:val="6149A484"/>
    <w:rsid w:val="614B2B68"/>
    <w:rsid w:val="61550B78"/>
    <w:rsid w:val="6174024D"/>
    <w:rsid w:val="61825E86"/>
    <w:rsid w:val="61880C69"/>
    <w:rsid w:val="618C253C"/>
    <w:rsid w:val="618CB0B1"/>
    <w:rsid w:val="6199A2E9"/>
    <w:rsid w:val="61ADE9F3"/>
    <w:rsid w:val="61CF5C4E"/>
    <w:rsid w:val="61F86F9C"/>
    <w:rsid w:val="622FC30D"/>
    <w:rsid w:val="62379C8D"/>
    <w:rsid w:val="623904EC"/>
    <w:rsid w:val="624C0113"/>
    <w:rsid w:val="6266E07F"/>
    <w:rsid w:val="626F7C60"/>
    <w:rsid w:val="629C4613"/>
    <w:rsid w:val="629E9334"/>
    <w:rsid w:val="62C0F93A"/>
    <w:rsid w:val="62C7CDA4"/>
    <w:rsid w:val="62C90207"/>
    <w:rsid w:val="62F9A2E3"/>
    <w:rsid w:val="62F9B141"/>
    <w:rsid w:val="6307647D"/>
    <w:rsid w:val="630AC709"/>
    <w:rsid w:val="630D32A8"/>
    <w:rsid w:val="6310EA4D"/>
    <w:rsid w:val="6323A54E"/>
    <w:rsid w:val="632804D0"/>
    <w:rsid w:val="63332ED5"/>
    <w:rsid w:val="633DFAFE"/>
    <w:rsid w:val="63417893"/>
    <w:rsid w:val="6372702F"/>
    <w:rsid w:val="639A4A3E"/>
    <w:rsid w:val="63AB989D"/>
    <w:rsid w:val="63AD9947"/>
    <w:rsid w:val="63B1439A"/>
    <w:rsid w:val="63B9EEF5"/>
    <w:rsid w:val="63BAA56D"/>
    <w:rsid w:val="63C6347E"/>
    <w:rsid w:val="63C84654"/>
    <w:rsid w:val="63D17871"/>
    <w:rsid w:val="63DEEA24"/>
    <w:rsid w:val="63E583C2"/>
    <w:rsid w:val="63FC5455"/>
    <w:rsid w:val="6400A5B4"/>
    <w:rsid w:val="641C0BE4"/>
    <w:rsid w:val="643004D5"/>
    <w:rsid w:val="643EE52E"/>
    <w:rsid w:val="6448B1DF"/>
    <w:rsid w:val="644A0297"/>
    <w:rsid w:val="646D8604"/>
    <w:rsid w:val="6470F7EA"/>
    <w:rsid w:val="647C91E5"/>
    <w:rsid w:val="6498BC51"/>
    <w:rsid w:val="649F8B3A"/>
    <w:rsid w:val="64AC0D41"/>
    <w:rsid w:val="64C50E54"/>
    <w:rsid w:val="64DF7CBA"/>
    <w:rsid w:val="64E312CD"/>
    <w:rsid w:val="64E756D1"/>
    <w:rsid w:val="6529962D"/>
    <w:rsid w:val="655306BB"/>
    <w:rsid w:val="6574229C"/>
    <w:rsid w:val="65931EDE"/>
    <w:rsid w:val="659FD5EF"/>
    <w:rsid w:val="65B0199A"/>
    <w:rsid w:val="65EC72FE"/>
    <w:rsid w:val="66084368"/>
    <w:rsid w:val="6628450A"/>
    <w:rsid w:val="662C7460"/>
    <w:rsid w:val="6636924A"/>
    <w:rsid w:val="663D44F2"/>
    <w:rsid w:val="66661122"/>
    <w:rsid w:val="666AD4E7"/>
    <w:rsid w:val="666BA56E"/>
    <w:rsid w:val="667E9657"/>
    <w:rsid w:val="6692AF6C"/>
    <w:rsid w:val="66EE34EB"/>
    <w:rsid w:val="670EE2B9"/>
    <w:rsid w:val="6711308E"/>
    <w:rsid w:val="6724D3C7"/>
    <w:rsid w:val="67340D2B"/>
    <w:rsid w:val="67465AEF"/>
    <w:rsid w:val="674AA286"/>
    <w:rsid w:val="674F4697"/>
    <w:rsid w:val="675B1871"/>
    <w:rsid w:val="676A6C94"/>
    <w:rsid w:val="677CE644"/>
    <w:rsid w:val="67A20F37"/>
    <w:rsid w:val="67A488D3"/>
    <w:rsid w:val="67B03C66"/>
    <w:rsid w:val="67B5B26D"/>
    <w:rsid w:val="67F909EC"/>
    <w:rsid w:val="680CB9EE"/>
    <w:rsid w:val="6812BCB2"/>
    <w:rsid w:val="6814FBA5"/>
    <w:rsid w:val="683EC1AF"/>
    <w:rsid w:val="6845AB97"/>
    <w:rsid w:val="68706225"/>
    <w:rsid w:val="6876A4CB"/>
    <w:rsid w:val="688765BC"/>
    <w:rsid w:val="688BFA4F"/>
    <w:rsid w:val="68A4759D"/>
    <w:rsid w:val="68A77823"/>
    <w:rsid w:val="68C52B81"/>
    <w:rsid w:val="68ED3295"/>
    <w:rsid w:val="690D0B56"/>
    <w:rsid w:val="69348210"/>
    <w:rsid w:val="694461FD"/>
    <w:rsid w:val="69746870"/>
    <w:rsid w:val="6976E0EF"/>
    <w:rsid w:val="699001A3"/>
    <w:rsid w:val="69910FA4"/>
    <w:rsid w:val="69BF1834"/>
    <w:rsid w:val="69C100EE"/>
    <w:rsid w:val="69C1F852"/>
    <w:rsid w:val="69C47F51"/>
    <w:rsid w:val="69CD0C6E"/>
    <w:rsid w:val="69D48AE9"/>
    <w:rsid w:val="69F259D1"/>
    <w:rsid w:val="69F4DC78"/>
    <w:rsid w:val="6A0089DD"/>
    <w:rsid w:val="6A1BF9CF"/>
    <w:rsid w:val="6A1E68F9"/>
    <w:rsid w:val="6A3424D3"/>
    <w:rsid w:val="6A3E79D2"/>
    <w:rsid w:val="6A3FB300"/>
    <w:rsid w:val="6A5166C5"/>
    <w:rsid w:val="6A57FF80"/>
    <w:rsid w:val="6A5F429B"/>
    <w:rsid w:val="6A73AAB7"/>
    <w:rsid w:val="6A958D76"/>
    <w:rsid w:val="6AC22667"/>
    <w:rsid w:val="6AD29686"/>
    <w:rsid w:val="6AEB91AD"/>
    <w:rsid w:val="6AF6D775"/>
    <w:rsid w:val="6AFAE3B3"/>
    <w:rsid w:val="6B190128"/>
    <w:rsid w:val="6B341164"/>
    <w:rsid w:val="6B3B27EA"/>
    <w:rsid w:val="6B4A5D74"/>
    <w:rsid w:val="6B510B78"/>
    <w:rsid w:val="6B716D51"/>
    <w:rsid w:val="6BB0352B"/>
    <w:rsid w:val="6BBEA14E"/>
    <w:rsid w:val="6BCB1929"/>
    <w:rsid w:val="6C24D121"/>
    <w:rsid w:val="6C39B68F"/>
    <w:rsid w:val="6C466672"/>
    <w:rsid w:val="6C4D16E4"/>
    <w:rsid w:val="6C65F4C5"/>
    <w:rsid w:val="6C733671"/>
    <w:rsid w:val="6C91A995"/>
    <w:rsid w:val="6C96ACD0"/>
    <w:rsid w:val="6CBE43D8"/>
    <w:rsid w:val="6CD38F29"/>
    <w:rsid w:val="6CD53E6C"/>
    <w:rsid w:val="6CEBCA43"/>
    <w:rsid w:val="6CEC918A"/>
    <w:rsid w:val="6CF51ECC"/>
    <w:rsid w:val="6CFEE314"/>
    <w:rsid w:val="6D013FFC"/>
    <w:rsid w:val="6D02B697"/>
    <w:rsid w:val="6D091FD1"/>
    <w:rsid w:val="6D1703EC"/>
    <w:rsid w:val="6D57A5DC"/>
    <w:rsid w:val="6D5BC178"/>
    <w:rsid w:val="6D72A720"/>
    <w:rsid w:val="6D9EA704"/>
    <w:rsid w:val="6DB04655"/>
    <w:rsid w:val="6DB08EAD"/>
    <w:rsid w:val="6DB9B485"/>
    <w:rsid w:val="6DC2B3AD"/>
    <w:rsid w:val="6DC4904A"/>
    <w:rsid w:val="6DC9A9B3"/>
    <w:rsid w:val="6DD949B9"/>
    <w:rsid w:val="6DF5BBDA"/>
    <w:rsid w:val="6DFC6527"/>
    <w:rsid w:val="6E08B023"/>
    <w:rsid w:val="6E183858"/>
    <w:rsid w:val="6E2BE0AD"/>
    <w:rsid w:val="6E39E920"/>
    <w:rsid w:val="6E459180"/>
    <w:rsid w:val="6E464BDB"/>
    <w:rsid w:val="6E4EC450"/>
    <w:rsid w:val="6E5368B3"/>
    <w:rsid w:val="6E76569F"/>
    <w:rsid w:val="6E79B988"/>
    <w:rsid w:val="6E80F785"/>
    <w:rsid w:val="6EA0B719"/>
    <w:rsid w:val="6EC47BC7"/>
    <w:rsid w:val="6EE24297"/>
    <w:rsid w:val="6EE59EB1"/>
    <w:rsid w:val="6EE8EB8D"/>
    <w:rsid w:val="6EF96292"/>
    <w:rsid w:val="6EFF7D20"/>
    <w:rsid w:val="6F015493"/>
    <w:rsid w:val="6F277B51"/>
    <w:rsid w:val="6F30F01B"/>
    <w:rsid w:val="6F336E8C"/>
    <w:rsid w:val="6F4AE7C6"/>
    <w:rsid w:val="6F6346BD"/>
    <w:rsid w:val="6F64C77F"/>
    <w:rsid w:val="6F88E6C2"/>
    <w:rsid w:val="6F8E08B9"/>
    <w:rsid w:val="6FBF8A84"/>
    <w:rsid w:val="6FC213D3"/>
    <w:rsid w:val="6FC57D5D"/>
    <w:rsid w:val="6FDF590A"/>
    <w:rsid w:val="6FDFC901"/>
    <w:rsid w:val="6FE0314E"/>
    <w:rsid w:val="6FE3BD4F"/>
    <w:rsid w:val="6FE6259D"/>
    <w:rsid w:val="70097A11"/>
    <w:rsid w:val="70220732"/>
    <w:rsid w:val="708DC17B"/>
    <w:rsid w:val="7093EFB7"/>
    <w:rsid w:val="7097D2B7"/>
    <w:rsid w:val="70CA2172"/>
    <w:rsid w:val="70D74F63"/>
    <w:rsid w:val="70FA2DA7"/>
    <w:rsid w:val="7106B886"/>
    <w:rsid w:val="7110840D"/>
    <w:rsid w:val="71183F8E"/>
    <w:rsid w:val="711E4A90"/>
    <w:rsid w:val="7122E00E"/>
    <w:rsid w:val="71333432"/>
    <w:rsid w:val="71342C8B"/>
    <w:rsid w:val="71456D6D"/>
    <w:rsid w:val="714AE64B"/>
    <w:rsid w:val="71546480"/>
    <w:rsid w:val="715B5AE5"/>
    <w:rsid w:val="71602895"/>
    <w:rsid w:val="716CC3E5"/>
    <w:rsid w:val="717964A9"/>
    <w:rsid w:val="71799488"/>
    <w:rsid w:val="717FF22D"/>
    <w:rsid w:val="7199ACD4"/>
    <w:rsid w:val="71A33553"/>
    <w:rsid w:val="71EE832C"/>
    <w:rsid w:val="72343730"/>
    <w:rsid w:val="72349397"/>
    <w:rsid w:val="724B6E6F"/>
    <w:rsid w:val="72519291"/>
    <w:rsid w:val="725A63C6"/>
    <w:rsid w:val="725D1930"/>
    <w:rsid w:val="727113FB"/>
    <w:rsid w:val="72820308"/>
    <w:rsid w:val="72A01453"/>
    <w:rsid w:val="72A83ABB"/>
    <w:rsid w:val="72C22F4A"/>
    <w:rsid w:val="73228432"/>
    <w:rsid w:val="735013FC"/>
    <w:rsid w:val="735B8800"/>
    <w:rsid w:val="7379D39E"/>
    <w:rsid w:val="7382FA9B"/>
    <w:rsid w:val="73A9444E"/>
    <w:rsid w:val="73B41C92"/>
    <w:rsid w:val="73C33637"/>
    <w:rsid w:val="73CF9373"/>
    <w:rsid w:val="73E4606D"/>
    <w:rsid w:val="73F0C700"/>
    <w:rsid w:val="73FB4C63"/>
    <w:rsid w:val="73FFAE14"/>
    <w:rsid w:val="7401406F"/>
    <w:rsid w:val="740ACFAC"/>
    <w:rsid w:val="742D9226"/>
    <w:rsid w:val="7438C9C9"/>
    <w:rsid w:val="743F67DF"/>
    <w:rsid w:val="7441AB25"/>
    <w:rsid w:val="744F27C4"/>
    <w:rsid w:val="745687AF"/>
    <w:rsid w:val="745787A8"/>
    <w:rsid w:val="745EE7C8"/>
    <w:rsid w:val="7463909A"/>
    <w:rsid w:val="7478B734"/>
    <w:rsid w:val="748E9DBF"/>
    <w:rsid w:val="749D0EEF"/>
    <w:rsid w:val="749F0DEA"/>
    <w:rsid w:val="74AC5501"/>
    <w:rsid w:val="74C0E350"/>
    <w:rsid w:val="74C29B6A"/>
    <w:rsid w:val="74C432B5"/>
    <w:rsid w:val="74C9DB5F"/>
    <w:rsid w:val="74D38B0C"/>
    <w:rsid w:val="74EDE48A"/>
    <w:rsid w:val="74EE9923"/>
    <w:rsid w:val="74F02F1D"/>
    <w:rsid w:val="750C5322"/>
    <w:rsid w:val="752AD65A"/>
    <w:rsid w:val="752FC28B"/>
    <w:rsid w:val="75406FBD"/>
    <w:rsid w:val="7540B7A9"/>
    <w:rsid w:val="7541E132"/>
    <w:rsid w:val="7551788D"/>
    <w:rsid w:val="75580548"/>
    <w:rsid w:val="755AA954"/>
    <w:rsid w:val="755C608F"/>
    <w:rsid w:val="756618F1"/>
    <w:rsid w:val="75738F30"/>
    <w:rsid w:val="75AECD39"/>
    <w:rsid w:val="75C4EB99"/>
    <w:rsid w:val="75CC464C"/>
    <w:rsid w:val="75CD08C0"/>
    <w:rsid w:val="75D052C7"/>
    <w:rsid w:val="75D680DD"/>
    <w:rsid w:val="75D70960"/>
    <w:rsid w:val="75D843D5"/>
    <w:rsid w:val="75E33CEA"/>
    <w:rsid w:val="75F563A4"/>
    <w:rsid w:val="75F88ABC"/>
    <w:rsid w:val="7604FA02"/>
    <w:rsid w:val="761B97F8"/>
    <w:rsid w:val="762AA691"/>
    <w:rsid w:val="763CD985"/>
    <w:rsid w:val="764BF070"/>
    <w:rsid w:val="765BC374"/>
    <w:rsid w:val="766B532E"/>
    <w:rsid w:val="7681A69D"/>
    <w:rsid w:val="76835F03"/>
    <w:rsid w:val="76886F01"/>
    <w:rsid w:val="76BF9643"/>
    <w:rsid w:val="76D11CC0"/>
    <w:rsid w:val="76DAA4FC"/>
    <w:rsid w:val="76E4F7FD"/>
    <w:rsid w:val="76E7B21B"/>
    <w:rsid w:val="77048A7A"/>
    <w:rsid w:val="7708290D"/>
    <w:rsid w:val="770BCF00"/>
    <w:rsid w:val="7739366B"/>
    <w:rsid w:val="774EC312"/>
    <w:rsid w:val="7762FD41"/>
    <w:rsid w:val="776C25F5"/>
    <w:rsid w:val="7778B492"/>
    <w:rsid w:val="777BA21A"/>
    <w:rsid w:val="777EE19A"/>
    <w:rsid w:val="778C7150"/>
    <w:rsid w:val="779633BD"/>
    <w:rsid w:val="77A8A76C"/>
    <w:rsid w:val="77A9A22A"/>
    <w:rsid w:val="77BF1B3C"/>
    <w:rsid w:val="77D1FD4F"/>
    <w:rsid w:val="77D72FFF"/>
    <w:rsid w:val="77EF84CF"/>
    <w:rsid w:val="77FD77C3"/>
    <w:rsid w:val="77FE1C3B"/>
    <w:rsid w:val="780A54F0"/>
    <w:rsid w:val="7826C466"/>
    <w:rsid w:val="782FE037"/>
    <w:rsid w:val="783957D6"/>
    <w:rsid w:val="78431E1A"/>
    <w:rsid w:val="7844D2FE"/>
    <w:rsid w:val="7866A5EB"/>
    <w:rsid w:val="7874F7F6"/>
    <w:rsid w:val="78806371"/>
    <w:rsid w:val="78B712BC"/>
    <w:rsid w:val="78B8517F"/>
    <w:rsid w:val="78CA0234"/>
    <w:rsid w:val="78DF672E"/>
    <w:rsid w:val="78DFECA2"/>
    <w:rsid w:val="78E232A2"/>
    <w:rsid w:val="790BB406"/>
    <w:rsid w:val="790FE310"/>
    <w:rsid w:val="7916DD02"/>
    <w:rsid w:val="7933D5BD"/>
    <w:rsid w:val="79476DD5"/>
    <w:rsid w:val="795338BA"/>
    <w:rsid w:val="795598CC"/>
    <w:rsid w:val="797B4BBC"/>
    <w:rsid w:val="797FF52A"/>
    <w:rsid w:val="7987FDA4"/>
    <w:rsid w:val="79982112"/>
    <w:rsid w:val="79A660E7"/>
    <w:rsid w:val="79AEC92D"/>
    <w:rsid w:val="79B5218A"/>
    <w:rsid w:val="79C24167"/>
    <w:rsid w:val="79D12DA3"/>
    <w:rsid w:val="79D14C46"/>
    <w:rsid w:val="79D1AD3D"/>
    <w:rsid w:val="79D42148"/>
    <w:rsid w:val="79E55493"/>
    <w:rsid w:val="79F3F1C5"/>
    <w:rsid w:val="7A0107DD"/>
    <w:rsid w:val="7A0E3BD7"/>
    <w:rsid w:val="7A131C84"/>
    <w:rsid w:val="7A1A1456"/>
    <w:rsid w:val="7A20B4F9"/>
    <w:rsid w:val="7A25F15D"/>
    <w:rsid w:val="7A2E0667"/>
    <w:rsid w:val="7A313EC1"/>
    <w:rsid w:val="7A40AD3B"/>
    <w:rsid w:val="7A4D9C3F"/>
    <w:rsid w:val="7A565280"/>
    <w:rsid w:val="7A582D0F"/>
    <w:rsid w:val="7A58D897"/>
    <w:rsid w:val="7A5F380E"/>
    <w:rsid w:val="7A630659"/>
    <w:rsid w:val="7A758CC6"/>
    <w:rsid w:val="7A75B2F8"/>
    <w:rsid w:val="7AA393A3"/>
    <w:rsid w:val="7AD47112"/>
    <w:rsid w:val="7AD9B58F"/>
    <w:rsid w:val="7AFA354F"/>
    <w:rsid w:val="7B0A8D51"/>
    <w:rsid w:val="7B0CE098"/>
    <w:rsid w:val="7B128B21"/>
    <w:rsid w:val="7B37262C"/>
    <w:rsid w:val="7B462D91"/>
    <w:rsid w:val="7B743E52"/>
    <w:rsid w:val="7B8D8B8F"/>
    <w:rsid w:val="7B922EEE"/>
    <w:rsid w:val="7B9AF389"/>
    <w:rsid w:val="7BB84F87"/>
    <w:rsid w:val="7BC7DCC7"/>
    <w:rsid w:val="7BCA3051"/>
    <w:rsid w:val="7BF16F65"/>
    <w:rsid w:val="7C065E9E"/>
    <w:rsid w:val="7C12C15A"/>
    <w:rsid w:val="7C2E7253"/>
    <w:rsid w:val="7C3461FD"/>
    <w:rsid w:val="7C3E7B01"/>
    <w:rsid w:val="7C4FFA0A"/>
    <w:rsid w:val="7C68EAB2"/>
    <w:rsid w:val="7C76468C"/>
    <w:rsid w:val="7C8EC9E7"/>
    <w:rsid w:val="7C8F64F7"/>
    <w:rsid w:val="7C929679"/>
    <w:rsid w:val="7CA185D6"/>
    <w:rsid w:val="7CAD7FDD"/>
    <w:rsid w:val="7CAF54F4"/>
    <w:rsid w:val="7CC855C3"/>
    <w:rsid w:val="7CCB48BD"/>
    <w:rsid w:val="7CD1ED35"/>
    <w:rsid w:val="7CD9F8C8"/>
    <w:rsid w:val="7CDE41AB"/>
    <w:rsid w:val="7CE03052"/>
    <w:rsid w:val="7CE291FE"/>
    <w:rsid w:val="7CF0D1A5"/>
    <w:rsid w:val="7CF552BC"/>
    <w:rsid w:val="7CF598C2"/>
    <w:rsid w:val="7D0A71A6"/>
    <w:rsid w:val="7D173E1A"/>
    <w:rsid w:val="7D25134E"/>
    <w:rsid w:val="7D45DAE2"/>
    <w:rsid w:val="7D498663"/>
    <w:rsid w:val="7D4A0289"/>
    <w:rsid w:val="7D5D2326"/>
    <w:rsid w:val="7D69424A"/>
    <w:rsid w:val="7D7B6F79"/>
    <w:rsid w:val="7D82CA3E"/>
    <w:rsid w:val="7D8DF342"/>
    <w:rsid w:val="7D9B0345"/>
    <w:rsid w:val="7D9DE74B"/>
    <w:rsid w:val="7D9E9E30"/>
    <w:rsid w:val="7DAF3BF1"/>
    <w:rsid w:val="7DAFA098"/>
    <w:rsid w:val="7DC16541"/>
    <w:rsid w:val="7DD0FF1B"/>
    <w:rsid w:val="7DD9E835"/>
    <w:rsid w:val="7DE0CE4F"/>
    <w:rsid w:val="7DF32364"/>
    <w:rsid w:val="7DF71EED"/>
    <w:rsid w:val="7E15DE53"/>
    <w:rsid w:val="7E16B2D9"/>
    <w:rsid w:val="7E16B612"/>
    <w:rsid w:val="7E28CB0B"/>
    <w:rsid w:val="7E4268E8"/>
    <w:rsid w:val="7E47B884"/>
    <w:rsid w:val="7E522B59"/>
    <w:rsid w:val="7E5E8C10"/>
    <w:rsid w:val="7E734D3C"/>
    <w:rsid w:val="7E9247A2"/>
    <w:rsid w:val="7EA70EB5"/>
    <w:rsid w:val="7EB2D932"/>
    <w:rsid w:val="7EBDE1EA"/>
    <w:rsid w:val="7ED42E3E"/>
    <w:rsid w:val="7EDC88E3"/>
    <w:rsid w:val="7EEF9434"/>
    <w:rsid w:val="7EFFA4CB"/>
    <w:rsid w:val="7F1D580D"/>
    <w:rsid w:val="7F22449E"/>
    <w:rsid w:val="7F3258D5"/>
    <w:rsid w:val="7F427638"/>
    <w:rsid w:val="7F4A04E6"/>
    <w:rsid w:val="7F5164AA"/>
    <w:rsid w:val="7F5959C6"/>
    <w:rsid w:val="7F5FBE3E"/>
    <w:rsid w:val="7F77A90A"/>
    <w:rsid w:val="7F7CC68A"/>
    <w:rsid w:val="7F8B2E36"/>
    <w:rsid w:val="7F9D9D8E"/>
    <w:rsid w:val="7F9DE310"/>
    <w:rsid w:val="7FA9ABDF"/>
    <w:rsid w:val="7FAE09B3"/>
    <w:rsid w:val="7FBD2F6B"/>
    <w:rsid w:val="7FCF6CF3"/>
    <w:rsid w:val="7FCFE3CA"/>
    <w:rsid w:val="7FEA7D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8A1585"/>
  <w15:docId w15:val="{B5611842-2873-4593-9D5C-9B823BF1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sz w:val="24"/>
      <w:szCs w:val="22"/>
    </w:rPr>
  </w:style>
  <w:style w:type="paragraph" w:styleId="Heading1">
    <w:name w:val="heading 1"/>
    <w:basedOn w:val="Normal"/>
    <w:next w:val="Text1"/>
    <w:link w:val="Heading1Char"/>
    <w:uiPriority w:val="9"/>
    <w:qFormat/>
    <w:rsid w:val="003C6015"/>
    <w:pPr>
      <w:keepNext/>
      <w:numPr>
        <w:numId w:val="20"/>
      </w:numPr>
      <w:spacing w:before="360" w:line="240" w:lineRule="auto"/>
      <w:jc w:val="both"/>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3C6015"/>
    <w:pPr>
      <w:keepNext/>
      <w:numPr>
        <w:ilvl w:val="1"/>
        <w:numId w:val="20"/>
      </w:numPr>
      <w:spacing w:line="240" w:lineRule="auto"/>
      <w:jc w:val="both"/>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3C6015"/>
    <w:pPr>
      <w:keepNext/>
      <w:numPr>
        <w:ilvl w:val="2"/>
        <w:numId w:val="20"/>
      </w:numPr>
      <w:spacing w:line="240" w:lineRule="auto"/>
      <w:jc w:val="both"/>
      <w:outlineLvl w:val="2"/>
    </w:pPr>
    <w:rPr>
      <w:rFonts w:eastAsia="Times New Roman"/>
      <w:bCs/>
      <w:i/>
    </w:rPr>
  </w:style>
  <w:style w:type="paragraph" w:styleId="Heading4">
    <w:name w:val="heading 4"/>
    <w:basedOn w:val="Normal"/>
    <w:next w:val="Text1"/>
    <w:link w:val="Heading4Char"/>
    <w:uiPriority w:val="9"/>
    <w:semiHidden/>
    <w:unhideWhenUsed/>
    <w:qFormat/>
    <w:rsid w:val="003C6015"/>
    <w:pPr>
      <w:keepNext/>
      <w:numPr>
        <w:ilvl w:val="3"/>
        <w:numId w:val="20"/>
      </w:numPr>
      <w:spacing w:line="240" w:lineRule="auto"/>
      <w:jc w:val="both"/>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3F"/>
    <w:pPr>
      <w:tabs>
        <w:tab w:val="right" w:pos="9638"/>
      </w:tabs>
    </w:pPr>
  </w:style>
  <w:style w:type="character" w:customStyle="1" w:styleId="HeaderChar">
    <w:name w:val="Header Char"/>
    <w:basedOn w:val="DefaultParagraphFont"/>
    <w:link w:val="Header"/>
    <w:uiPriority w:val="99"/>
    <w:rsid w:val="008A5C3F"/>
    <w:rPr>
      <w:rFonts w:ascii="Times New Roman" w:hAnsi="Times New Roman"/>
      <w:sz w:val="24"/>
      <w:szCs w:val="22"/>
      <w:bdr w:val="none" w:sz="0" w:space="0" w:color="auto"/>
      <w:shd w:val="clear" w:color="auto" w:fill="auto"/>
      <w:lang w:val="sl-SI"/>
    </w:rPr>
  </w:style>
  <w:style w:type="paragraph" w:styleId="Footer">
    <w:name w:val="footer"/>
    <w:basedOn w:val="Normal"/>
    <w:link w:val="FooterChar"/>
    <w:uiPriority w:val="99"/>
    <w:unhideWhenUsed/>
    <w:rsid w:val="008A5C3F"/>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8A5C3F"/>
    <w:rPr>
      <w:rFonts w:ascii="Times New Roman" w:hAnsi="Times New Roman"/>
      <w:sz w:val="24"/>
      <w:szCs w:val="22"/>
      <w:bdr w:val="none" w:sz="0" w:space="0" w:color="auto"/>
      <w:shd w:val="clear" w:color="auto" w:fill="auto"/>
      <w:lang w:val="sl-SI"/>
    </w:rPr>
  </w:style>
  <w:style w:type="paragraph" w:styleId="FootnoteText">
    <w:name w:val="footnote text"/>
    <w:basedOn w:val="Normal"/>
    <w:link w:val="FootnoteTextChar"/>
    <w:uiPriority w:val="99"/>
    <w:unhideWhenUsed/>
    <w:rsid w:val="008A5C3F"/>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8A5C3F"/>
    <w:rPr>
      <w:rFonts w:ascii="Times New Roman" w:hAnsi="Times New Roman"/>
      <w:sz w:val="24"/>
      <w:bdr w:val="none" w:sz="0" w:space="0" w:color="auto"/>
      <w:shd w:val="clear" w:color="auto" w:fill="auto"/>
      <w:lang w:val="sl-SI"/>
    </w:rPr>
  </w:style>
  <w:style w:type="paragraph" w:customStyle="1" w:styleId="HeaderLandscape">
    <w:name w:val="HeaderLandscape"/>
    <w:basedOn w:val="Normal"/>
    <w:rsid w:val="008A5C3F"/>
    <w:pPr>
      <w:tabs>
        <w:tab w:val="right" w:pos="14570"/>
      </w:tabs>
    </w:pPr>
  </w:style>
  <w:style w:type="paragraph" w:customStyle="1" w:styleId="FooterLandscape">
    <w:name w:val="FooterLandscape"/>
    <w:basedOn w:val="Normal"/>
    <w:rsid w:val="008A5C3F"/>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8A5C3F"/>
    <w:rPr>
      <w:b/>
      <w:bdr w:val="none" w:sz="0" w:space="0" w:color="auto"/>
      <w:shd w:val="clear" w:color="auto" w:fill="auto"/>
      <w:vertAlign w:val="superscript"/>
    </w:rPr>
  </w:style>
  <w:style w:type="paragraph" w:customStyle="1" w:styleId="HeaderCouncil">
    <w:name w:val="Header Council"/>
    <w:basedOn w:val="Normal"/>
    <w:link w:val="HeaderCouncilChar"/>
    <w:rsid w:val="008A5C3F"/>
    <w:pPr>
      <w:spacing w:before="0" w:after="0" w:line="240" w:lineRule="auto"/>
    </w:pPr>
    <w:rPr>
      <w:sz w:val="2"/>
    </w:rPr>
  </w:style>
  <w:style w:type="paragraph" w:customStyle="1" w:styleId="FooterCouncil">
    <w:name w:val="Footer Council"/>
    <w:basedOn w:val="Normal"/>
    <w:link w:val="FooterCouncilChar"/>
    <w:rsid w:val="008A5C3F"/>
    <w:pPr>
      <w:spacing w:before="0" w:after="0" w:line="240" w:lineRule="auto"/>
    </w:pPr>
    <w:rPr>
      <w:sz w:val="2"/>
    </w:rPr>
  </w:style>
  <w:style w:type="paragraph" w:customStyle="1" w:styleId="TechnicalBlock">
    <w:name w:val="Technical Block"/>
    <w:basedOn w:val="Normal"/>
    <w:next w:val="Normal"/>
    <w:link w:val="TechnicalBlockChar"/>
    <w:rsid w:val="00842956"/>
    <w:pPr>
      <w:spacing w:before="0" w:after="240" w:line="240" w:lineRule="auto"/>
      <w:jc w:val="center"/>
    </w:pPr>
    <w:rPr>
      <w:rFonts w:eastAsiaTheme="minorHAnsi"/>
    </w:rPr>
  </w:style>
  <w:style w:type="character" w:customStyle="1" w:styleId="Marker">
    <w:name w:val="Marker"/>
    <w:basedOn w:val="DefaultParagraphFont"/>
    <w:rsid w:val="008A5C3F"/>
    <w:rPr>
      <w:color w:val="0000FF"/>
      <w:bdr w:val="none" w:sz="0" w:space="0" w:color="auto"/>
      <w:shd w:val="clear" w:color="auto" w:fill="auto"/>
    </w:rPr>
  </w:style>
  <w:style w:type="character" w:customStyle="1" w:styleId="Marker1">
    <w:name w:val="Marker1"/>
    <w:basedOn w:val="DefaultParagraphFont"/>
    <w:rsid w:val="008A5C3F"/>
    <w:rPr>
      <w:color w:val="008000"/>
      <w:bdr w:val="none" w:sz="0" w:space="0" w:color="auto"/>
      <w:shd w:val="clear" w:color="auto" w:fill="auto"/>
    </w:rPr>
  </w:style>
  <w:style w:type="paragraph" w:customStyle="1" w:styleId="FinalLine">
    <w:name w:val="Final Line"/>
    <w:basedOn w:val="Normal"/>
    <w:next w:val="Normal"/>
    <w:rsid w:val="008A5C3F"/>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8A5C3F"/>
    <w:pPr>
      <w:pBdr>
        <w:bottom w:val="single" w:sz="4" w:space="0" w:color="000000"/>
      </w:pBdr>
      <w:spacing w:before="360"/>
      <w:ind w:left="5868" w:right="5868"/>
      <w:jc w:val="center"/>
    </w:pPr>
    <w:rPr>
      <w:b/>
    </w:rPr>
  </w:style>
  <w:style w:type="paragraph" w:customStyle="1" w:styleId="EntLogo">
    <w:name w:val="EntLogo"/>
    <w:basedOn w:val="Normal"/>
    <w:rsid w:val="008A5C3F"/>
    <w:pPr>
      <w:tabs>
        <w:tab w:val="right" w:pos="9639"/>
      </w:tabs>
      <w:spacing w:before="0" w:after="0"/>
    </w:pPr>
    <w:rPr>
      <w:b/>
    </w:rPr>
  </w:style>
  <w:style w:type="paragraph" w:customStyle="1" w:styleId="EntEmet">
    <w:name w:val="EntEmet"/>
    <w:basedOn w:val="Normal"/>
    <w:rsid w:val="008A5C3F"/>
    <w:pPr>
      <w:spacing w:before="40" w:after="0" w:line="240" w:lineRule="auto"/>
    </w:pPr>
  </w:style>
  <w:style w:type="paragraph" w:customStyle="1" w:styleId="EntInstit">
    <w:name w:val="EntInstit"/>
    <w:basedOn w:val="Normal"/>
    <w:rsid w:val="008A5C3F"/>
    <w:pPr>
      <w:spacing w:before="0" w:after="0" w:line="240" w:lineRule="auto"/>
      <w:jc w:val="right"/>
    </w:pPr>
    <w:rPr>
      <w:b/>
    </w:rPr>
  </w:style>
  <w:style w:type="paragraph" w:customStyle="1" w:styleId="EntRefer">
    <w:name w:val="EntRefer"/>
    <w:basedOn w:val="Normal"/>
    <w:rsid w:val="008A5C3F"/>
    <w:pPr>
      <w:spacing w:before="0" w:after="0" w:line="240" w:lineRule="auto"/>
    </w:pPr>
    <w:rPr>
      <w:b/>
    </w:rPr>
  </w:style>
  <w:style w:type="paragraph" w:customStyle="1" w:styleId="Genredudocument">
    <w:name w:val="Genre du document"/>
    <w:basedOn w:val="EntRefer"/>
    <w:next w:val="EntRefer"/>
    <w:rsid w:val="008A5C3F"/>
    <w:pPr>
      <w:spacing w:before="240"/>
    </w:pPr>
  </w:style>
  <w:style w:type="paragraph" w:customStyle="1" w:styleId="Languagesconcerned">
    <w:name w:val="Languages concerned"/>
    <w:basedOn w:val="Normal"/>
    <w:next w:val="Procedureapplicable"/>
    <w:rsid w:val="008A5C3F"/>
    <w:pPr>
      <w:spacing w:before="240"/>
    </w:pPr>
  </w:style>
  <w:style w:type="paragraph" w:customStyle="1" w:styleId="Procedureapplicable">
    <w:name w:val="Procedure applicable"/>
    <w:basedOn w:val="Normal"/>
    <w:next w:val="Proceduretype"/>
    <w:rsid w:val="008A5C3F"/>
    <w:pPr>
      <w:spacing w:before="240"/>
    </w:pPr>
  </w:style>
  <w:style w:type="paragraph" w:customStyle="1" w:styleId="Proceduretype">
    <w:name w:val="Procedure type"/>
    <w:basedOn w:val="Normal"/>
    <w:next w:val="Normal"/>
    <w:rsid w:val="008A5C3F"/>
    <w:pPr>
      <w:spacing w:before="240" w:after="0"/>
    </w:pPr>
  </w:style>
  <w:style w:type="paragraph" w:customStyle="1" w:styleId="Agreement">
    <w:name w:val="Agreement"/>
    <w:basedOn w:val="Normal"/>
    <w:next w:val="Normal"/>
    <w:rsid w:val="008A5C3F"/>
    <w:pPr>
      <w:spacing w:before="0"/>
    </w:pPr>
  </w:style>
  <w:style w:type="paragraph" w:customStyle="1" w:styleId="Timelimit">
    <w:name w:val="Time limit"/>
    <w:basedOn w:val="Normal"/>
    <w:next w:val="Normal"/>
    <w:rsid w:val="008A5C3F"/>
    <w:pPr>
      <w:spacing w:before="240"/>
    </w:pPr>
  </w:style>
  <w:style w:type="paragraph" w:customStyle="1" w:styleId="Remarks">
    <w:name w:val="Remarks"/>
    <w:basedOn w:val="Normal"/>
    <w:rsid w:val="008A5C3F"/>
    <w:pPr>
      <w:spacing w:before="240"/>
    </w:pPr>
  </w:style>
  <w:style w:type="paragraph" w:customStyle="1" w:styleId="Correctionnewlanguages">
    <w:name w:val="Correction new languages"/>
    <w:basedOn w:val="Normal"/>
    <w:next w:val="Normal"/>
    <w:rsid w:val="008A5C3F"/>
    <w:pPr>
      <w:spacing w:before="240"/>
    </w:pPr>
  </w:style>
  <w:style w:type="paragraph" w:customStyle="1" w:styleId="Anyobservations">
    <w:name w:val="Any observations"/>
    <w:basedOn w:val="Normal"/>
    <w:next w:val="Normal"/>
    <w:rsid w:val="008A5C3F"/>
    <w:pPr>
      <w:spacing w:before="240"/>
    </w:pPr>
    <w:rPr>
      <w:b/>
    </w:rPr>
  </w:style>
  <w:style w:type="paragraph" w:customStyle="1" w:styleId="Annextitle">
    <w:name w:val="Annex title"/>
    <w:basedOn w:val="Normal"/>
    <w:next w:val="Corrigendumtitle"/>
    <w:rsid w:val="008A5C3F"/>
    <w:pPr>
      <w:spacing w:before="0" w:after="0"/>
      <w:jc w:val="right"/>
    </w:pPr>
    <w:rPr>
      <w:b/>
      <w:u w:val="single"/>
    </w:rPr>
  </w:style>
  <w:style w:type="paragraph" w:customStyle="1" w:styleId="Corrigendumtitle">
    <w:name w:val="Corrigendum title"/>
    <w:basedOn w:val="Normal"/>
    <w:next w:val="Corrigendumto"/>
    <w:rsid w:val="008A5C3F"/>
    <w:pPr>
      <w:spacing w:before="240"/>
      <w:jc w:val="center"/>
    </w:pPr>
    <w:rPr>
      <w:b/>
    </w:rPr>
  </w:style>
  <w:style w:type="paragraph" w:customStyle="1" w:styleId="Corrigendumto">
    <w:name w:val="Corrigendum to"/>
    <w:basedOn w:val="Normal"/>
    <w:next w:val="Referencedocument"/>
    <w:rsid w:val="008A5C3F"/>
    <w:pPr>
      <w:spacing w:after="240"/>
      <w:jc w:val="center"/>
    </w:pPr>
    <w:rPr>
      <w:b/>
    </w:rPr>
  </w:style>
  <w:style w:type="paragraph" w:customStyle="1" w:styleId="Referencedocument">
    <w:name w:val="Reference document"/>
    <w:basedOn w:val="Normal"/>
    <w:rsid w:val="008A5C3F"/>
    <w:pPr>
      <w:spacing w:before="0" w:after="0"/>
      <w:jc w:val="center"/>
    </w:pPr>
  </w:style>
  <w:style w:type="paragraph" w:customStyle="1" w:styleId="Correctionpage">
    <w:name w:val="Correction page"/>
    <w:basedOn w:val="Normal"/>
    <w:next w:val="Correctionfortitle"/>
    <w:rsid w:val="008A5C3F"/>
    <w:pPr>
      <w:keepNext/>
      <w:spacing w:before="240"/>
    </w:pPr>
  </w:style>
  <w:style w:type="paragraph" w:customStyle="1" w:styleId="Correctionfortitle">
    <w:name w:val="Correction for title"/>
    <w:basedOn w:val="Normal"/>
    <w:next w:val="Correctionfortext"/>
    <w:rsid w:val="008A5C3F"/>
    <w:pPr>
      <w:keepNext/>
      <w:spacing w:after="240"/>
    </w:pPr>
    <w:rPr>
      <w:i/>
    </w:rPr>
  </w:style>
  <w:style w:type="paragraph" w:customStyle="1" w:styleId="Correctionfortext">
    <w:name w:val="Correction for text"/>
    <w:basedOn w:val="Normal"/>
    <w:rsid w:val="008A5C3F"/>
    <w:pPr>
      <w:spacing w:before="0" w:after="0"/>
    </w:pPr>
  </w:style>
  <w:style w:type="paragraph" w:customStyle="1" w:styleId="Correctionreadtitle">
    <w:name w:val="Correction read title"/>
    <w:basedOn w:val="Normal"/>
    <w:next w:val="Correctionreadtext"/>
    <w:rsid w:val="008A5C3F"/>
    <w:pPr>
      <w:keepNext/>
      <w:spacing w:after="240"/>
    </w:pPr>
    <w:rPr>
      <w:i/>
    </w:rPr>
  </w:style>
  <w:style w:type="paragraph" w:customStyle="1" w:styleId="Correctionreadtext">
    <w:name w:val="Correction read text"/>
    <w:basedOn w:val="Normal"/>
    <w:rsid w:val="008A5C3F"/>
    <w:pPr>
      <w:spacing w:before="0" w:after="0"/>
    </w:pPr>
  </w:style>
  <w:style w:type="paragraph" w:customStyle="1" w:styleId="Phraseofsignature">
    <w:name w:val="Phrase of signature"/>
    <w:basedOn w:val="Normal"/>
    <w:next w:val="Correctionpage"/>
    <w:rsid w:val="008A5C3F"/>
    <w:pPr>
      <w:spacing w:before="240"/>
    </w:pPr>
  </w:style>
  <w:style w:type="paragraph" w:customStyle="1" w:styleId="HeaderCouncilLarge">
    <w:name w:val="Header Council Large"/>
    <w:basedOn w:val="Normal"/>
    <w:link w:val="HeaderCouncilLargeChar"/>
    <w:rsid w:val="00EB0D1F"/>
    <w:pPr>
      <w:spacing w:before="0" w:after="440"/>
      <w:ind w:left="-1134" w:right="-1134"/>
    </w:pPr>
    <w:rPr>
      <w:rFonts w:eastAsiaTheme="minorHAnsi"/>
      <w:sz w:val="2"/>
    </w:rPr>
  </w:style>
  <w:style w:type="character" w:customStyle="1" w:styleId="TechnicalBlockChar">
    <w:name w:val="Technical Block Char"/>
    <w:basedOn w:val="DefaultParagraphFont"/>
    <w:link w:val="TechnicalBlock"/>
    <w:rsid w:val="00EB0D1F"/>
    <w:rPr>
      <w:rFonts w:ascii="Times New Roman" w:eastAsiaTheme="minorHAnsi" w:hAnsi="Times New Roman"/>
      <w:sz w:val="24"/>
      <w:szCs w:val="22"/>
      <w:lang w:val="sl-SI"/>
    </w:rPr>
  </w:style>
  <w:style w:type="character" w:customStyle="1" w:styleId="HeaderCouncilLargeChar">
    <w:name w:val="Header Council Large Char"/>
    <w:basedOn w:val="TechnicalBlockChar"/>
    <w:link w:val="HeaderCouncilLarge"/>
    <w:rsid w:val="00EB0D1F"/>
    <w:rPr>
      <w:rFonts w:ascii="Times New Roman" w:eastAsiaTheme="minorHAnsi" w:hAnsi="Times New Roman"/>
      <w:sz w:val="2"/>
      <w:szCs w:val="22"/>
      <w:lang w:val="sl-SI"/>
    </w:rPr>
  </w:style>
  <w:style w:type="paragraph" w:customStyle="1" w:styleId="FooterText">
    <w:name w:val="Footer Text"/>
    <w:basedOn w:val="Normal"/>
    <w:rsid w:val="00EB0D1F"/>
    <w:pPr>
      <w:spacing w:before="0" w:after="0" w:line="240" w:lineRule="auto"/>
    </w:pPr>
    <w:rPr>
      <w:rFonts w:eastAsia="Times New Roman"/>
      <w:szCs w:val="24"/>
    </w:rPr>
  </w:style>
  <w:style w:type="character" w:styleId="PlaceholderText">
    <w:name w:val="Placeholder Text"/>
    <w:basedOn w:val="DefaultParagraphFont"/>
    <w:uiPriority w:val="99"/>
    <w:semiHidden/>
    <w:rsid w:val="00EB0D1F"/>
    <w:rPr>
      <w:color w:val="808080"/>
    </w:rPr>
  </w:style>
  <w:style w:type="character" w:customStyle="1" w:styleId="Heading1Char">
    <w:name w:val="Heading 1 Char"/>
    <w:basedOn w:val="DefaultParagraphFont"/>
    <w:link w:val="Heading1"/>
    <w:uiPriority w:val="9"/>
    <w:rsid w:val="003C6015"/>
    <w:rPr>
      <w:rFonts w:ascii="Times New Roman" w:eastAsia="Times New Roman" w:hAnsi="Times New Roman"/>
      <w:b/>
      <w:bCs/>
      <w:smallCaps/>
      <w:sz w:val="24"/>
      <w:szCs w:val="28"/>
      <w:lang w:val="sl-SI"/>
    </w:rPr>
  </w:style>
  <w:style w:type="character" w:customStyle="1" w:styleId="Heading2Char">
    <w:name w:val="Heading 2 Char"/>
    <w:basedOn w:val="DefaultParagraphFont"/>
    <w:link w:val="Heading2"/>
    <w:uiPriority w:val="9"/>
    <w:semiHidden/>
    <w:rsid w:val="003C6015"/>
    <w:rPr>
      <w:rFonts w:ascii="Times New Roman" w:eastAsia="Times New Roman" w:hAnsi="Times New Roman"/>
      <w:b/>
      <w:bCs/>
      <w:sz w:val="24"/>
      <w:szCs w:val="26"/>
      <w:lang w:val="sl-SI"/>
    </w:rPr>
  </w:style>
  <w:style w:type="character" w:customStyle="1" w:styleId="Heading3Char">
    <w:name w:val="Heading 3 Char"/>
    <w:basedOn w:val="DefaultParagraphFont"/>
    <w:link w:val="Heading3"/>
    <w:uiPriority w:val="9"/>
    <w:semiHidden/>
    <w:rsid w:val="003C6015"/>
    <w:rPr>
      <w:rFonts w:ascii="Times New Roman" w:eastAsia="Times New Roman" w:hAnsi="Times New Roman"/>
      <w:bCs/>
      <w:i/>
      <w:sz w:val="24"/>
      <w:szCs w:val="22"/>
      <w:lang w:val="sl-SI"/>
    </w:rPr>
  </w:style>
  <w:style w:type="character" w:customStyle="1" w:styleId="Heading4Char">
    <w:name w:val="Heading 4 Char"/>
    <w:basedOn w:val="DefaultParagraphFont"/>
    <w:link w:val="Heading4"/>
    <w:uiPriority w:val="9"/>
    <w:semiHidden/>
    <w:rsid w:val="003C6015"/>
    <w:rPr>
      <w:rFonts w:ascii="Times New Roman" w:eastAsia="Times New Roman" w:hAnsi="Times New Roman"/>
      <w:bCs/>
      <w:iCs/>
      <w:sz w:val="24"/>
      <w:szCs w:val="22"/>
      <w:lang w:val="sl-SI"/>
    </w:rPr>
  </w:style>
  <w:style w:type="character" w:customStyle="1" w:styleId="UnresolvedMention1">
    <w:name w:val="Unresolved Mention1"/>
    <w:basedOn w:val="DefaultParagraphFont"/>
    <w:uiPriority w:val="99"/>
    <w:unhideWhenUsed/>
    <w:rsid w:val="00636E45"/>
    <w:rPr>
      <w:color w:val="605E5C"/>
      <w:shd w:val="clear" w:color="auto" w:fill="E1DFDD"/>
    </w:rPr>
  </w:style>
  <w:style w:type="character" w:customStyle="1" w:styleId="TitleChar">
    <w:name w:val="Title Char"/>
    <w:basedOn w:val="DefaultParagraphFont"/>
    <w:link w:val="Title"/>
    <w:rsid w:val="00A60D09"/>
    <w:rPr>
      <w:rFonts w:ascii="Calibri Light" w:eastAsia="Times New Roman" w:hAnsi="Calibri Light"/>
      <w:kern w:val="28"/>
      <w:sz w:val="56"/>
    </w:rPr>
  </w:style>
  <w:style w:type="character" w:styleId="CommentReference">
    <w:name w:val="annotation reference"/>
    <w:uiPriority w:val="99"/>
    <w:unhideWhenUsed/>
    <w:rsid w:val="003C6015"/>
    <w:rPr>
      <w:sz w:val="16"/>
      <w:szCs w:val="16"/>
    </w:rPr>
  </w:style>
  <w:style w:type="paragraph" w:styleId="CommentText">
    <w:name w:val="annotation text"/>
    <w:basedOn w:val="Normal"/>
    <w:link w:val="CommentTextChar"/>
    <w:uiPriority w:val="99"/>
    <w:unhideWhenUsed/>
    <w:qFormat/>
    <w:rsid w:val="003C6015"/>
    <w:pPr>
      <w:spacing w:line="240" w:lineRule="auto"/>
      <w:jc w:val="both"/>
    </w:pPr>
    <w:rPr>
      <w:sz w:val="20"/>
      <w:szCs w:val="20"/>
    </w:rPr>
  </w:style>
  <w:style w:type="character" w:customStyle="1" w:styleId="CommentTextChar">
    <w:name w:val="Comment Text Char"/>
    <w:basedOn w:val="DefaultParagraphFont"/>
    <w:link w:val="CommentText"/>
    <w:uiPriority w:val="99"/>
    <w:qFormat/>
    <w:rsid w:val="003C6015"/>
    <w:rPr>
      <w:rFonts w:ascii="Times New Roman" w:hAnsi="Times New Roman"/>
      <w:lang w:val="sl-SI"/>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3C6015"/>
    <w:pPr>
      <w:spacing w:before="0" w:after="160" w:line="259" w:lineRule="auto"/>
      <w:ind w:left="720"/>
      <w:contextualSpacing/>
    </w:pPr>
    <w:rPr>
      <w:rFonts w:ascii="Calibri" w:hAnsi="Calibri"/>
      <w:sz w:val="22"/>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3C6015"/>
    <w:rPr>
      <w:sz w:val="22"/>
      <w:szCs w:val="22"/>
    </w:rPr>
  </w:style>
  <w:style w:type="character" w:styleId="IntenseEmphasis">
    <w:name w:val="Intense Emphasis"/>
    <w:uiPriority w:val="21"/>
    <w:qFormat/>
    <w:rsid w:val="003C6015"/>
    <w:rPr>
      <w:i/>
      <w:iCs/>
      <w:color w:val="4F81BD"/>
    </w:rPr>
  </w:style>
  <w:style w:type="paragraph" w:styleId="BalloonText">
    <w:name w:val="Balloon Text"/>
    <w:basedOn w:val="Normal"/>
    <w:link w:val="BalloonTextChar"/>
    <w:uiPriority w:val="99"/>
    <w:semiHidden/>
    <w:unhideWhenUsed/>
    <w:rsid w:val="003C6015"/>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015"/>
    <w:rPr>
      <w:rFonts w:ascii="Segoe UI" w:hAnsi="Segoe UI" w:cs="Segoe UI"/>
      <w:sz w:val="18"/>
      <w:szCs w:val="18"/>
      <w:lang w:val="sl-SI"/>
    </w:rPr>
  </w:style>
  <w:style w:type="paragraph" w:styleId="ListBullet">
    <w:name w:val="List Bullet"/>
    <w:basedOn w:val="Normal"/>
    <w:uiPriority w:val="99"/>
    <w:semiHidden/>
    <w:unhideWhenUsed/>
    <w:rsid w:val="003C6015"/>
    <w:pPr>
      <w:numPr>
        <w:numId w:val="4"/>
      </w:numPr>
      <w:spacing w:line="240" w:lineRule="auto"/>
      <w:contextualSpacing/>
      <w:jc w:val="both"/>
    </w:pPr>
  </w:style>
  <w:style w:type="paragraph" w:styleId="ListBullet2">
    <w:name w:val="List Bullet 2"/>
    <w:basedOn w:val="Normal"/>
    <w:uiPriority w:val="99"/>
    <w:semiHidden/>
    <w:unhideWhenUsed/>
    <w:rsid w:val="003C6015"/>
    <w:pPr>
      <w:numPr>
        <w:numId w:val="5"/>
      </w:numPr>
      <w:spacing w:line="240" w:lineRule="auto"/>
      <w:contextualSpacing/>
      <w:jc w:val="both"/>
    </w:pPr>
  </w:style>
  <w:style w:type="paragraph" w:styleId="ListBullet3">
    <w:name w:val="List Bullet 3"/>
    <w:basedOn w:val="Normal"/>
    <w:uiPriority w:val="99"/>
    <w:semiHidden/>
    <w:unhideWhenUsed/>
    <w:rsid w:val="003C6015"/>
    <w:pPr>
      <w:numPr>
        <w:numId w:val="6"/>
      </w:numPr>
      <w:spacing w:line="240" w:lineRule="auto"/>
      <w:contextualSpacing/>
      <w:jc w:val="both"/>
    </w:pPr>
  </w:style>
  <w:style w:type="paragraph" w:styleId="ListBullet4">
    <w:name w:val="List Bullet 4"/>
    <w:basedOn w:val="Normal"/>
    <w:uiPriority w:val="99"/>
    <w:semiHidden/>
    <w:unhideWhenUsed/>
    <w:rsid w:val="003C6015"/>
    <w:pPr>
      <w:numPr>
        <w:numId w:val="7"/>
      </w:numPr>
      <w:spacing w:line="240" w:lineRule="auto"/>
      <w:contextualSpacing/>
      <w:jc w:val="both"/>
    </w:pPr>
  </w:style>
  <w:style w:type="paragraph" w:styleId="CommentSubject">
    <w:name w:val="annotation subject"/>
    <w:basedOn w:val="CommentText"/>
    <w:next w:val="CommentText"/>
    <w:link w:val="CommentSubjectChar"/>
    <w:uiPriority w:val="99"/>
    <w:semiHidden/>
    <w:unhideWhenUsed/>
    <w:rsid w:val="003C6015"/>
    <w:rPr>
      <w:b/>
      <w:bCs/>
    </w:rPr>
  </w:style>
  <w:style w:type="character" w:customStyle="1" w:styleId="CommentSubjectChar">
    <w:name w:val="Comment Subject Char"/>
    <w:basedOn w:val="CommentTextChar"/>
    <w:link w:val="CommentSubject"/>
    <w:uiPriority w:val="99"/>
    <w:semiHidden/>
    <w:rsid w:val="003C6015"/>
    <w:rPr>
      <w:rFonts w:ascii="Times New Roman" w:hAnsi="Times New Roman"/>
      <w:b/>
      <w:bCs/>
      <w:lang w:val="sl-SI"/>
    </w:rPr>
  </w:style>
  <w:style w:type="paragraph" w:styleId="Revision">
    <w:name w:val="Revision"/>
    <w:hidden/>
    <w:uiPriority w:val="99"/>
    <w:semiHidden/>
    <w:rsid w:val="003C6015"/>
    <w:rPr>
      <w:rFonts w:ascii="Times New Roman" w:hAnsi="Times New Roman"/>
      <w:sz w:val="24"/>
      <w:szCs w:val="22"/>
    </w:rPr>
  </w:style>
  <w:style w:type="paragraph" w:styleId="Caption">
    <w:name w:val="caption"/>
    <w:basedOn w:val="Normal"/>
    <w:next w:val="Normal"/>
    <w:uiPriority w:val="35"/>
    <w:semiHidden/>
    <w:unhideWhenUsed/>
    <w:qFormat/>
    <w:rsid w:val="003C6015"/>
    <w:pPr>
      <w:spacing w:before="0" w:after="200" w:line="240" w:lineRule="auto"/>
      <w:jc w:val="both"/>
    </w:pPr>
    <w:rPr>
      <w:i/>
      <w:iCs/>
      <w:color w:val="1F497D"/>
      <w:sz w:val="18"/>
      <w:szCs w:val="18"/>
    </w:rPr>
  </w:style>
  <w:style w:type="paragraph" w:styleId="TableofFigures">
    <w:name w:val="table of figures"/>
    <w:basedOn w:val="Normal"/>
    <w:next w:val="Normal"/>
    <w:uiPriority w:val="99"/>
    <w:semiHidden/>
    <w:unhideWhenUsed/>
    <w:rsid w:val="003C6015"/>
    <w:pPr>
      <w:spacing w:after="0" w:line="240" w:lineRule="auto"/>
      <w:jc w:val="both"/>
    </w:pPr>
  </w:style>
  <w:style w:type="paragraph" w:styleId="ListNumber">
    <w:name w:val="List Number"/>
    <w:basedOn w:val="Normal"/>
    <w:uiPriority w:val="99"/>
    <w:semiHidden/>
    <w:unhideWhenUsed/>
    <w:rsid w:val="003C6015"/>
    <w:pPr>
      <w:numPr>
        <w:numId w:val="10"/>
      </w:numPr>
      <w:spacing w:line="240" w:lineRule="auto"/>
      <w:contextualSpacing/>
      <w:jc w:val="both"/>
    </w:pPr>
  </w:style>
  <w:style w:type="paragraph" w:styleId="ListNumber2">
    <w:name w:val="List Number 2"/>
    <w:basedOn w:val="Normal"/>
    <w:uiPriority w:val="99"/>
    <w:semiHidden/>
    <w:unhideWhenUsed/>
    <w:rsid w:val="003C6015"/>
    <w:pPr>
      <w:numPr>
        <w:numId w:val="11"/>
      </w:numPr>
      <w:spacing w:line="240" w:lineRule="auto"/>
      <w:contextualSpacing/>
      <w:jc w:val="both"/>
    </w:pPr>
  </w:style>
  <w:style w:type="paragraph" w:styleId="ListNumber3">
    <w:name w:val="List Number 3"/>
    <w:basedOn w:val="Normal"/>
    <w:uiPriority w:val="99"/>
    <w:semiHidden/>
    <w:unhideWhenUsed/>
    <w:rsid w:val="003C6015"/>
    <w:pPr>
      <w:numPr>
        <w:numId w:val="12"/>
      </w:numPr>
      <w:spacing w:line="240" w:lineRule="auto"/>
      <w:contextualSpacing/>
      <w:jc w:val="both"/>
    </w:pPr>
  </w:style>
  <w:style w:type="paragraph" w:styleId="ListNumber4">
    <w:name w:val="List Number 4"/>
    <w:basedOn w:val="Normal"/>
    <w:uiPriority w:val="99"/>
    <w:semiHidden/>
    <w:unhideWhenUsed/>
    <w:rsid w:val="003C6015"/>
    <w:pPr>
      <w:numPr>
        <w:numId w:val="13"/>
      </w:numPr>
      <w:spacing w:line="240" w:lineRule="auto"/>
      <w:contextualSpacing/>
      <w:jc w:val="both"/>
    </w:pPr>
  </w:style>
  <w:style w:type="character" w:styleId="Hyperlink">
    <w:name w:val="Hyperlink"/>
    <w:uiPriority w:val="99"/>
    <w:unhideWhenUsed/>
    <w:rsid w:val="003C6015"/>
    <w:rPr>
      <w:color w:val="0000FF"/>
      <w:u w:val="single"/>
    </w:rPr>
  </w:style>
  <w:style w:type="paragraph" w:styleId="TOCHeading">
    <w:name w:val="TOC Heading"/>
    <w:basedOn w:val="Normal"/>
    <w:next w:val="Normal"/>
    <w:uiPriority w:val="39"/>
    <w:unhideWhenUsed/>
    <w:qFormat/>
    <w:rsid w:val="003C6015"/>
    <w:pPr>
      <w:spacing w:after="240" w:line="240" w:lineRule="auto"/>
      <w:jc w:val="center"/>
    </w:pPr>
    <w:rPr>
      <w:b/>
      <w:sz w:val="28"/>
    </w:rPr>
  </w:style>
  <w:style w:type="paragraph" w:styleId="TOC1">
    <w:name w:val="toc 1"/>
    <w:basedOn w:val="Normal"/>
    <w:next w:val="Normal"/>
    <w:uiPriority w:val="39"/>
    <w:unhideWhenUsed/>
    <w:rsid w:val="003C6015"/>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3C6015"/>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3C6015"/>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3C6015"/>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3C6015"/>
    <w:pPr>
      <w:tabs>
        <w:tab w:val="right" w:leader="dot" w:pos="9071"/>
      </w:tabs>
      <w:spacing w:before="300" w:line="240" w:lineRule="auto"/>
    </w:pPr>
  </w:style>
  <w:style w:type="paragraph" w:styleId="TOC6">
    <w:name w:val="toc 6"/>
    <w:basedOn w:val="Normal"/>
    <w:next w:val="Normal"/>
    <w:uiPriority w:val="39"/>
    <w:semiHidden/>
    <w:unhideWhenUsed/>
    <w:rsid w:val="003C6015"/>
    <w:pPr>
      <w:tabs>
        <w:tab w:val="right" w:leader="dot" w:pos="9071"/>
      </w:tabs>
      <w:spacing w:before="240" w:line="240" w:lineRule="auto"/>
    </w:pPr>
  </w:style>
  <w:style w:type="paragraph" w:styleId="TOC7">
    <w:name w:val="toc 7"/>
    <w:basedOn w:val="Normal"/>
    <w:next w:val="Normal"/>
    <w:uiPriority w:val="39"/>
    <w:semiHidden/>
    <w:unhideWhenUsed/>
    <w:rsid w:val="003C6015"/>
    <w:pPr>
      <w:tabs>
        <w:tab w:val="right" w:leader="dot" w:pos="9071"/>
      </w:tabs>
      <w:spacing w:before="180" w:line="240" w:lineRule="auto"/>
    </w:pPr>
  </w:style>
  <w:style w:type="paragraph" w:styleId="TOC8">
    <w:name w:val="toc 8"/>
    <w:basedOn w:val="Normal"/>
    <w:next w:val="Normal"/>
    <w:uiPriority w:val="39"/>
    <w:semiHidden/>
    <w:unhideWhenUsed/>
    <w:rsid w:val="003C6015"/>
    <w:pPr>
      <w:tabs>
        <w:tab w:val="right" w:leader="dot" w:pos="9071"/>
      </w:tabs>
      <w:spacing w:line="240" w:lineRule="auto"/>
    </w:pPr>
  </w:style>
  <w:style w:type="paragraph" w:styleId="TOC9">
    <w:name w:val="toc 9"/>
    <w:basedOn w:val="Normal"/>
    <w:next w:val="Normal"/>
    <w:uiPriority w:val="39"/>
    <w:semiHidden/>
    <w:unhideWhenUsed/>
    <w:rsid w:val="003C6015"/>
    <w:pPr>
      <w:tabs>
        <w:tab w:val="right" w:leader="dot" w:pos="9071"/>
      </w:tabs>
      <w:spacing w:line="240" w:lineRule="auto"/>
      <w:jc w:val="both"/>
    </w:pPr>
  </w:style>
  <w:style w:type="paragraph" w:customStyle="1" w:styleId="HeaderSensitivity">
    <w:name w:val="Header Sensitivity"/>
    <w:basedOn w:val="Normal"/>
    <w:rsid w:val="003C6015"/>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3C6015"/>
    <w:pPr>
      <w:spacing w:before="0" w:line="240" w:lineRule="auto"/>
      <w:jc w:val="right"/>
    </w:pPr>
    <w:rPr>
      <w:sz w:val="28"/>
    </w:rPr>
  </w:style>
  <w:style w:type="paragraph" w:customStyle="1" w:styleId="FooterSensitivity">
    <w:name w:val="Footer Sensitivity"/>
    <w:basedOn w:val="Normal"/>
    <w:rsid w:val="003C60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Text1">
    <w:name w:val="Text 1"/>
    <w:basedOn w:val="Normal"/>
    <w:rsid w:val="003C6015"/>
    <w:pPr>
      <w:spacing w:line="240" w:lineRule="auto"/>
      <w:ind w:left="850"/>
      <w:jc w:val="both"/>
    </w:pPr>
  </w:style>
  <w:style w:type="paragraph" w:customStyle="1" w:styleId="Text2">
    <w:name w:val="Text 2"/>
    <w:basedOn w:val="Normal"/>
    <w:rsid w:val="003C6015"/>
    <w:pPr>
      <w:spacing w:line="240" w:lineRule="auto"/>
      <w:ind w:left="1417"/>
      <w:jc w:val="both"/>
    </w:pPr>
  </w:style>
  <w:style w:type="paragraph" w:customStyle="1" w:styleId="Text3">
    <w:name w:val="Text 3"/>
    <w:basedOn w:val="Normal"/>
    <w:rsid w:val="003C6015"/>
    <w:pPr>
      <w:spacing w:line="240" w:lineRule="auto"/>
      <w:ind w:left="1984"/>
      <w:jc w:val="both"/>
    </w:pPr>
  </w:style>
  <w:style w:type="paragraph" w:customStyle="1" w:styleId="Text4">
    <w:name w:val="Text 4"/>
    <w:basedOn w:val="Normal"/>
    <w:rsid w:val="003C6015"/>
    <w:pPr>
      <w:spacing w:line="240" w:lineRule="auto"/>
      <w:ind w:left="2551"/>
      <w:jc w:val="both"/>
    </w:pPr>
  </w:style>
  <w:style w:type="paragraph" w:customStyle="1" w:styleId="NormalCentered">
    <w:name w:val="Normal Centered"/>
    <w:basedOn w:val="Normal"/>
    <w:rsid w:val="003C6015"/>
    <w:pPr>
      <w:spacing w:line="240" w:lineRule="auto"/>
      <w:jc w:val="center"/>
    </w:pPr>
  </w:style>
  <w:style w:type="paragraph" w:customStyle="1" w:styleId="NormalLeft">
    <w:name w:val="Normal Left"/>
    <w:basedOn w:val="Normal"/>
    <w:rsid w:val="003C6015"/>
    <w:pPr>
      <w:spacing w:line="240" w:lineRule="auto"/>
    </w:pPr>
  </w:style>
  <w:style w:type="paragraph" w:customStyle="1" w:styleId="NormalRight">
    <w:name w:val="Normal Right"/>
    <w:basedOn w:val="Normal"/>
    <w:rsid w:val="003C6015"/>
    <w:pPr>
      <w:spacing w:line="240" w:lineRule="auto"/>
      <w:jc w:val="right"/>
    </w:pPr>
  </w:style>
  <w:style w:type="paragraph" w:customStyle="1" w:styleId="QuotedText">
    <w:name w:val="Quoted Text"/>
    <w:basedOn w:val="Normal"/>
    <w:rsid w:val="003C6015"/>
    <w:pPr>
      <w:spacing w:line="240" w:lineRule="auto"/>
      <w:ind w:left="1417"/>
      <w:jc w:val="both"/>
    </w:pPr>
  </w:style>
  <w:style w:type="paragraph" w:customStyle="1" w:styleId="Point0">
    <w:name w:val="Point 0"/>
    <w:basedOn w:val="Normal"/>
    <w:rsid w:val="003C6015"/>
    <w:pPr>
      <w:spacing w:line="240" w:lineRule="auto"/>
      <w:ind w:left="850" w:hanging="850"/>
      <w:jc w:val="both"/>
    </w:pPr>
  </w:style>
  <w:style w:type="paragraph" w:customStyle="1" w:styleId="Point1">
    <w:name w:val="Point 1"/>
    <w:basedOn w:val="Normal"/>
    <w:rsid w:val="003C6015"/>
    <w:pPr>
      <w:spacing w:line="240" w:lineRule="auto"/>
      <w:ind w:left="1417" w:hanging="567"/>
      <w:jc w:val="both"/>
    </w:pPr>
  </w:style>
  <w:style w:type="paragraph" w:customStyle="1" w:styleId="Point2">
    <w:name w:val="Point 2"/>
    <w:basedOn w:val="Normal"/>
    <w:rsid w:val="003C6015"/>
    <w:pPr>
      <w:spacing w:line="240" w:lineRule="auto"/>
      <w:ind w:left="1984" w:hanging="567"/>
      <w:jc w:val="both"/>
    </w:pPr>
  </w:style>
  <w:style w:type="paragraph" w:customStyle="1" w:styleId="Point3">
    <w:name w:val="Point 3"/>
    <w:basedOn w:val="Normal"/>
    <w:rsid w:val="003C6015"/>
    <w:pPr>
      <w:spacing w:line="240" w:lineRule="auto"/>
      <w:ind w:left="2551" w:hanging="567"/>
      <w:jc w:val="both"/>
    </w:pPr>
  </w:style>
  <w:style w:type="paragraph" w:customStyle="1" w:styleId="Point4">
    <w:name w:val="Point 4"/>
    <w:basedOn w:val="Normal"/>
    <w:rsid w:val="003C6015"/>
    <w:pPr>
      <w:spacing w:line="240" w:lineRule="auto"/>
      <w:ind w:left="3118" w:hanging="567"/>
      <w:jc w:val="both"/>
    </w:pPr>
  </w:style>
  <w:style w:type="paragraph" w:customStyle="1" w:styleId="Tiret0">
    <w:name w:val="Tiret 0"/>
    <w:basedOn w:val="Point0"/>
    <w:rsid w:val="003C6015"/>
    <w:pPr>
      <w:numPr>
        <w:numId w:val="14"/>
      </w:numPr>
    </w:pPr>
  </w:style>
  <w:style w:type="paragraph" w:customStyle="1" w:styleId="Tiret1">
    <w:name w:val="Tiret 1"/>
    <w:basedOn w:val="Point1"/>
    <w:rsid w:val="003C6015"/>
    <w:pPr>
      <w:numPr>
        <w:numId w:val="15"/>
      </w:numPr>
    </w:pPr>
  </w:style>
  <w:style w:type="paragraph" w:customStyle="1" w:styleId="Tiret2">
    <w:name w:val="Tiret 2"/>
    <w:basedOn w:val="Point2"/>
    <w:rsid w:val="003C6015"/>
    <w:pPr>
      <w:numPr>
        <w:numId w:val="16"/>
      </w:numPr>
    </w:pPr>
  </w:style>
  <w:style w:type="paragraph" w:customStyle="1" w:styleId="Tiret3">
    <w:name w:val="Tiret 3"/>
    <w:basedOn w:val="Point3"/>
    <w:rsid w:val="003C6015"/>
    <w:pPr>
      <w:numPr>
        <w:numId w:val="17"/>
      </w:numPr>
    </w:pPr>
  </w:style>
  <w:style w:type="paragraph" w:customStyle="1" w:styleId="Tiret4">
    <w:name w:val="Tiret 4"/>
    <w:basedOn w:val="Point4"/>
    <w:rsid w:val="003C6015"/>
    <w:pPr>
      <w:numPr>
        <w:numId w:val="18"/>
      </w:numPr>
    </w:pPr>
  </w:style>
  <w:style w:type="paragraph" w:customStyle="1" w:styleId="PointDouble0">
    <w:name w:val="PointDouble 0"/>
    <w:basedOn w:val="Normal"/>
    <w:rsid w:val="003C6015"/>
    <w:pPr>
      <w:tabs>
        <w:tab w:val="left" w:pos="850"/>
      </w:tabs>
      <w:spacing w:line="240" w:lineRule="auto"/>
      <w:ind w:left="1417" w:hanging="1417"/>
      <w:jc w:val="both"/>
    </w:pPr>
  </w:style>
  <w:style w:type="paragraph" w:customStyle="1" w:styleId="PointDouble1">
    <w:name w:val="PointDouble 1"/>
    <w:basedOn w:val="Normal"/>
    <w:rsid w:val="003C6015"/>
    <w:pPr>
      <w:tabs>
        <w:tab w:val="left" w:pos="1417"/>
      </w:tabs>
      <w:spacing w:line="240" w:lineRule="auto"/>
      <w:ind w:left="1984" w:hanging="1134"/>
      <w:jc w:val="both"/>
    </w:pPr>
  </w:style>
  <w:style w:type="paragraph" w:customStyle="1" w:styleId="PointDouble2">
    <w:name w:val="PointDouble 2"/>
    <w:basedOn w:val="Normal"/>
    <w:rsid w:val="003C6015"/>
    <w:pPr>
      <w:tabs>
        <w:tab w:val="left" w:pos="1984"/>
      </w:tabs>
      <w:spacing w:line="240" w:lineRule="auto"/>
      <w:ind w:left="2551" w:hanging="1134"/>
      <w:jc w:val="both"/>
    </w:pPr>
  </w:style>
  <w:style w:type="paragraph" w:customStyle="1" w:styleId="PointDouble3">
    <w:name w:val="PointDouble 3"/>
    <w:basedOn w:val="Normal"/>
    <w:rsid w:val="003C6015"/>
    <w:pPr>
      <w:tabs>
        <w:tab w:val="left" w:pos="2551"/>
      </w:tabs>
      <w:spacing w:line="240" w:lineRule="auto"/>
      <w:ind w:left="3118" w:hanging="1134"/>
      <w:jc w:val="both"/>
    </w:pPr>
  </w:style>
  <w:style w:type="paragraph" w:customStyle="1" w:styleId="PointDouble4">
    <w:name w:val="PointDouble 4"/>
    <w:basedOn w:val="Normal"/>
    <w:rsid w:val="003C6015"/>
    <w:pPr>
      <w:tabs>
        <w:tab w:val="left" w:pos="3118"/>
      </w:tabs>
      <w:spacing w:line="240" w:lineRule="auto"/>
      <w:ind w:left="3685" w:hanging="1134"/>
      <w:jc w:val="both"/>
    </w:pPr>
  </w:style>
  <w:style w:type="paragraph" w:customStyle="1" w:styleId="PointTriple0">
    <w:name w:val="PointTriple 0"/>
    <w:basedOn w:val="Normal"/>
    <w:rsid w:val="003C6015"/>
    <w:pPr>
      <w:tabs>
        <w:tab w:val="left" w:pos="850"/>
        <w:tab w:val="left" w:pos="1417"/>
      </w:tabs>
      <w:spacing w:line="240" w:lineRule="auto"/>
      <w:ind w:left="1984" w:hanging="1984"/>
      <w:jc w:val="both"/>
    </w:pPr>
  </w:style>
  <w:style w:type="paragraph" w:customStyle="1" w:styleId="PointTriple1">
    <w:name w:val="PointTriple 1"/>
    <w:basedOn w:val="Normal"/>
    <w:rsid w:val="003C6015"/>
    <w:pPr>
      <w:tabs>
        <w:tab w:val="left" w:pos="1417"/>
        <w:tab w:val="left" w:pos="1984"/>
      </w:tabs>
      <w:spacing w:line="240" w:lineRule="auto"/>
      <w:ind w:left="2551" w:hanging="1701"/>
      <w:jc w:val="both"/>
    </w:pPr>
  </w:style>
  <w:style w:type="paragraph" w:customStyle="1" w:styleId="PointTriple2">
    <w:name w:val="PointTriple 2"/>
    <w:basedOn w:val="Normal"/>
    <w:rsid w:val="003C6015"/>
    <w:pPr>
      <w:tabs>
        <w:tab w:val="left" w:pos="1984"/>
        <w:tab w:val="left" w:pos="2551"/>
      </w:tabs>
      <w:spacing w:line="240" w:lineRule="auto"/>
      <w:ind w:left="3118" w:hanging="1701"/>
      <w:jc w:val="both"/>
    </w:pPr>
  </w:style>
  <w:style w:type="paragraph" w:customStyle="1" w:styleId="PointTriple3">
    <w:name w:val="PointTriple 3"/>
    <w:basedOn w:val="Normal"/>
    <w:rsid w:val="003C6015"/>
    <w:pPr>
      <w:tabs>
        <w:tab w:val="left" w:pos="2551"/>
        <w:tab w:val="left" w:pos="3118"/>
      </w:tabs>
      <w:spacing w:line="240" w:lineRule="auto"/>
      <w:ind w:left="3685" w:hanging="1701"/>
      <w:jc w:val="both"/>
    </w:pPr>
  </w:style>
  <w:style w:type="paragraph" w:customStyle="1" w:styleId="PointTriple4">
    <w:name w:val="PointTriple 4"/>
    <w:basedOn w:val="Normal"/>
    <w:rsid w:val="003C6015"/>
    <w:pPr>
      <w:tabs>
        <w:tab w:val="left" w:pos="3118"/>
        <w:tab w:val="left" w:pos="3685"/>
      </w:tabs>
      <w:spacing w:line="240" w:lineRule="auto"/>
      <w:ind w:left="4252" w:hanging="1701"/>
      <w:jc w:val="both"/>
    </w:pPr>
  </w:style>
  <w:style w:type="paragraph" w:customStyle="1" w:styleId="NumPar1">
    <w:name w:val="NumPar 1"/>
    <w:basedOn w:val="Normal"/>
    <w:next w:val="Text1"/>
    <w:rsid w:val="003C6015"/>
    <w:pPr>
      <w:numPr>
        <w:numId w:val="8"/>
      </w:numPr>
      <w:spacing w:line="240" w:lineRule="auto"/>
      <w:jc w:val="both"/>
    </w:pPr>
  </w:style>
  <w:style w:type="paragraph" w:customStyle="1" w:styleId="NumPar2">
    <w:name w:val="NumPar 2"/>
    <w:basedOn w:val="Normal"/>
    <w:next w:val="Text1"/>
    <w:rsid w:val="003C6015"/>
    <w:pPr>
      <w:numPr>
        <w:ilvl w:val="1"/>
        <w:numId w:val="8"/>
      </w:numPr>
      <w:spacing w:line="240" w:lineRule="auto"/>
      <w:jc w:val="both"/>
    </w:pPr>
  </w:style>
  <w:style w:type="paragraph" w:customStyle="1" w:styleId="NumPar3">
    <w:name w:val="NumPar 3"/>
    <w:basedOn w:val="Normal"/>
    <w:next w:val="Text1"/>
    <w:rsid w:val="003C6015"/>
    <w:pPr>
      <w:numPr>
        <w:ilvl w:val="2"/>
        <w:numId w:val="8"/>
      </w:numPr>
      <w:spacing w:line="240" w:lineRule="auto"/>
      <w:jc w:val="both"/>
    </w:pPr>
  </w:style>
  <w:style w:type="paragraph" w:customStyle="1" w:styleId="NumPar4">
    <w:name w:val="NumPar 4"/>
    <w:basedOn w:val="Normal"/>
    <w:next w:val="Text1"/>
    <w:rsid w:val="003C6015"/>
    <w:pPr>
      <w:numPr>
        <w:ilvl w:val="3"/>
        <w:numId w:val="8"/>
      </w:numPr>
      <w:spacing w:line="240" w:lineRule="auto"/>
      <w:jc w:val="both"/>
    </w:pPr>
  </w:style>
  <w:style w:type="paragraph" w:customStyle="1" w:styleId="ManualNumPar1">
    <w:name w:val="Manual NumPar 1"/>
    <w:basedOn w:val="Normal"/>
    <w:next w:val="Text1"/>
    <w:rsid w:val="003C6015"/>
    <w:pPr>
      <w:spacing w:line="240" w:lineRule="auto"/>
      <w:ind w:left="850" w:hanging="850"/>
      <w:jc w:val="both"/>
    </w:pPr>
  </w:style>
  <w:style w:type="paragraph" w:customStyle="1" w:styleId="ManualNumPar2">
    <w:name w:val="Manual NumPar 2"/>
    <w:basedOn w:val="Normal"/>
    <w:next w:val="Text1"/>
    <w:rsid w:val="003C6015"/>
    <w:pPr>
      <w:spacing w:line="240" w:lineRule="auto"/>
      <w:ind w:left="850" w:hanging="850"/>
      <w:jc w:val="both"/>
    </w:pPr>
  </w:style>
  <w:style w:type="paragraph" w:customStyle="1" w:styleId="ManualNumPar3">
    <w:name w:val="Manual NumPar 3"/>
    <w:basedOn w:val="Normal"/>
    <w:next w:val="Text1"/>
    <w:rsid w:val="003C6015"/>
    <w:pPr>
      <w:spacing w:line="240" w:lineRule="auto"/>
      <w:ind w:left="850" w:hanging="850"/>
      <w:jc w:val="both"/>
    </w:pPr>
  </w:style>
  <w:style w:type="paragraph" w:customStyle="1" w:styleId="ManualNumPar4">
    <w:name w:val="Manual NumPar 4"/>
    <w:basedOn w:val="Normal"/>
    <w:next w:val="Text1"/>
    <w:rsid w:val="003C6015"/>
    <w:pPr>
      <w:spacing w:line="240" w:lineRule="auto"/>
      <w:ind w:left="850" w:hanging="850"/>
      <w:jc w:val="both"/>
    </w:pPr>
  </w:style>
  <w:style w:type="paragraph" w:customStyle="1" w:styleId="QuotedNumPar">
    <w:name w:val="Quoted NumPar"/>
    <w:basedOn w:val="Normal"/>
    <w:rsid w:val="003C6015"/>
    <w:pPr>
      <w:spacing w:line="240" w:lineRule="auto"/>
      <w:ind w:left="1417" w:hanging="567"/>
      <w:jc w:val="both"/>
    </w:pPr>
  </w:style>
  <w:style w:type="paragraph" w:customStyle="1" w:styleId="ManualHeading1">
    <w:name w:val="Manual Heading 1"/>
    <w:basedOn w:val="Normal"/>
    <w:next w:val="Text1"/>
    <w:rsid w:val="003C6015"/>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3C6015"/>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3C6015"/>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3C6015"/>
    <w:pPr>
      <w:keepNext/>
      <w:tabs>
        <w:tab w:val="left" w:pos="850"/>
      </w:tabs>
      <w:spacing w:line="240" w:lineRule="auto"/>
      <w:ind w:left="850" w:hanging="850"/>
      <w:jc w:val="both"/>
      <w:outlineLvl w:val="3"/>
    </w:pPr>
  </w:style>
  <w:style w:type="paragraph" w:customStyle="1" w:styleId="ChapterTitle">
    <w:name w:val="ChapterTitle"/>
    <w:basedOn w:val="Normal"/>
    <w:next w:val="Normal"/>
    <w:rsid w:val="003C6015"/>
    <w:pPr>
      <w:keepNext/>
      <w:spacing w:after="360" w:line="240" w:lineRule="auto"/>
      <w:jc w:val="center"/>
    </w:pPr>
    <w:rPr>
      <w:b/>
      <w:sz w:val="32"/>
    </w:rPr>
  </w:style>
  <w:style w:type="paragraph" w:customStyle="1" w:styleId="PartTitle">
    <w:name w:val="PartTitle"/>
    <w:basedOn w:val="Normal"/>
    <w:next w:val="ChapterTitle"/>
    <w:rsid w:val="003C6015"/>
    <w:pPr>
      <w:keepNext/>
      <w:pageBreakBefore/>
      <w:spacing w:after="360" w:line="240" w:lineRule="auto"/>
      <w:jc w:val="center"/>
    </w:pPr>
    <w:rPr>
      <w:b/>
      <w:sz w:val="36"/>
    </w:rPr>
  </w:style>
  <w:style w:type="paragraph" w:customStyle="1" w:styleId="SectionTitle">
    <w:name w:val="SectionTitle"/>
    <w:basedOn w:val="Normal"/>
    <w:next w:val="Heading1"/>
    <w:rsid w:val="003C6015"/>
    <w:pPr>
      <w:keepNext/>
      <w:spacing w:after="360" w:line="240" w:lineRule="auto"/>
      <w:jc w:val="center"/>
    </w:pPr>
    <w:rPr>
      <w:b/>
      <w:smallCaps/>
      <w:sz w:val="28"/>
    </w:rPr>
  </w:style>
  <w:style w:type="paragraph" w:customStyle="1" w:styleId="TableTitle">
    <w:name w:val="Table Title"/>
    <w:basedOn w:val="Normal"/>
    <w:next w:val="Normal"/>
    <w:rsid w:val="003C6015"/>
    <w:pPr>
      <w:spacing w:line="240" w:lineRule="auto"/>
      <w:jc w:val="center"/>
    </w:pPr>
    <w:rPr>
      <w:b/>
    </w:rPr>
  </w:style>
  <w:style w:type="character" w:customStyle="1" w:styleId="Marker2">
    <w:name w:val="Marker2"/>
    <w:rsid w:val="003C6015"/>
    <w:rPr>
      <w:color w:val="FF0000"/>
      <w:shd w:val="clear" w:color="auto" w:fill="auto"/>
    </w:rPr>
  </w:style>
  <w:style w:type="paragraph" w:customStyle="1" w:styleId="Point0number">
    <w:name w:val="Point 0 (number)"/>
    <w:basedOn w:val="Normal"/>
    <w:rsid w:val="003C6015"/>
    <w:pPr>
      <w:numPr>
        <w:numId w:val="21"/>
      </w:numPr>
      <w:spacing w:line="240" w:lineRule="auto"/>
      <w:jc w:val="both"/>
    </w:pPr>
  </w:style>
  <w:style w:type="paragraph" w:customStyle="1" w:styleId="Point1number">
    <w:name w:val="Point 1 (number)"/>
    <w:basedOn w:val="Normal"/>
    <w:rsid w:val="003C6015"/>
    <w:pPr>
      <w:numPr>
        <w:ilvl w:val="2"/>
        <w:numId w:val="21"/>
      </w:numPr>
      <w:spacing w:line="240" w:lineRule="auto"/>
      <w:jc w:val="both"/>
    </w:pPr>
  </w:style>
  <w:style w:type="paragraph" w:customStyle="1" w:styleId="Point2number">
    <w:name w:val="Point 2 (number)"/>
    <w:basedOn w:val="Normal"/>
    <w:rsid w:val="003C6015"/>
    <w:pPr>
      <w:numPr>
        <w:ilvl w:val="4"/>
        <w:numId w:val="21"/>
      </w:numPr>
      <w:spacing w:line="240" w:lineRule="auto"/>
      <w:jc w:val="both"/>
    </w:pPr>
  </w:style>
  <w:style w:type="paragraph" w:customStyle="1" w:styleId="Point3number">
    <w:name w:val="Point 3 (number)"/>
    <w:basedOn w:val="Normal"/>
    <w:rsid w:val="003C6015"/>
    <w:pPr>
      <w:numPr>
        <w:ilvl w:val="6"/>
        <w:numId w:val="21"/>
      </w:numPr>
      <w:spacing w:line="240" w:lineRule="auto"/>
      <w:jc w:val="both"/>
    </w:pPr>
  </w:style>
  <w:style w:type="paragraph" w:customStyle="1" w:styleId="Point0letter">
    <w:name w:val="Point 0 (letter)"/>
    <w:basedOn w:val="Normal"/>
    <w:rsid w:val="003C6015"/>
    <w:pPr>
      <w:numPr>
        <w:ilvl w:val="1"/>
        <w:numId w:val="21"/>
      </w:numPr>
      <w:spacing w:line="240" w:lineRule="auto"/>
      <w:jc w:val="both"/>
    </w:pPr>
  </w:style>
  <w:style w:type="paragraph" w:customStyle="1" w:styleId="Point1letter">
    <w:name w:val="Point 1 (letter)"/>
    <w:basedOn w:val="Normal"/>
    <w:rsid w:val="003C6015"/>
    <w:pPr>
      <w:numPr>
        <w:ilvl w:val="3"/>
        <w:numId w:val="21"/>
      </w:numPr>
      <w:spacing w:line="240" w:lineRule="auto"/>
      <w:jc w:val="both"/>
    </w:pPr>
  </w:style>
  <w:style w:type="paragraph" w:customStyle="1" w:styleId="Point2letter">
    <w:name w:val="Point 2 (letter)"/>
    <w:basedOn w:val="Normal"/>
    <w:rsid w:val="003C6015"/>
    <w:pPr>
      <w:numPr>
        <w:ilvl w:val="5"/>
        <w:numId w:val="21"/>
      </w:numPr>
      <w:spacing w:line="240" w:lineRule="auto"/>
      <w:jc w:val="both"/>
    </w:pPr>
  </w:style>
  <w:style w:type="paragraph" w:customStyle="1" w:styleId="Point3letter">
    <w:name w:val="Point 3 (letter)"/>
    <w:basedOn w:val="Normal"/>
    <w:rsid w:val="003C6015"/>
    <w:pPr>
      <w:numPr>
        <w:ilvl w:val="7"/>
        <w:numId w:val="21"/>
      </w:numPr>
      <w:spacing w:line="240" w:lineRule="auto"/>
      <w:jc w:val="both"/>
    </w:pPr>
  </w:style>
  <w:style w:type="paragraph" w:customStyle="1" w:styleId="Point4letter">
    <w:name w:val="Point 4 (letter)"/>
    <w:basedOn w:val="Normal"/>
    <w:rsid w:val="003C6015"/>
    <w:pPr>
      <w:numPr>
        <w:ilvl w:val="8"/>
        <w:numId w:val="21"/>
      </w:numPr>
      <w:spacing w:line="240" w:lineRule="auto"/>
      <w:jc w:val="both"/>
    </w:pPr>
  </w:style>
  <w:style w:type="paragraph" w:customStyle="1" w:styleId="Bullet0">
    <w:name w:val="Bullet 0"/>
    <w:basedOn w:val="Normal"/>
    <w:rsid w:val="003C6015"/>
    <w:pPr>
      <w:numPr>
        <w:numId w:val="22"/>
      </w:numPr>
      <w:spacing w:line="240" w:lineRule="auto"/>
      <w:jc w:val="both"/>
    </w:pPr>
  </w:style>
  <w:style w:type="paragraph" w:customStyle="1" w:styleId="Bullet1">
    <w:name w:val="Bullet 1"/>
    <w:basedOn w:val="Normal"/>
    <w:rsid w:val="003C6015"/>
    <w:pPr>
      <w:numPr>
        <w:numId w:val="23"/>
      </w:numPr>
      <w:spacing w:line="240" w:lineRule="auto"/>
      <w:jc w:val="both"/>
    </w:pPr>
  </w:style>
  <w:style w:type="paragraph" w:customStyle="1" w:styleId="Bullet2">
    <w:name w:val="Bullet 2"/>
    <w:basedOn w:val="Normal"/>
    <w:rsid w:val="003C6015"/>
    <w:pPr>
      <w:numPr>
        <w:numId w:val="24"/>
      </w:numPr>
      <w:spacing w:line="240" w:lineRule="auto"/>
      <w:jc w:val="both"/>
    </w:pPr>
  </w:style>
  <w:style w:type="paragraph" w:customStyle="1" w:styleId="Bullet3">
    <w:name w:val="Bullet 3"/>
    <w:basedOn w:val="Normal"/>
    <w:rsid w:val="003C6015"/>
    <w:pPr>
      <w:numPr>
        <w:numId w:val="25"/>
      </w:numPr>
      <w:spacing w:line="240" w:lineRule="auto"/>
      <w:jc w:val="both"/>
    </w:pPr>
  </w:style>
  <w:style w:type="paragraph" w:customStyle="1" w:styleId="Bullet4">
    <w:name w:val="Bullet 4"/>
    <w:basedOn w:val="Normal"/>
    <w:rsid w:val="003C6015"/>
    <w:pPr>
      <w:numPr>
        <w:numId w:val="26"/>
      </w:numPr>
      <w:spacing w:line="240" w:lineRule="auto"/>
      <w:jc w:val="both"/>
    </w:pPr>
  </w:style>
  <w:style w:type="paragraph" w:customStyle="1" w:styleId="Langue">
    <w:name w:val="Langue"/>
    <w:basedOn w:val="Normal"/>
    <w:next w:val="Rfrenceinterne"/>
    <w:rsid w:val="003C6015"/>
    <w:pPr>
      <w:framePr w:wrap="around" w:vAnchor="page" w:hAnchor="text" w:xAlign="center" w:y="14741"/>
      <w:spacing w:before="0" w:after="600" w:line="240" w:lineRule="auto"/>
      <w:jc w:val="center"/>
    </w:pPr>
    <w:rPr>
      <w:b/>
      <w:caps/>
    </w:rPr>
  </w:style>
  <w:style w:type="paragraph" w:customStyle="1" w:styleId="Nomdelinstitution">
    <w:name w:val="Nom de l'institution"/>
    <w:basedOn w:val="Normal"/>
    <w:next w:val="Emission"/>
    <w:rsid w:val="003C6015"/>
    <w:pPr>
      <w:spacing w:before="0" w:after="0" w:line="240" w:lineRule="auto"/>
    </w:pPr>
    <w:rPr>
      <w:rFonts w:ascii="Arial" w:hAnsi="Arial" w:cs="Arial"/>
    </w:rPr>
  </w:style>
  <w:style w:type="paragraph" w:customStyle="1" w:styleId="Emission">
    <w:name w:val="Emission"/>
    <w:basedOn w:val="Normal"/>
    <w:next w:val="Rfrenceinstitutionnelle"/>
    <w:rsid w:val="003C6015"/>
    <w:pPr>
      <w:spacing w:before="0" w:after="0" w:line="240" w:lineRule="auto"/>
      <w:ind w:left="5103"/>
    </w:pPr>
  </w:style>
  <w:style w:type="paragraph" w:customStyle="1" w:styleId="Rfrenceinstitutionnelle">
    <w:name w:val="Référence institutionnelle"/>
    <w:basedOn w:val="Normal"/>
    <w:next w:val="Confidentialit"/>
    <w:rsid w:val="003C6015"/>
    <w:pPr>
      <w:spacing w:before="0" w:after="240" w:line="240" w:lineRule="auto"/>
      <w:ind w:left="5103"/>
    </w:pPr>
  </w:style>
  <w:style w:type="paragraph" w:customStyle="1" w:styleId="Pagedecouverture">
    <w:name w:val="Page de couverture"/>
    <w:basedOn w:val="Normal"/>
    <w:next w:val="Normal"/>
    <w:rsid w:val="003C6015"/>
    <w:pPr>
      <w:spacing w:before="0" w:after="0" w:line="240" w:lineRule="auto"/>
      <w:jc w:val="both"/>
    </w:pPr>
  </w:style>
  <w:style w:type="paragraph" w:customStyle="1" w:styleId="Declassification">
    <w:name w:val="Declassification"/>
    <w:basedOn w:val="Normal"/>
    <w:next w:val="Normal"/>
    <w:rsid w:val="003C6015"/>
    <w:pPr>
      <w:spacing w:before="0" w:after="0" w:line="240" w:lineRule="auto"/>
      <w:jc w:val="both"/>
    </w:pPr>
  </w:style>
  <w:style w:type="paragraph" w:customStyle="1" w:styleId="Disclaimer">
    <w:name w:val="Disclaimer"/>
    <w:basedOn w:val="Normal"/>
    <w:rsid w:val="003C601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3C6015"/>
    <w:pPr>
      <w:spacing w:before="0" w:after="0" w:line="276" w:lineRule="auto"/>
      <w:ind w:left="5103"/>
    </w:pPr>
    <w:rPr>
      <w:sz w:val="28"/>
    </w:rPr>
  </w:style>
  <w:style w:type="paragraph" w:customStyle="1" w:styleId="DateMarking">
    <w:name w:val="DateMarking"/>
    <w:basedOn w:val="Normal"/>
    <w:rsid w:val="003C6015"/>
    <w:pPr>
      <w:spacing w:before="0" w:after="0" w:line="276" w:lineRule="auto"/>
      <w:ind w:left="5103"/>
    </w:pPr>
    <w:rPr>
      <w:i/>
      <w:sz w:val="28"/>
    </w:rPr>
  </w:style>
  <w:style w:type="paragraph" w:customStyle="1" w:styleId="ReleasableTo">
    <w:name w:val="ReleasableTo"/>
    <w:basedOn w:val="Normal"/>
    <w:rsid w:val="003C6015"/>
    <w:pPr>
      <w:spacing w:before="0" w:after="0" w:line="276" w:lineRule="auto"/>
      <w:ind w:left="5103"/>
    </w:pPr>
    <w:rPr>
      <w:i/>
      <w:sz w:val="28"/>
    </w:rPr>
  </w:style>
  <w:style w:type="paragraph" w:customStyle="1" w:styleId="Annexetitreexpos">
    <w:name w:val="Annexe titre (exposé)"/>
    <w:basedOn w:val="Normal"/>
    <w:next w:val="Normal"/>
    <w:rsid w:val="003C6015"/>
    <w:pPr>
      <w:spacing w:line="240" w:lineRule="auto"/>
      <w:jc w:val="center"/>
    </w:pPr>
    <w:rPr>
      <w:b/>
      <w:u w:val="single"/>
    </w:rPr>
  </w:style>
  <w:style w:type="paragraph" w:customStyle="1" w:styleId="Annexetitre">
    <w:name w:val="Annexe titre"/>
    <w:basedOn w:val="Normal"/>
    <w:next w:val="Normal"/>
    <w:rsid w:val="003C6015"/>
    <w:pPr>
      <w:spacing w:line="240" w:lineRule="auto"/>
      <w:jc w:val="center"/>
    </w:pPr>
    <w:rPr>
      <w:b/>
      <w:u w:val="single"/>
    </w:rPr>
  </w:style>
  <w:style w:type="paragraph" w:customStyle="1" w:styleId="Annexetitrefichefinancire">
    <w:name w:val="Annexe titre (fiche financière)"/>
    <w:basedOn w:val="Normal"/>
    <w:next w:val="Normal"/>
    <w:rsid w:val="003C6015"/>
    <w:pPr>
      <w:spacing w:line="240" w:lineRule="auto"/>
      <w:jc w:val="center"/>
    </w:pPr>
    <w:rPr>
      <w:b/>
      <w:u w:val="single"/>
    </w:rPr>
  </w:style>
  <w:style w:type="paragraph" w:customStyle="1" w:styleId="Applicationdirecte">
    <w:name w:val="Application directe"/>
    <w:basedOn w:val="Normal"/>
    <w:next w:val="Fait"/>
    <w:rsid w:val="003C6015"/>
    <w:pPr>
      <w:spacing w:before="480" w:line="240" w:lineRule="auto"/>
      <w:jc w:val="both"/>
    </w:pPr>
  </w:style>
  <w:style w:type="paragraph" w:customStyle="1" w:styleId="Avertissementtitre">
    <w:name w:val="Avertissement titre"/>
    <w:basedOn w:val="Normal"/>
    <w:next w:val="Normal"/>
    <w:rsid w:val="003C6015"/>
    <w:pPr>
      <w:keepNext/>
      <w:spacing w:before="480" w:line="240" w:lineRule="auto"/>
      <w:jc w:val="both"/>
    </w:pPr>
    <w:rPr>
      <w:u w:val="single"/>
    </w:rPr>
  </w:style>
  <w:style w:type="paragraph" w:customStyle="1" w:styleId="Confidence">
    <w:name w:val="Confidence"/>
    <w:basedOn w:val="Normal"/>
    <w:next w:val="Normal"/>
    <w:rsid w:val="003C6015"/>
    <w:pPr>
      <w:spacing w:before="360" w:line="240" w:lineRule="auto"/>
      <w:jc w:val="center"/>
    </w:pPr>
  </w:style>
  <w:style w:type="paragraph" w:customStyle="1" w:styleId="Confidentialit">
    <w:name w:val="Confidentialité"/>
    <w:basedOn w:val="Normal"/>
    <w:next w:val="TypedudocumentPagedecouverture"/>
    <w:rsid w:val="003C6015"/>
    <w:pPr>
      <w:spacing w:before="240" w:after="240" w:line="240" w:lineRule="auto"/>
      <w:ind w:left="5103"/>
    </w:pPr>
    <w:rPr>
      <w:i/>
      <w:sz w:val="32"/>
    </w:rPr>
  </w:style>
  <w:style w:type="paragraph" w:customStyle="1" w:styleId="Considrant">
    <w:name w:val="Considérant"/>
    <w:basedOn w:val="Normal"/>
    <w:rsid w:val="003C6015"/>
    <w:pPr>
      <w:numPr>
        <w:numId w:val="27"/>
      </w:numPr>
      <w:spacing w:line="240" w:lineRule="auto"/>
      <w:jc w:val="both"/>
    </w:pPr>
  </w:style>
  <w:style w:type="paragraph" w:customStyle="1" w:styleId="Corrigendum">
    <w:name w:val="Corrigendum"/>
    <w:basedOn w:val="Normal"/>
    <w:next w:val="Normal"/>
    <w:rsid w:val="003C6015"/>
    <w:pPr>
      <w:spacing w:before="0" w:after="240" w:line="240" w:lineRule="auto"/>
    </w:pPr>
  </w:style>
  <w:style w:type="paragraph" w:customStyle="1" w:styleId="Datedadoption">
    <w:name w:val="Date d'adoption"/>
    <w:basedOn w:val="Normal"/>
    <w:next w:val="IntrtEEE"/>
    <w:rsid w:val="003C6015"/>
    <w:pPr>
      <w:spacing w:before="360" w:after="0" w:line="240" w:lineRule="auto"/>
      <w:jc w:val="center"/>
    </w:pPr>
    <w:rPr>
      <w:b/>
    </w:rPr>
  </w:style>
  <w:style w:type="paragraph" w:customStyle="1" w:styleId="Exposdesmotifstitre">
    <w:name w:val="Exposé des motifs titre"/>
    <w:basedOn w:val="Normal"/>
    <w:next w:val="Normal"/>
    <w:rsid w:val="003C6015"/>
    <w:pPr>
      <w:spacing w:line="240" w:lineRule="auto"/>
      <w:jc w:val="center"/>
    </w:pPr>
    <w:rPr>
      <w:b/>
      <w:u w:val="single"/>
    </w:rPr>
  </w:style>
  <w:style w:type="paragraph" w:customStyle="1" w:styleId="Fait">
    <w:name w:val="Fait à"/>
    <w:basedOn w:val="Normal"/>
    <w:next w:val="Institutionquisigne"/>
    <w:rsid w:val="003C6015"/>
    <w:pPr>
      <w:keepNext/>
      <w:spacing w:after="0" w:line="240" w:lineRule="auto"/>
      <w:jc w:val="both"/>
    </w:pPr>
  </w:style>
  <w:style w:type="paragraph" w:customStyle="1" w:styleId="Formuledadoption">
    <w:name w:val="Formule d'adoption"/>
    <w:basedOn w:val="Normal"/>
    <w:next w:val="Titrearticle"/>
    <w:rsid w:val="003C6015"/>
    <w:pPr>
      <w:keepNext/>
      <w:spacing w:line="240" w:lineRule="auto"/>
      <w:jc w:val="both"/>
    </w:pPr>
  </w:style>
  <w:style w:type="paragraph" w:customStyle="1" w:styleId="Institutionquiagit">
    <w:name w:val="Institution qui agit"/>
    <w:basedOn w:val="Normal"/>
    <w:next w:val="Normal"/>
    <w:rsid w:val="003C6015"/>
    <w:pPr>
      <w:keepNext/>
      <w:spacing w:before="600" w:line="240" w:lineRule="auto"/>
      <w:jc w:val="both"/>
    </w:pPr>
  </w:style>
  <w:style w:type="paragraph" w:customStyle="1" w:styleId="Institutionquisigne">
    <w:name w:val="Institution qui signe"/>
    <w:basedOn w:val="Normal"/>
    <w:next w:val="Personnequisigne"/>
    <w:rsid w:val="003C6015"/>
    <w:pPr>
      <w:keepNext/>
      <w:tabs>
        <w:tab w:val="left" w:pos="4252"/>
      </w:tabs>
      <w:spacing w:before="720" w:after="0" w:line="240" w:lineRule="auto"/>
      <w:jc w:val="both"/>
    </w:pPr>
    <w:rPr>
      <w:i/>
    </w:rPr>
  </w:style>
  <w:style w:type="paragraph" w:customStyle="1" w:styleId="ManualConsidrant">
    <w:name w:val="Manual Considérant"/>
    <w:basedOn w:val="Normal"/>
    <w:rsid w:val="003C6015"/>
    <w:pPr>
      <w:spacing w:line="240" w:lineRule="auto"/>
      <w:ind w:left="709" w:hanging="709"/>
      <w:jc w:val="both"/>
    </w:pPr>
  </w:style>
  <w:style w:type="paragraph" w:customStyle="1" w:styleId="Personnequisigne">
    <w:name w:val="Personne qui signe"/>
    <w:basedOn w:val="Normal"/>
    <w:next w:val="Institutionquisigne"/>
    <w:rsid w:val="003C6015"/>
    <w:pPr>
      <w:tabs>
        <w:tab w:val="left" w:pos="4252"/>
      </w:tabs>
      <w:spacing w:before="0" w:after="0" w:line="240" w:lineRule="auto"/>
    </w:pPr>
    <w:rPr>
      <w:i/>
    </w:rPr>
  </w:style>
  <w:style w:type="paragraph" w:customStyle="1" w:styleId="Rfrenceinterinstitutionnelle">
    <w:name w:val="Référence interinstitutionnelle"/>
    <w:basedOn w:val="Normal"/>
    <w:next w:val="Statut"/>
    <w:rsid w:val="003C6015"/>
    <w:pPr>
      <w:spacing w:before="0" w:after="0" w:line="240" w:lineRule="auto"/>
      <w:ind w:left="5103"/>
    </w:pPr>
  </w:style>
  <w:style w:type="paragraph" w:customStyle="1" w:styleId="Rfrenceinterne">
    <w:name w:val="Référence interne"/>
    <w:basedOn w:val="Normal"/>
    <w:next w:val="Rfrenceinterinstitutionnelle"/>
    <w:rsid w:val="003C6015"/>
    <w:pPr>
      <w:spacing w:before="0" w:after="0" w:line="240" w:lineRule="auto"/>
      <w:ind w:left="5103"/>
    </w:pPr>
  </w:style>
  <w:style w:type="paragraph" w:customStyle="1" w:styleId="Statut">
    <w:name w:val="Statut"/>
    <w:basedOn w:val="Normal"/>
    <w:next w:val="Typedudocument"/>
    <w:rsid w:val="003C6015"/>
    <w:pPr>
      <w:spacing w:before="0" w:after="240" w:line="240" w:lineRule="auto"/>
      <w:jc w:val="center"/>
    </w:pPr>
  </w:style>
  <w:style w:type="paragraph" w:customStyle="1" w:styleId="Titrearticle">
    <w:name w:val="Titre article"/>
    <w:basedOn w:val="Normal"/>
    <w:next w:val="Normal"/>
    <w:rsid w:val="003C6015"/>
    <w:pPr>
      <w:keepNext/>
      <w:spacing w:before="360" w:line="240" w:lineRule="auto"/>
      <w:jc w:val="center"/>
    </w:pPr>
    <w:rPr>
      <w:i/>
    </w:rPr>
  </w:style>
  <w:style w:type="paragraph" w:customStyle="1" w:styleId="Typedudocument">
    <w:name w:val="Type du document"/>
    <w:basedOn w:val="Normal"/>
    <w:next w:val="Accompagnant"/>
    <w:rsid w:val="003C6015"/>
    <w:pPr>
      <w:spacing w:before="360" w:after="180" w:line="240" w:lineRule="auto"/>
      <w:jc w:val="center"/>
    </w:pPr>
    <w:rPr>
      <w:b/>
    </w:rPr>
  </w:style>
  <w:style w:type="character" w:customStyle="1" w:styleId="Added">
    <w:name w:val="Added"/>
    <w:rsid w:val="003C6015"/>
    <w:rPr>
      <w:b/>
      <w:u w:val="single"/>
      <w:shd w:val="clear" w:color="auto" w:fill="auto"/>
    </w:rPr>
  </w:style>
  <w:style w:type="character" w:customStyle="1" w:styleId="Deleted">
    <w:name w:val="Deleted"/>
    <w:rsid w:val="003C6015"/>
    <w:rPr>
      <w:strike/>
      <w:dstrike w:val="0"/>
      <w:shd w:val="clear" w:color="auto" w:fill="auto"/>
    </w:rPr>
  </w:style>
  <w:style w:type="paragraph" w:customStyle="1" w:styleId="Address">
    <w:name w:val="Address"/>
    <w:basedOn w:val="Normal"/>
    <w:next w:val="Normal"/>
    <w:rsid w:val="003C6015"/>
    <w:pPr>
      <w:keepLines/>
      <w:ind w:left="3402"/>
    </w:pPr>
  </w:style>
  <w:style w:type="paragraph" w:customStyle="1" w:styleId="Objetexterne">
    <w:name w:val="Objet externe"/>
    <w:basedOn w:val="Normal"/>
    <w:next w:val="Normal"/>
    <w:rsid w:val="003C6015"/>
    <w:pPr>
      <w:spacing w:line="240" w:lineRule="auto"/>
      <w:jc w:val="both"/>
    </w:pPr>
    <w:rPr>
      <w:i/>
      <w:caps/>
    </w:rPr>
  </w:style>
  <w:style w:type="paragraph" w:customStyle="1" w:styleId="Supertitre">
    <w:name w:val="Supertitre"/>
    <w:basedOn w:val="Normal"/>
    <w:next w:val="Normal"/>
    <w:rsid w:val="003C6015"/>
    <w:pPr>
      <w:spacing w:before="0" w:after="600" w:line="240" w:lineRule="auto"/>
      <w:jc w:val="center"/>
    </w:pPr>
    <w:rPr>
      <w:b/>
    </w:rPr>
  </w:style>
  <w:style w:type="paragraph" w:customStyle="1" w:styleId="Languesfaisantfoi">
    <w:name w:val="Langues faisant foi"/>
    <w:basedOn w:val="Normal"/>
    <w:next w:val="Normal"/>
    <w:rsid w:val="003C6015"/>
    <w:pPr>
      <w:spacing w:before="360" w:after="0" w:line="240" w:lineRule="auto"/>
      <w:jc w:val="center"/>
    </w:pPr>
  </w:style>
  <w:style w:type="paragraph" w:customStyle="1" w:styleId="Rfrencecroise">
    <w:name w:val="Référence croisée"/>
    <w:basedOn w:val="Normal"/>
    <w:rsid w:val="003C6015"/>
    <w:pPr>
      <w:spacing w:before="0" w:after="0" w:line="240" w:lineRule="auto"/>
      <w:jc w:val="center"/>
    </w:pPr>
  </w:style>
  <w:style w:type="paragraph" w:customStyle="1" w:styleId="Fichefinanciretitre">
    <w:name w:val="Fiche financière titre"/>
    <w:basedOn w:val="Normal"/>
    <w:next w:val="Normal"/>
    <w:rsid w:val="003C6015"/>
    <w:pPr>
      <w:spacing w:line="240" w:lineRule="auto"/>
      <w:jc w:val="center"/>
    </w:pPr>
    <w:rPr>
      <w:b/>
      <w:u w:val="single"/>
    </w:rPr>
  </w:style>
  <w:style w:type="paragraph" w:customStyle="1" w:styleId="DatedadoptionPagedecouverture">
    <w:name w:val="Date d'adoption (Page de couverture)"/>
    <w:basedOn w:val="Datedadoption"/>
    <w:next w:val="IntrtEEEPagedecouverture"/>
    <w:rsid w:val="003C6015"/>
  </w:style>
  <w:style w:type="paragraph" w:customStyle="1" w:styleId="RfrenceinterinstitutionnellePagedecouverture">
    <w:name w:val="Référence interinstitutionnelle (Page de couverture)"/>
    <w:basedOn w:val="Rfrenceinterinstitutionnelle"/>
    <w:next w:val="Confidentialit"/>
    <w:rsid w:val="003C6015"/>
  </w:style>
  <w:style w:type="paragraph" w:customStyle="1" w:styleId="StatutPagedecouverture">
    <w:name w:val="Statut (Page de couverture)"/>
    <w:basedOn w:val="Statut"/>
    <w:next w:val="TypedudocumentPagedecouverture"/>
    <w:rsid w:val="003C6015"/>
  </w:style>
  <w:style w:type="paragraph" w:customStyle="1" w:styleId="TypedudocumentPagedecouverture">
    <w:name w:val="Type du document (Page de couverture)"/>
    <w:basedOn w:val="Typedudocument"/>
    <w:next w:val="AccompagnantPagedecouverture"/>
    <w:rsid w:val="003C6015"/>
  </w:style>
  <w:style w:type="paragraph" w:customStyle="1" w:styleId="Volume">
    <w:name w:val="Volume"/>
    <w:basedOn w:val="Normal"/>
    <w:next w:val="Confidentialit"/>
    <w:rsid w:val="003C6015"/>
    <w:pPr>
      <w:spacing w:before="0" w:after="240" w:line="240" w:lineRule="auto"/>
      <w:ind w:left="5103"/>
    </w:pPr>
  </w:style>
  <w:style w:type="paragraph" w:customStyle="1" w:styleId="IntrtEEE">
    <w:name w:val="Intérêt EEE"/>
    <w:basedOn w:val="Languesfaisantfoi"/>
    <w:next w:val="Normal"/>
    <w:rsid w:val="003C6015"/>
    <w:pPr>
      <w:spacing w:after="240"/>
    </w:pPr>
  </w:style>
  <w:style w:type="paragraph" w:customStyle="1" w:styleId="Accompagnant">
    <w:name w:val="Accompagnant"/>
    <w:basedOn w:val="Normal"/>
    <w:next w:val="Typeacteprincipal"/>
    <w:rsid w:val="003C6015"/>
    <w:pPr>
      <w:spacing w:before="180" w:after="240" w:line="240" w:lineRule="auto"/>
      <w:jc w:val="center"/>
    </w:pPr>
    <w:rPr>
      <w:b/>
    </w:rPr>
  </w:style>
  <w:style w:type="paragraph" w:customStyle="1" w:styleId="Typeacteprincipal">
    <w:name w:val="Type acte principal"/>
    <w:basedOn w:val="Normal"/>
    <w:next w:val="Objetacteprincipal"/>
    <w:rsid w:val="003C6015"/>
    <w:pPr>
      <w:spacing w:before="0" w:after="240" w:line="240" w:lineRule="auto"/>
      <w:jc w:val="center"/>
    </w:pPr>
    <w:rPr>
      <w:b/>
    </w:rPr>
  </w:style>
  <w:style w:type="paragraph" w:customStyle="1" w:styleId="Objetacteprincipal">
    <w:name w:val="Objet acte principal"/>
    <w:basedOn w:val="Normal"/>
    <w:next w:val="Titrearticle"/>
    <w:rsid w:val="003C6015"/>
    <w:pPr>
      <w:spacing w:before="0" w:after="360" w:line="240" w:lineRule="auto"/>
      <w:jc w:val="center"/>
    </w:pPr>
    <w:rPr>
      <w:b/>
    </w:rPr>
  </w:style>
  <w:style w:type="paragraph" w:customStyle="1" w:styleId="IntrtEEEPagedecouverture">
    <w:name w:val="Intérêt EEE (Page de couverture)"/>
    <w:basedOn w:val="IntrtEEE"/>
    <w:next w:val="Rfrencecroise"/>
    <w:rsid w:val="003C6015"/>
  </w:style>
  <w:style w:type="paragraph" w:customStyle="1" w:styleId="AccompagnantPagedecouverture">
    <w:name w:val="Accompagnant (Page de couverture)"/>
    <w:basedOn w:val="Accompagnant"/>
    <w:next w:val="TypeacteprincipalPagedecouverture"/>
    <w:rsid w:val="003C6015"/>
  </w:style>
  <w:style w:type="paragraph" w:customStyle="1" w:styleId="TypeacteprincipalPagedecouverture">
    <w:name w:val="Type acte principal (Page de couverture)"/>
    <w:basedOn w:val="Typeacteprincipal"/>
    <w:next w:val="ObjetacteprincipalPagedecouverture"/>
    <w:rsid w:val="003C6015"/>
  </w:style>
  <w:style w:type="paragraph" w:customStyle="1" w:styleId="ObjetacteprincipalPagedecouverture">
    <w:name w:val="Objet acte principal (Page de couverture)"/>
    <w:basedOn w:val="Objetacteprincipal"/>
    <w:next w:val="Rfrencecroise"/>
    <w:rsid w:val="003C6015"/>
  </w:style>
  <w:style w:type="paragraph" w:customStyle="1" w:styleId="LanguesfaisantfoiPagedecouverture">
    <w:name w:val="Langues faisant foi (Page de couverture)"/>
    <w:basedOn w:val="Normal"/>
    <w:next w:val="Normal"/>
    <w:rsid w:val="003C6015"/>
    <w:pPr>
      <w:spacing w:before="360" w:after="0" w:line="240" w:lineRule="auto"/>
      <w:jc w:val="center"/>
    </w:pPr>
  </w:style>
  <w:style w:type="paragraph" w:styleId="NormalWeb">
    <w:name w:val="Normal (Web)"/>
    <w:basedOn w:val="Normal"/>
    <w:uiPriority w:val="99"/>
    <w:unhideWhenUsed/>
    <w:rsid w:val="003C6015"/>
    <w:pPr>
      <w:spacing w:before="100" w:beforeAutospacing="1" w:after="100" w:afterAutospacing="1" w:line="240" w:lineRule="auto"/>
    </w:pPr>
    <w:rPr>
      <w:rFonts w:eastAsia="Times New Roman"/>
      <w:szCs w:val="24"/>
      <w:lang w:eastAsia="en-IE"/>
    </w:rPr>
  </w:style>
  <w:style w:type="table" w:styleId="TableGrid">
    <w:name w:val="Table Grid"/>
    <w:basedOn w:val="TableNormal"/>
    <w:uiPriority w:val="59"/>
    <w:rsid w:val="003C6015"/>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C6015"/>
    <w:rPr>
      <w:rFonts w:eastAsia="Times New Roman"/>
      <w:sz w:val="22"/>
      <w:szCs w:val="22"/>
    </w:rPr>
  </w:style>
  <w:style w:type="character" w:customStyle="1" w:styleId="NoSpacingChar">
    <w:name w:val="No Spacing Char"/>
    <w:link w:val="NoSpacing"/>
    <w:uiPriority w:val="1"/>
    <w:rsid w:val="003C6015"/>
    <w:rPr>
      <w:rFonts w:eastAsia="Times New Roman"/>
      <w:sz w:val="22"/>
      <w:szCs w:val="22"/>
    </w:rPr>
  </w:style>
  <w:style w:type="character" w:styleId="FollowedHyperlink">
    <w:name w:val="FollowedHyperlink"/>
    <w:uiPriority w:val="99"/>
    <w:semiHidden/>
    <w:unhideWhenUsed/>
    <w:rsid w:val="003C6015"/>
    <w:rPr>
      <w:color w:val="800080"/>
      <w:u w:val="single"/>
    </w:rPr>
  </w:style>
  <w:style w:type="paragraph" w:customStyle="1" w:styleId="commentcontentpara">
    <w:name w:val="commentcontentpara"/>
    <w:basedOn w:val="Normal"/>
    <w:rsid w:val="003C6015"/>
    <w:pPr>
      <w:spacing w:before="100" w:beforeAutospacing="1" w:after="100" w:afterAutospacing="1" w:line="240" w:lineRule="auto"/>
    </w:pPr>
    <w:rPr>
      <w:rFonts w:eastAsia="Times New Roman"/>
      <w:szCs w:val="24"/>
    </w:rPr>
  </w:style>
  <w:style w:type="paragraph" w:customStyle="1" w:styleId="FooterCoverPage">
    <w:name w:val="Footer Cover Page"/>
    <w:basedOn w:val="Normal"/>
    <w:link w:val="FooterCoverPageChar"/>
    <w:rsid w:val="003C6015"/>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sid w:val="003C6015"/>
    <w:rPr>
      <w:rFonts w:ascii="Times New Roman" w:hAnsi="Times New Roman"/>
      <w:sz w:val="24"/>
      <w:szCs w:val="22"/>
    </w:rPr>
  </w:style>
  <w:style w:type="paragraph" w:customStyle="1" w:styleId="HeaderCoverPage">
    <w:name w:val="Header Cover Page"/>
    <w:basedOn w:val="Normal"/>
    <w:link w:val="HeaderCoverPageChar"/>
    <w:rsid w:val="003C6015"/>
    <w:pPr>
      <w:tabs>
        <w:tab w:val="center" w:pos="4535"/>
        <w:tab w:val="right" w:pos="9071"/>
      </w:tabs>
      <w:spacing w:before="0" w:line="240" w:lineRule="auto"/>
      <w:jc w:val="both"/>
    </w:pPr>
  </w:style>
  <w:style w:type="character" w:customStyle="1" w:styleId="HeaderCoverPageChar">
    <w:name w:val="Header Cover Page Char"/>
    <w:link w:val="HeaderCoverPage"/>
    <w:rsid w:val="003C6015"/>
    <w:rPr>
      <w:rFonts w:ascii="Times New Roman" w:hAnsi="Times New Roman"/>
      <w:sz w:val="24"/>
      <w:szCs w:val="22"/>
    </w:rPr>
  </w:style>
  <w:style w:type="paragraph" w:customStyle="1" w:styleId="EntText">
    <w:name w:val="EntText"/>
    <w:basedOn w:val="Normal"/>
    <w:rsid w:val="003C6015"/>
    <w:rPr>
      <w:rFonts w:eastAsiaTheme="minorHAnsi"/>
    </w:rPr>
  </w:style>
  <w:style w:type="paragraph" w:customStyle="1" w:styleId="Lignefinal">
    <w:name w:val="Ligne final"/>
    <w:basedOn w:val="Normal"/>
    <w:next w:val="Normal"/>
    <w:rsid w:val="003C6015"/>
    <w:pPr>
      <w:pBdr>
        <w:bottom w:val="single" w:sz="4" w:space="0" w:color="000000"/>
      </w:pBdr>
      <w:spacing w:before="360"/>
      <w:ind w:left="3400" w:right="3400"/>
      <w:jc w:val="center"/>
    </w:pPr>
    <w:rPr>
      <w:rFonts w:eastAsiaTheme="minorHAnsi"/>
      <w:b/>
    </w:rPr>
  </w:style>
  <w:style w:type="paragraph" w:customStyle="1" w:styleId="pj">
    <w:name w:val="p.j."/>
    <w:basedOn w:val="Normal"/>
    <w:link w:val="pjChar"/>
    <w:rsid w:val="003C6015"/>
    <w:pPr>
      <w:spacing w:before="1200" w:line="240" w:lineRule="auto"/>
      <w:ind w:left="1440" w:hanging="1440"/>
    </w:pPr>
  </w:style>
  <w:style w:type="character" w:customStyle="1" w:styleId="pjChar">
    <w:name w:val="p.j. Char"/>
    <w:basedOn w:val="DefaultParagraphFont"/>
    <w:link w:val="pj"/>
    <w:rsid w:val="003C6015"/>
    <w:rPr>
      <w:rFonts w:ascii="Times New Roman" w:hAnsi="Times New Roman"/>
      <w:sz w:val="24"/>
      <w:szCs w:val="22"/>
      <w:lang w:val="sl-SI"/>
    </w:rPr>
  </w:style>
  <w:style w:type="paragraph" w:customStyle="1" w:styleId="nbbordered">
    <w:name w:val="nb bordered"/>
    <w:basedOn w:val="Normal"/>
    <w:link w:val="nbborderedChar"/>
    <w:rsid w:val="003C6015"/>
    <w:pPr>
      <w:pBdr>
        <w:top w:val="single" w:sz="4" w:space="1" w:color="auto"/>
        <w:left w:val="single" w:sz="4" w:space="4" w:color="auto"/>
        <w:bottom w:val="single" w:sz="4" w:space="1" w:color="auto"/>
        <w:right w:val="single" w:sz="4" w:space="4" w:color="auto"/>
        <w:between w:val="single" w:sz="4" w:space="0" w:color="auto"/>
      </w:pBdr>
      <w:spacing w:before="0" w:after="160" w:line="240" w:lineRule="auto"/>
      <w:ind w:left="480" w:hanging="480"/>
    </w:pPr>
    <w:rPr>
      <w:b/>
    </w:rPr>
  </w:style>
  <w:style w:type="character" w:customStyle="1" w:styleId="nbborderedChar">
    <w:name w:val="nb bordered Char"/>
    <w:basedOn w:val="DefaultParagraphFont"/>
    <w:link w:val="nbbordered"/>
    <w:rsid w:val="003C6015"/>
    <w:rPr>
      <w:rFonts w:ascii="Times New Roman" w:hAnsi="Times New Roman"/>
      <w:b/>
      <w:sz w:val="24"/>
      <w:szCs w:val="22"/>
      <w:lang w:val="sl-SI"/>
    </w:rPr>
  </w:style>
  <w:style w:type="character" w:customStyle="1" w:styleId="HeaderCouncilChar">
    <w:name w:val="Header Council Char"/>
    <w:basedOn w:val="DefaultParagraphFont"/>
    <w:link w:val="HeaderCouncil"/>
    <w:rsid w:val="003C6015"/>
    <w:rPr>
      <w:rFonts w:ascii="Times New Roman" w:hAnsi="Times New Roman"/>
      <w:sz w:val="2"/>
      <w:szCs w:val="22"/>
      <w:lang w:val="sl-SI"/>
    </w:rPr>
  </w:style>
  <w:style w:type="character" w:customStyle="1" w:styleId="FooterCouncilChar">
    <w:name w:val="Footer Council Char"/>
    <w:basedOn w:val="DefaultParagraphFont"/>
    <w:link w:val="FooterCouncil"/>
    <w:rsid w:val="003C6015"/>
    <w:rPr>
      <w:rFonts w:ascii="Times New Roman" w:hAnsi="Times New Roman"/>
      <w:sz w:val="2"/>
      <w:szCs w:val="22"/>
      <w:lang w:val="sl-SI"/>
    </w:rPr>
  </w:style>
  <w:style w:type="character" w:customStyle="1" w:styleId="Mention1">
    <w:name w:val="Mention1"/>
    <w:uiPriority w:val="99"/>
    <w:unhideWhenUsed/>
    <w:rsid w:val="007D046E"/>
    <w:rPr>
      <w:color w:val="2B579A"/>
      <w:shd w:val="clear" w:color="auto" w:fill="E1DFDD"/>
    </w:rPr>
  </w:style>
  <w:style w:type="paragraph" w:customStyle="1" w:styleId="P68B1DB1-Default10">
    <w:name w:val="P68B1DB1-Default10"/>
    <w:basedOn w:val="Normal"/>
    <w:rsid w:val="0016245F"/>
    <w:pPr>
      <w:autoSpaceDE w:val="0"/>
      <w:autoSpaceDN w:val="0"/>
      <w:spacing w:before="0" w:after="0" w:line="240" w:lineRule="auto"/>
    </w:pPr>
    <w:rPr>
      <w:rFonts w:ascii="Arial" w:eastAsiaTheme="minorHAnsi" w:hAnsi="Arial" w:cs="Arial"/>
      <w:color w:val="000000"/>
      <w:sz w:val="20"/>
      <w:szCs w:val="20"/>
      <w:lang w:eastAsia="en-IE"/>
    </w:rPr>
  </w:style>
  <w:style w:type="paragraph" w:styleId="Title">
    <w:name w:val="Title"/>
    <w:basedOn w:val="Normal"/>
    <w:next w:val="Normal"/>
    <w:link w:val="TitleChar"/>
    <w:qFormat/>
    <w:rsid w:val="00A60D09"/>
    <w:pPr>
      <w:spacing w:before="0" w:after="0" w:line="240" w:lineRule="auto"/>
      <w:contextualSpacing/>
      <w:jc w:val="both"/>
    </w:pPr>
    <w:rPr>
      <w:rFonts w:ascii="Calibri Light" w:eastAsia="Times New Roman" w:hAnsi="Calibri Light"/>
      <w:kern w:val="28"/>
      <w:sz w:val="56"/>
      <w:szCs w:val="20"/>
    </w:rPr>
  </w:style>
  <w:style w:type="character" w:customStyle="1" w:styleId="TitleChar1">
    <w:name w:val="Title Char1"/>
    <w:basedOn w:val="DefaultParagraphFont"/>
    <w:uiPriority w:val="10"/>
    <w:rsid w:val="00A60D09"/>
    <w:rPr>
      <w:rFonts w:asciiTheme="majorHAnsi" w:eastAsiaTheme="majorEastAsia" w:hAnsiTheme="majorHAnsi" w:cstheme="majorBidi"/>
      <w:spacing w:val="-10"/>
      <w:kern w:val="28"/>
      <w:sz w:val="56"/>
      <w:szCs w:val="56"/>
      <w:lang w:val="sl-SI"/>
    </w:rPr>
  </w:style>
  <w:style w:type="paragraph" w:customStyle="1" w:styleId="P68B1DB1-Navaden55">
    <w:name w:val="P68B1DB1-Navaden55"/>
    <w:basedOn w:val="Normal"/>
    <w:rsid w:val="00815B71"/>
    <w:pPr>
      <w:spacing w:before="0" w:after="160" w:line="276" w:lineRule="auto"/>
      <w:jc w:val="both"/>
    </w:pPr>
    <w:rPr>
      <w:rFonts w:ascii="Arial" w:eastAsia="Times New Roman" w:hAnsi="Arial" w:cs="Arial"/>
      <w:color w:val="000000" w:themeColor="text1"/>
      <w:sz w:val="18"/>
      <w:szCs w:val="20"/>
      <w:lang w:eastAsia="en-IE"/>
    </w:rPr>
  </w:style>
  <w:style w:type="character" w:customStyle="1" w:styleId="UnresolvedMention10">
    <w:name w:val="Unresolved Mention10"/>
    <w:basedOn w:val="DefaultParagraphFont"/>
    <w:uiPriority w:val="99"/>
    <w:unhideWhenUsed/>
    <w:rsid w:val="007D046E"/>
    <w:rPr>
      <w:color w:val="605E5C"/>
      <w:shd w:val="clear" w:color="auto" w:fill="E1DFDD"/>
    </w:rPr>
  </w:style>
  <w:style w:type="character" w:customStyle="1" w:styleId="Mention10">
    <w:name w:val="Mention10"/>
    <w:uiPriority w:val="99"/>
    <w:unhideWhenUsed/>
    <w:rsid w:val="007D046E"/>
    <w:rPr>
      <w:color w:val="2B579A"/>
      <w:shd w:val="clear" w:color="auto" w:fill="E1DFDD"/>
    </w:rPr>
  </w:style>
  <w:style w:type="paragraph" w:customStyle="1" w:styleId="P68B1DB1-Normal61">
    <w:name w:val="P68B1DB1-Normal61"/>
    <w:basedOn w:val="Normal"/>
    <w:rsid w:val="007810DB"/>
    <w:pPr>
      <w:spacing w:before="0" w:after="160" w:line="276" w:lineRule="auto"/>
      <w:jc w:val="both"/>
    </w:pPr>
    <w:rPr>
      <w:rFonts w:ascii="Arial" w:eastAsia="Times New Roman" w:hAnsi="Arial" w:cs="Arial"/>
      <w:color w:val="000000" w:themeColor="text1"/>
      <w:sz w:val="18"/>
      <w:szCs w:val="20"/>
      <w:lang w:eastAsia="en-IE"/>
    </w:rPr>
  </w:style>
  <w:style w:type="character" w:customStyle="1" w:styleId="normaltextrun">
    <w:name w:val="normaltextrun"/>
    <w:basedOn w:val="DefaultParagraphFont"/>
    <w:rsid w:val="00023666"/>
  </w:style>
  <w:style w:type="paragraph" w:customStyle="1" w:styleId="pf0">
    <w:name w:val="pf0"/>
    <w:basedOn w:val="Normal"/>
    <w:rsid w:val="00EA3A66"/>
    <w:pPr>
      <w:spacing w:before="100" w:beforeAutospacing="1" w:after="100" w:afterAutospacing="1" w:line="240" w:lineRule="auto"/>
    </w:pPr>
    <w:rPr>
      <w:rFonts w:eastAsia="Times New Roman"/>
      <w:szCs w:val="24"/>
      <w:lang w:eastAsia="en-IE"/>
    </w:rPr>
  </w:style>
  <w:style w:type="character" w:customStyle="1" w:styleId="cf01">
    <w:name w:val="cf01"/>
    <w:basedOn w:val="DefaultParagraphFont"/>
    <w:rsid w:val="00EA3A66"/>
    <w:rPr>
      <w:rFonts w:ascii="Segoe UI" w:hAnsi="Segoe UI" w:cs="Segoe UI" w:hint="default"/>
      <w:sz w:val="18"/>
      <w:szCs w:val="18"/>
    </w:rPr>
  </w:style>
  <w:style w:type="character" w:customStyle="1" w:styleId="UnresolvedMention100">
    <w:name w:val="Unresolved Mention100"/>
    <w:basedOn w:val="DefaultParagraphFont"/>
    <w:uiPriority w:val="99"/>
    <w:unhideWhenUsed/>
    <w:rsid w:val="0066431F"/>
    <w:rPr>
      <w:color w:val="605E5C"/>
      <w:shd w:val="clear" w:color="auto" w:fill="E1DFDD"/>
    </w:rPr>
  </w:style>
  <w:style w:type="character" w:customStyle="1" w:styleId="Mention100">
    <w:name w:val="Mention100"/>
    <w:uiPriority w:val="99"/>
    <w:unhideWhenUsed/>
    <w:rsid w:val="0066431F"/>
    <w:rPr>
      <w:color w:val="2B579A"/>
      <w:shd w:val="clear" w:color="auto" w:fill="E1DFDD"/>
    </w:rPr>
  </w:style>
  <w:style w:type="character" w:customStyle="1" w:styleId="UnresolvedMention1000">
    <w:name w:val="Unresolved Mention1000"/>
    <w:basedOn w:val="DefaultParagraphFont"/>
    <w:uiPriority w:val="99"/>
    <w:unhideWhenUsed/>
    <w:rsid w:val="004D5503"/>
    <w:rPr>
      <w:color w:val="605E5C"/>
      <w:shd w:val="clear" w:color="auto" w:fill="E1DFDD"/>
    </w:rPr>
  </w:style>
  <w:style w:type="character" w:customStyle="1" w:styleId="Mention1000">
    <w:name w:val="Mention1000"/>
    <w:uiPriority w:val="99"/>
    <w:unhideWhenUsed/>
    <w:rsid w:val="004D5503"/>
    <w:rPr>
      <w:color w:val="2B579A"/>
      <w:shd w:val="clear" w:color="auto" w:fill="E1DFDD"/>
    </w:rPr>
  </w:style>
  <w:style w:type="paragraph" w:customStyle="1" w:styleId="P68B1DB1-Navaden63">
    <w:name w:val="P68B1DB1-Navaden63"/>
    <w:basedOn w:val="Normal"/>
    <w:rsid w:val="00FF3288"/>
    <w:pPr>
      <w:spacing w:before="0" w:after="160" w:line="276" w:lineRule="auto"/>
      <w:jc w:val="both"/>
    </w:pPr>
    <w:rPr>
      <w:rFonts w:ascii="Arial" w:eastAsiaTheme="minorHAnsi" w:hAnsi="Arial" w:cstheme="minorBidi"/>
      <w:sz w:val="18"/>
      <w:szCs w:val="20"/>
      <w:lang w:eastAsia="en-IE"/>
    </w:rPr>
  </w:style>
  <w:style w:type="character" w:customStyle="1" w:styleId="UnresolvedMention10000">
    <w:name w:val="Unresolved Mention10000"/>
    <w:basedOn w:val="DefaultParagraphFont"/>
    <w:uiPriority w:val="99"/>
    <w:unhideWhenUsed/>
    <w:rsid w:val="00EB1B5D"/>
    <w:rPr>
      <w:color w:val="605E5C"/>
      <w:shd w:val="clear" w:color="auto" w:fill="E1DFDD"/>
    </w:rPr>
  </w:style>
  <w:style w:type="character" w:customStyle="1" w:styleId="Mention10000">
    <w:name w:val="Mention10000"/>
    <w:uiPriority w:val="99"/>
    <w:unhideWhenUsed/>
    <w:rsid w:val="00EB1B5D"/>
    <w:rPr>
      <w:color w:val="2B579A"/>
      <w:shd w:val="clear" w:color="auto" w:fill="E1DFDD"/>
    </w:rPr>
  </w:style>
  <w:style w:type="character" w:customStyle="1" w:styleId="UnresolvedMention1000000000">
    <w:name w:val="Unresolved Mention1000000000"/>
    <w:basedOn w:val="DefaultParagraphFont"/>
    <w:uiPriority w:val="99"/>
    <w:unhideWhenUsed/>
    <w:rsid w:val="00670BBB"/>
    <w:rPr>
      <w:color w:val="605E5C"/>
      <w:shd w:val="clear" w:color="auto" w:fill="E1DFDD"/>
    </w:rPr>
  </w:style>
  <w:style w:type="character" w:customStyle="1" w:styleId="UnresolvedMention100000">
    <w:name w:val="Unresolved Mention100000"/>
    <w:basedOn w:val="DefaultParagraphFont"/>
    <w:uiPriority w:val="99"/>
    <w:unhideWhenUsed/>
    <w:rsid w:val="00095B5A"/>
    <w:rPr>
      <w:color w:val="605E5C"/>
      <w:shd w:val="clear" w:color="auto" w:fill="E1DFDD"/>
    </w:rPr>
  </w:style>
  <w:style w:type="character" w:customStyle="1" w:styleId="Mention100000">
    <w:name w:val="Mention100000"/>
    <w:uiPriority w:val="99"/>
    <w:unhideWhenUsed/>
    <w:rsid w:val="00095B5A"/>
    <w:rPr>
      <w:color w:val="2B579A"/>
      <w:shd w:val="clear" w:color="auto" w:fill="E1DFDD"/>
    </w:rPr>
  </w:style>
  <w:style w:type="character" w:customStyle="1" w:styleId="UnresolvedMention1000000">
    <w:name w:val="Unresolved Mention1000000"/>
    <w:basedOn w:val="DefaultParagraphFont"/>
    <w:uiPriority w:val="99"/>
    <w:unhideWhenUsed/>
    <w:rsid w:val="00D202DA"/>
    <w:rPr>
      <w:color w:val="605E5C"/>
      <w:shd w:val="clear" w:color="auto" w:fill="E1DFDD"/>
    </w:rPr>
  </w:style>
  <w:style w:type="character" w:customStyle="1" w:styleId="Mention1000000">
    <w:name w:val="Mention1000000"/>
    <w:uiPriority w:val="99"/>
    <w:unhideWhenUsed/>
    <w:rsid w:val="00D202DA"/>
    <w:rPr>
      <w:color w:val="2B579A"/>
      <w:shd w:val="clear" w:color="auto" w:fill="E1DFDD"/>
    </w:rPr>
  </w:style>
  <w:style w:type="character" w:customStyle="1" w:styleId="UnresolvedMention10000000">
    <w:name w:val="Unresolved Mention10000000"/>
    <w:basedOn w:val="DefaultParagraphFont"/>
    <w:uiPriority w:val="99"/>
    <w:unhideWhenUsed/>
    <w:rsid w:val="00AB0B23"/>
    <w:rPr>
      <w:color w:val="605E5C"/>
      <w:shd w:val="clear" w:color="auto" w:fill="E1DFDD"/>
    </w:rPr>
  </w:style>
  <w:style w:type="character" w:customStyle="1" w:styleId="Mention10000000">
    <w:name w:val="Mention10000000"/>
    <w:uiPriority w:val="99"/>
    <w:unhideWhenUsed/>
    <w:rsid w:val="00AB0B23"/>
    <w:rPr>
      <w:color w:val="2B579A"/>
      <w:shd w:val="clear" w:color="auto" w:fill="E1DFDD"/>
    </w:rPr>
  </w:style>
  <w:style w:type="character" w:customStyle="1" w:styleId="UnresolvedMention100000000">
    <w:name w:val="Unresolved Mention100000000"/>
    <w:basedOn w:val="DefaultParagraphFont"/>
    <w:uiPriority w:val="99"/>
    <w:unhideWhenUsed/>
    <w:rsid w:val="001C1667"/>
    <w:rPr>
      <w:color w:val="605E5C"/>
      <w:shd w:val="clear" w:color="auto" w:fill="E1DFDD"/>
    </w:rPr>
  </w:style>
  <w:style w:type="character" w:customStyle="1" w:styleId="Mention100000000">
    <w:name w:val="Mention100000000"/>
    <w:uiPriority w:val="99"/>
    <w:unhideWhenUsed/>
    <w:rsid w:val="001C1667"/>
    <w:rPr>
      <w:color w:val="2B579A"/>
      <w:shd w:val="clear" w:color="auto" w:fill="E1DFDD"/>
    </w:rPr>
  </w:style>
  <w:style w:type="character" w:customStyle="1" w:styleId="UnresolvedMention1000000001">
    <w:name w:val="Unresolved Mention1000000001"/>
    <w:basedOn w:val="DefaultParagraphFont"/>
    <w:uiPriority w:val="99"/>
    <w:unhideWhenUsed/>
    <w:rsid w:val="002E3A78"/>
    <w:rPr>
      <w:color w:val="605E5C"/>
      <w:shd w:val="clear" w:color="auto" w:fill="E1DFDD"/>
    </w:rPr>
  </w:style>
  <w:style w:type="character" w:customStyle="1" w:styleId="Mention1000000000">
    <w:name w:val="Mention1000000000"/>
    <w:uiPriority w:val="99"/>
    <w:unhideWhenUsed/>
    <w:rsid w:val="002E3A78"/>
    <w:rPr>
      <w:color w:val="2B579A"/>
      <w:shd w:val="clear" w:color="auto" w:fill="E1DFDD"/>
    </w:rPr>
  </w:style>
  <w:style w:type="character" w:customStyle="1" w:styleId="Mention10000000000">
    <w:name w:val="Mention10000000000"/>
    <w:uiPriority w:val="99"/>
    <w:unhideWhenUsed/>
    <w:rsid w:val="00670BBB"/>
    <w:rPr>
      <w:color w:val="2B579A"/>
      <w:shd w:val="clear" w:color="auto" w:fill="E1DFDD"/>
    </w:rPr>
  </w:style>
  <w:style w:type="character" w:customStyle="1" w:styleId="Mention2">
    <w:name w:val="Mention2"/>
    <w:basedOn w:val="DefaultParagraphFont"/>
    <w:uiPriority w:val="99"/>
    <w:unhideWhenUsed/>
    <w:rsid w:val="00464DA2"/>
    <w:rPr>
      <w:color w:val="2B579A"/>
      <w:shd w:val="clear" w:color="auto" w:fill="E1DFDD"/>
    </w:rPr>
  </w:style>
  <w:style w:type="character" w:customStyle="1" w:styleId="UnresolvedMention2">
    <w:name w:val="Unresolved Mention2"/>
    <w:basedOn w:val="DefaultParagraphFont"/>
    <w:uiPriority w:val="99"/>
    <w:semiHidden/>
    <w:unhideWhenUsed/>
    <w:rsid w:val="00464DA2"/>
    <w:rPr>
      <w:color w:val="605E5C"/>
      <w:shd w:val="clear" w:color="auto" w:fill="E1DFDD"/>
    </w:rPr>
  </w:style>
  <w:style w:type="character" w:customStyle="1" w:styleId="UnresolvedMention10000000010">
    <w:name w:val="Unresolved Mention10000000010"/>
    <w:basedOn w:val="DefaultParagraphFont"/>
    <w:uiPriority w:val="99"/>
    <w:unhideWhenUsed/>
    <w:rsid w:val="00FA420C"/>
    <w:rPr>
      <w:color w:val="605E5C"/>
      <w:shd w:val="clear" w:color="auto" w:fill="E1DFDD"/>
    </w:rPr>
  </w:style>
  <w:style w:type="character" w:customStyle="1" w:styleId="Mention100000000000">
    <w:name w:val="Mention100000000000"/>
    <w:uiPriority w:val="99"/>
    <w:unhideWhenUsed/>
    <w:rsid w:val="00FA420C"/>
    <w:rPr>
      <w:color w:val="2B579A"/>
      <w:shd w:val="clear" w:color="auto" w:fill="E1DFDD"/>
    </w:rPr>
  </w:style>
  <w:style w:type="character" w:customStyle="1" w:styleId="Mention3">
    <w:name w:val="Mention3"/>
    <w:basedOn w:val="DefaultParagraphFont"/>
    <w:uiPriority w:val="99"/>
    <w:unhideWhenUsed/>
    <w:rsid w:val="00DE1ADD"/>
    <w:rPr>
      <w:color w:val="2B579A"/>
      <w:shd w:val="clear" w:color="auto" w:fill="E6E6E6"/>
    </w:rPr>
  </w:style>
  <w:style w:type="character" w:customStyle="1" w:styleId="UnresolvedMention3">
    <w:name w:val="Unresolved Mention3"/>
    <w:basedOn w:val="DefaultParagraphFont"/>
    <w:uiPriority w:val="99"/>
    <w:semiHidden/>
    <w:unhideWhenUsed/>
    <w:rsid w:val="00DE1ADD"/>
    <w:rPr>
      <w:color w:val="605E5C"/>
      <w:shd w:val="clear" w:color="auto" w:fill="E1DFDD"/>
    </w:rPr>
  </w:style>
  <w:style w:type="character" w:customStyle="1" w:styleId="Mention4">
    <w:name w:val="Mention4"/>
    <w:basedOn w:val="DefaultParagraphFont"/>
    <w:uiPriority w:val="99"/>
    <w:unhideWhenUsed/>
    <w:rsid w:val="001515BD"/>
    <w:rPr>
      <w:color w:val="2B579A"/>
      <w:shd w:val="clear" w:color="auto" w:fill="E1DFDD"/>
    </w:rPr>
  </w:style>
  <w:style w:type="character" w:customStyle="1" w:styleId="Mention5">
    <w:name w:val="Mention5"/>
    <w:basedOn w:val="DefaultParagraphFont"/>
    <w:uiPriority w:val="99"/>
    <w:unhideWhenUsed/>
    <w:rsid w:val="006107D0"/>
    <w:rPr>
      <w:color w:val="2B579A"/>
      <w:shd w:val="clear" w:color="auto" w:fill="E6E6E6"/>
    </w:rPr>
  </w:style>
  <w:style w:type="character" w:customStyle="1" w:styleId="Mention6">
    <w:name w:val="Mention6"/>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0877">
      <w:bodyDiv w:val="1"/>
      <w:marLeft w:val="0"/>
      <w:marRight w:val="0"/>
      <w:marTop w:val="0"/>
      <w:marBottom w:val="0"/>
      <w:divBdr>
        <w:top w:val="none" w:sz="0" w:space="0" w:color="auto"/>
        <w:left w:val="none" w:sz="0" w:space="0" w:color="auto"/>
        <w:bottom w:val="none" w:sz="0" w:space="0" w:color="auto"/>
        <w:right w:val="none" w:sz="0" w:space="0" w:color="auto"/>
      </w:divBdr>
    </w:div>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81337624">
      <w:bodyDiv w:val="1"/>
      <w:marLeft w:val="0"/>
      <w:marRight w:val="0"/>
      <w:marTop w:val="0"/>
      <w:marBottom w:val="0"/>
      <w:divBdr>
        <w:top w:val="none" w:sz="0" w:space="0" w:color="auto"/>
        <w:left w:val="none" w:sz="0" w:space="0" w:color="auto"/>
        <w:bottom w:val="none" w:sz="0" w:space="0" w:color="auto"/>
        <w:right w:val="none" w:sz="0" w:space="0" w:color="auto"/>
      </w:divBdr>
    </w:div>
    <w:div w:id="169025368">
      <w:bodyDiv w:val="1"/>
      <w:marLeft w:val="0"/>
      <w:marRight w:val="0"/>
      <w:marTop w:val="0"/>
      <w:marBottom w:val="0"/>
      <w:divBdr>
        <w:top w:val="none" w:sz="0" w:space="0" w:color="auto"/>
        <w:left w:val="none" w:sz="0" w:space="0" w:color="auto"/>
        <w:bottom w:val="none" w:sz="0" w:space="0" w:color="auto"/>
        <w:right w:val="none" w:sz="0" w:space="0" w:color="auto"/>
      </w:divBdr>
    </w:div>
    <w:div w:id="283853319">
      <w:bodyDiv w:val="1"/>
      <w:marLeft w:val="0"/>
      <w:marRight w:val="0"/>
      <w:marTop w:val="0"/>
      <w:marBottom w:val="0"/>
      <w:divBdr>
        <w:top w:val="none" w:sz="0" w:space="0" w:color="auto"/>
        <w:left w:val="none" w:sz="0" w:space="0" w:color="auto"/>
        <w:bottom w:val="none" w:sz="0" w:space="0" w:color="auto"/>
        <w:right w:val="none" w:sz="0" w:space="0" w:color="auto"/>
      </w:divBdr>
    </w:div>
    <w:div w:id="351348658">
      <w:bodyDiv w:val="1"/>
      <w:marLeft w:val="0"/>
      <w:marRight w:val="0"/>
      <w:marTop w:val="0"/>
      <w:marBottom w:val="0"/>
      <w:divBdr>
        <w:top w:val="none" w:sz="0" w:space="0" w:color="auto"/>
        <w:left w:val="none" w:sz="0" w:space="0" w:color="auto"/>
        <w:bottom w:val="none" w:sz="0" w:space="0" w:color="auto"/>
        <w:right w:val="none" w:sz="0" w:space="0" w:color="auto"/>
      </w:divBdr>
      <w:divsChild>
        <w:div w:id="621111534">
          <w:marLeft w:val="0"/>
          <w:marRight w:val="0"/>
          <w:marTop w:val="0"/>
          <w:marBottom w:val="0"/>
          <w:divBdr>
            <w:top w:val="none" w:sz="0" w:space="0" w:color="auto"/>
            <w:left w:val="none" w:sz="0" w:space="0" w:color="auto"/>
            <w:bottom w:val="none" w:sz="0" w:space="0" w:color="auto"/>
            <w:right w:val="none" w:sz="0" w:space="0" w:color="auto"/>
          </w:divBdr>
        </w:div>
      </w:divsChild>
    </w:div>
    <w:div w:id="386494295">
      <w:bodyDiv w:val="1"/>
      <w:marLeft w:val="0"/>
      <w:marRight w:val="0"/>
      <w:marTop w:val="0"/>
      <w:marBottom w:val="0"/>
      <w:divBdr>
        <w:top w:val="none" w:sz="0" w:space="0" w:color="auto"/>
        <w:left w:val="none" w:sz="0" w:space="0" w:color="auto"/>
        <w:bottom w:val="none" w:sz="0" w:space="0" w:color="auto"/>
        <w:right w:val="none" w:sz="0" w:space="0" w:color="auto"/>
      </w:divBdr>
    </w:div>
    <w:div w:id="425613443">
      <w:bodyDiv w:val="1"/>
      <w:marLeft w:val="0"/>
      <w:marRight w:val="0"/>
      <w:marTop w:val="0"/>
      <w:marBottom w:val="0"/>
      <w:divBdr>
        <w:top w:val="none" w:sz="0" w:space="0" w:color="auto"/>
        <w:left w:val="none" w:sz="0" w:space="0" w:color="auto"/>
        <w:bottom w:val="none" w:sz="0" w:space="0" w:color="auto"/>
        <w:right w:val="none" w:sz="0" w:space="0" w:color="auto"/>
      </w:divBdr>
    </w:div>
    <w:div w:id="448201449">
      <w:bodyDiv w:val="1"/>
      <w:marLeft w:val="0"/>
      <w:marRight w:val="0"/>
      <w:marTop w:val="0"/>
      <w:marBottom w:val="0"/>
      <w:divBdr>
        <w:top w:val="none" w:sz="0" w:space="0" w:color="auto"/>
        <w:left w:val="none" w:sz="0" w:space="0" w:color="auto"/>
        <w:bottom w:val="none" w:sz="0" w:space="0" w:color="auto"/>
        <w:right w:val="none" w:sz="0" w:space="0" w:color="auto"/>
      </w:divBdr>
    </w:div>
    <w:div w:id="582109656">
      <w:bodyDiv w:val="1"/>
      <w:marLeft w:val="0"/>
      <w:marRight w:val="0"/>
      <w:marTop w:val="0"/>
      <w:marBottom w:val="0"/>
      <w:divBdr>
        <w:top w:val="none" w:sz="0" w:space="0" w:color="auto"/>
        <w:left w:val="none" w:sz="0" w:space="0" w:color="auto"/>
        <w:bottom w:val="none" w:sz="0" w:space="0" w:color="auto"/>
        <w:right w:val="none" w:sz="0" w:space="0" w:color="auto"/>
      </w:divBdr>
    </w:div>
    <w:div w:id="683631020">
      <w:bodyDiv w:val="1"/>
      <w:marLeft w:val="0"/>
      <w:marRight w:val="0"/>
      <w:marTop w:val="0"/>
      <w:marBottom w:val="0"/>
      <w:divBdr>
        <w:top w:val="none" w:sz="0" w:space="0" w:color="auto"/>
        <w:left w:val="none" w:sz="0" w:space="0" w:color="auto"/>
        <w:bottom w:val="none" w:sz="0" w:space="0" w:color="auto"/>
        <w:right w:val="none" w:sz="0" w:space="0" w:color="auto"/>
      </w:divBdr>
    </w:div>
    <w:div w:id="766735540">
      <w:bodyDiv w:val="1"/>
      <w:marLeft w:val="0"/>
      <w:marRight w:val="0"/>
      <w:marTop w:val="0"/>
      <w:marBottom w:val="0"/>
      <w:divBdr>
        <w:top w:val="none" w:sz="0" w:space="0" w:color="auto"/>
        <w:left w:val="none" w:sz="0" w:space="0" w:color="auto"/>
        <w:bottom w:val="none" w:sz="0" w:space="0" w:color="auto"/>
        <w:right w:val="none" w:sz="0" w:space="0" w:color="auto"/>
      </w:divBdr>
      <w:divsChild>
        <w:div w:id="1379473748">
          <w:marLeft w:val="0"/>
          <w:marRight w:val="0"/>
          <w:marTop w:val="0"/>
          <w:marBottom w:val="0"/>
          <w:divBdr>
            <w:top w:val="none" w:sz="0" w:space="0" w:color="auto"/>
            <w:left w:val="none" w:sz="0" w:space="0" w:color="auto"/>
            <w:bottom w:val="none" w:sz="0" w:space="0" w:color="auto"/>
            <w:right w:val="none" w:sz="0" w:space="0" w:color="auto"/>
          </w:divBdr>
        </w:div>
      </w:divsChild>
    </w:div>
    <w:div w:id="835918901">
      <w:bodyDiv w:val="1"/>
      <w:marLeft w:val="0"/>
      <w:marRight w:val="0"/>
      <w:marTop w:val="0"/>
      <w:marBottom w:val="0"/>
      <w:divBdr>
        <w:top w:val="none" w:sz="0" w:space="0" w:color="auto"/>
        <w:left w:val="none" w:sz="0" w:space="0" w:color="auto"/>
        <w:bottom w:val="none" w:sz="0" w:space="0" w:color="auto"/>
        <w:right w:val="none" w:sz="0" w:space="0" w:color="auto"/>
      </w:divBdr>
      <w:divsChild>
        <w:div w:id="1498231212">
          <w:marLeft w:val="0"/>
          <w:marRight w:val="0"/>
          <w:marTop w:val="0"/>
          <w:marBottom w:val="0"/>
          <w:divBdr>
            <w:top w:val="none" w:sz="0" w:space="0" w:color="auto"/>
            <w:left w:val="none" w:sz="0" w:space="0" w:color="auto"/>
            <w:bottom w:val="none" w:sz="0" w:space="0" w:color="auto"/>
            <w:right w:val="none" w:sz="0" w:space="0" w:color="auto"/>
          </w:divBdr>
        </w:div>
      </w:divsChild>
    </w:div>
    <w:div w:id="867641990">
      <w:bodyDiv w:val="1"/>
      <w:marLeft w:val="0"/>
      <w:marRight w:val="0"/>
      <w:marTop w:val="0"/>
      <w:marBottom w:val="0"/>
      <w:divBdr>
        <w:top w:val="none" w:sz="0" w:space="0" w:color="auto"/>
        <w:left w:val="none" w:sz="0" w:space="0" w:color="auto"/>
        <w:bottom w:val="none" w:sz="0" w:space="0" w:color="auto"/>
        <w:right w:val="none" w:sz="0" w:space="0" w:color="auto"/>
      </w:divBdr>
    </w:div>
    <w:div w:id="952395775">
      <w:bodyDiv w:val="1"/>
      <w:marLeft w:val="0"/>
      <w:marRight w:val="0"/>
      <w:marTop w:val="0"/>
      <w:marBottom w:val="0"/>
      <w:divBdr>
        <w:top w:val="none" w:sz="0" w:space="0" w:color="auto"/>
        <w:left w:val="none" w:sz="0" w:space="0" w:color="auto"/>
        <w:bottom w:val="none" w:sz="0" w:space="0" w:color="auto"/>
        <w:right w:val="none" w:sz="0" w:space="0" w:color="auto"/>
      </w:divBdr>
    </w:div>
    <w:div w:id="1002776570">
      <w:bodyDiv w:val="1"/>
      <w:marLeft w:val="0"/>
      <w:marRight w:val="0"/>
      <w:marTop w:val="0"/>
      <w:marBottom w:val="0"/>
      <w:divBdr>
        <w:top w:val="none" w:sz="0" w:space="0" w:color="auto"/>
        <w:left w:val="none" w:sz="0" w:space="0" w:color="auto"/>
        <w:bottom w:val="none" w:sz="0" w:space="0" w:color="auto"/>
        <w:right w:val="none" w:sz="0" w:space="0" w:color="auto"/>
      </w:divBdr>
      <w:divsChild>
        <w:div w:id="693650008">
          <w:marLeft w:val="0"/>
          <w:marRight w:val="0"/>
          <w:marTop w:val="0"/>
          <w:marBottom w:val="0"/>
          <w:divBdr>
            <w:top w:val="none" w:sz="0" w:space="0" w:color="auto"/>
            <w:left w:val="none" w:sz="0" w:space="0" w:color="auto"/>
            <w:bottom w:val="none" w:sz="0" w:space="0" w:color="auto"/>
            <w:right w:val="none" w:sz="0" w:space="0" w:color="auto"/>
          </w:divBdr>
        </w:div>
      </w:divsChild>
    </w:div>
    <w:div w:id="1014307313">
      <w:bodyDiv w:val="1"/>
      <w:marLeft w:val="0"/>
      <w:marRight w:val="0"/>
      <w:marTop w:val="0"/>
      <w:marBottom w:val="0"/>
      <w:divBdr>
        <w:top w:val="none" w:sz="0" w:space="0" w:color="auto"/>
        <w:left w:val="none" w:sz="0" w:space="0" w:color="auto"/>
        <w:bottom w:val="none" w:sz="0" w:space="0" w:color="auto"/>
        <w:right w:val="none" w:sz="0" w:space="0" w:color="auto"/>
      </w:divBdr>
    </w:div>
    <w:div w:id="1042364207">
      <w:bodyDiv w:val="1"/>
      <w:marLeft w:val="0"/>
      <w:marRight w:val="0"/>
      <w:marTop w:val="0"/>
      <w:marBottom w:val="0"/>
      <w:divBdr>
        <w:top w:val="none" w:sz="0" w:space="0" w:color="auto"/>
        <w:left w:val="none" w:sz="0" w:space="0" w:color="auto"/>
        <w:bottom w:val="none" w:sz="0" w:space="0" w:color="auto"/>
        <w:right w:val="none" w:sz="0" w:space="0" w:color="auto"/>
      </w:divBdr>
      <w:divsChild>
        <w:div w:id="1927423447">
          <w:marLeft w:val="0"/>
          <w:marRight w:val="0"/>
          <w:marTop w:val="0"/>
          <w:marBottom w:val="0"/>
          <w:divBdr>
            <w:top w:val="none" w:sz="0" w:space="0" w:color="auto"/>
            <w:left w:val="none" w:sz="0" w:space="0" w:color="auto"/>
            <w:bottom w:val="none" w:sz="0" w:space="0" w:color="auto"/>
            <w:right w:val="none" w:sz="0" w:space="0" w:color="auto"/>
          </w:divBdr>
        </w:div>
      </w:divsChild>
    </w:div>
    <w:div w:id="1047530816">
      <w:bodyDiv w:val="1"/>
      <w:marLeft w:val="0"/>
      <w:marRight w:val="0"/>
      <w:marTop w:val="0"/>
      <w:marBottom w:val="0"/>
      <w:divBdr>
        <w:top w:val="none" w:sz="0" w:space="0" w:color="auto"/>
        <w:left w:val="none" w:sz="0" w:space="0" w:color="auto"/>
        <w:bottom w:val="none" w:sz="0" w:space="0" w:color="auto"/>
        <w:right w:val="none" w:sz="0" w:space="0" w:color="auto"/>
      </w:divBdr>
    </w:div>
    <w:div w:id="1057583895">
      <w:bodyDiv w:val="1"/>
      <w:marLeft w:val="0"/>
      <w:marRight w:val="0"/>
      <w:marTop w:val="0"/>
      <w:marBottom w:val="0"/>
      <w:divBdr>
        <w:top w:val="none" w:sz="0" w:space="0" w:color="auto"/>
        <w:left w:val="none" w:sz="0" w:space="0" w:color="auto"/>
        <w:bottom w:val="none" w:sz="0" w:space="0" w:color="auto"/>
        <w:right w:val="none" w:sz="0" w:space="0" w:color="auto"/>
      </w:divBdr>
    </w:div>
    <w:div w:id="1062555895">
      <w:bodyDiv w:val="1"/>
      <w:marLeft w:val="0"/>
      <w:marRight w:val="0"/>
      <w:marTop w:val="0"/>
      <w:marBottom w:val="0"/>
      <w:divBdr>
        <w:top w:val="none" w:sz="0" w:space="0" w:color="auto"/>
        <w:left w:val="none" w:sz="0" w:space="0" w:color="auto"/>
        <w:bottom w:val="none" w:sz="0" w:space="0" w:color="auto"/>
        <w:right w:val="none" w:sz="0" w:space="0" w:color="auto"/>
      </w:divBdr>
    </w:div>
    <w:div w:id="1143279844">
      <w:bodyDiv w:val="1"/>
      <w:marLeft w:val="0"/>
      <w:marRight w:val="0"/>
      <w:marTop w:val="0"/>
      <w:marBottom w:val="0"/>
      <w:divBdr>
        <w:top w:val="none" w:sz="0" w:space="0" w:color="auto"/>
        <w:left w:val="none" w:sz="0" w:space="0" w:color="auto"/>
        <w:bottom w:val="none" w:sz="0" w:space="0" w:color="auto"/>
        <w:right w:val="none" w:sz="0" w:space="0" w:color="auto"/>
      </w:divBdr>
    </w:div>
    <w:div w:id="1178690065">
      <w:bodyDiv w:val="1"/>
      <w:marLeft w:val="0"/>
      <w:marRight w:val="0"/>
      <w:marTop w:val="0"/>
      <w:marBottom w:val="0"/>
      <w:divBdr>
        <w:top w:val="none" w:sz="0" w:space="0" w:color="auto"/>
        <w:left w:val="none" w:sz="0" w:space="0" w:color="auto"/>
        <w:bottom w:val="none" w:sz="0" w:space="0" w:color="auto"/>
        <w:right w:val="none" w:sz="0" w:space="0" w:color="auto"/>
      </w:divBdr>
      <w:divsChild>
        <w:div w:id="1722485245">
          <w:marLeft w:val="0"/>
          <w:marRight w:val="0"/>
          <w:marTop w:val="0"/>
          <w:marBottom w:val="0"/>
          <w:divBdr>
            <w:top w:val="none" w:sz="0" w:space="0" w:color="auto"/>
            <w:left w:val="none" w:sz="0" w:space="0" w:color="auto"/>
            <w:bottom w:val="none" w:sz="0" w:space="0" w:color="auto"/>
            <w:right w:val="none" w:sz="0" w:space="0" w:color="auto"/>
          </w:divBdr>
        </w:div>
      </w:divsChild>
    </w:div>
    <w:div w:id="1191991933">
      <w:bodyDiv w:val="1"/>
      <w:marLeft w:val="0"/>
      <w:marRight w:val="0"/>
      <w:marTop w:val="0"/>
      <w:marBottom w:val="0"/>
      <w:divBdr>
        <w:top w:val="none" w:sz="0" w:space="0" w:color="auto"/>
        <w:left w:val="none" w:sz="0" w:space="0" w:color="auto"/>
        <w:bottom w:val="none" w:sz="0" w:space="0" w:color="auto"/>
        <w:right w:val="none" w:sz="0" w:space="0" w:color="auto"/>
      </w:divBdr>
    </w:div>
    <w:div w:id="1206715993">
      <w:bodyDiv w:val="1"/>
      <w:marLeft w:val="0"/>
      <w:marRight w:val="0"/>
      <w:marTop w:val="0"/>
      <w:marBottom w:val="0"/>
      <w:divBdr>
        <w:top w:val="none" w:sz="0" w:space="0" w:color="auto"/>
        <w:left w:val="none" w:sz="0" w:space="0" w:color="auto"/>
        <w:bottom w:val="none" w:sz="0" w:space="0" w:color="auto"/>
        <w:right w:val="none" w:sz="0" w:space="0" w:color="auto"/>
      </w:divBdr>
    </w:div>
    <w:div w:id="1216160645">
      <w:bodyDiv w:val="1"/>
      <w:marLeft w:val="0"/>
      <w:marRight w:val="0"/>
      <w:marTop w:val="0"/>
      <w:marBottom w:val="0"/>
      <w:divBdr>
        <w:top w:val="none" w:sz="0" w:space="0" w:color="auto"/>
        <w:left w:val="none" w:sz="0" w:space="0" w:color="auto"/>
        <w:bottom w:val="none" w:sz="0" w:space="0" w:color="auto"/>
        <w:right w:val="none" w:sz="0" w:space="0" w:color="auto"/>
      </w:divBdr>
    </w:div>
    <w:div w:id="1222862027">
      <w:bodyDiv w:val="1"/>
      <w:marLeft w:val="0"/>
      <w:marRight w:val="0"/>
      <w:marTop w:val="0"/>
      <w:marBottom w:val="0"/>
      <w:divBdr>
        <w:top w:val="none" w:sz="0" w:space="0" w:color="auto"/>
        <w:left w:val="none" w:sz="0" w:space="0" w:color="auto"/>
        <w:bottom w:val="none" w:sz="0" w:space="0" w:color="auto"/>
        <w:right w:val="none" w:sz="0" w:space="0" w:color="auto"/>
      </w:divBdr>
      <w:divsChild>
        <w:div w:id="1698117294">
          <w:marLeft w:val="0"/>
          <w:marRight w:val="0"/>
          <w:marTop w:val="0"/>
          <w:marBottom w:val="0"/>
          <w:divBdr>
            <w:top w:val="none" w:sz="0" w:space="0" w:color="auto"/>
            <w:left w:val="none" w:sz="0" w:space="0" w:color="auto"/>
            <w:bottom w:val="none" w:sz="0" w:space="0" w:color="auto"/>
            <w:right w:val="none" w:sz="0" w:space="0" w:color="auto"/>
          </w:divBdr>
        </w:div>
      </w:divsChild>
    </w:div>
    <w:div w:id="1282613152">
      <w:bodyDiv w:val="1"/>
      <w:marLeft w:val="0"/>
      <w:marRight w:val="0"/>
      <w:marTop w:val="0"/>
      <w:marBottom w:val="0"/>
      <w:divBdr>
        <w:top w:val="none" w:sz="0" w:space="0" w:color="auto"/>
        <w:left w:val="none" w:sz="0" w:space="0" w:color="auto"/>
        <w:bottom w:val="none" w:sz="0" w:space="0" w:color="auto"/>
        <w:right w:val="none" w:sz="0" w:space="0" w:color="auto"/>
      </w:divBdr>
      <w:divsChild>
        <w:div w:id="685132647">
          <w:marLeft w:val="0"/>
          <w:marRight w:val="0"/>
          <w:marTop w:val="0"/>
          <w:marBottom w:val="0"/>
          <w:divBdr>
            <w:top w:val="none" w:sz="0" w:space="0" w:color="auto"/>
            <w:left w:val="none" w:sz="0" w:space="0" w:color="auto"/>
            <w:bottom w:val="none" w:sz="0" w:space="0" w:color="auto"/>
            <w:right w:val="none" w:sz="0" w:space="0" w:color="auto"/>
          </w:divBdr>
        </w:div>
      </w:divsChild>
    </w:div>
    <w:div w:id="1318798216">
      <w:bodyDiv w:val="1"/>
      <w:marLeft w:val="0"/>
      <w:marRight w:val="0"/>
      <w:marTop w:val="0"/>
      <w:marBottom w:val="0"/>
      <w:divBdr>
        <w:top w:val="none" w:sz="0" w:space="0" w:color="auto"/>
        <w:left w:val="none" w:sz="0" w:space="0" w:color="auto"/>
        <w:bottom w:val="none" w:sz="0" w:space="0" w:color="auto"/>
        <w:right w:val="none" w:sz="0" w:space="0" w:color="auto"/>
      </w:divBdr>
    </w:div>
    <w:div w:id="1392388342">
      <w:bodyDiv w:val="1"/>
      <w:marLeft w:val="0"/>
      <w:marRight w:val="0"/>
      <w:marTop w:val="0"/>
      <w:marBottom w:val="0"/>
      <w:divBdr>
        <w:top w:val="none" w:sz="0" w:space="0" w:color="auto"/>
        <w:left w:val="none" w:sz="0" w:space="0" w:color="auto"/>
        <w:bottom w:val="none" w:sz="0" w:space="0" w:color="auto"/>
        <w:right w:val="none" w:sz="0" w:space="0" w:color="auto"/>
      </w:divBdr>
    </w:div>
    <w:div w:id="1428619982">
      <w:bodyDiv w:val="1"/>
      <w:marLeft w:val="0"/>
      <w:marRight w:val="0"/>
      <w:marTop w:val="0"/>
      <w:marBottom w:val="0"/>
      <w:divBdr>
        <w:top w:val="none" w:sz="0" w:space="0" w:color="auto"/>
        <w:left w:val="none" w:sz="0" w:space="0" w:color="auto"/>
        <w:bottom w:val="none" w:sz="0" w:space="0" w:color="auto"/>
        <w:right w:val="none" w:sz="0" w:space="0" w:color="auto"/>
      </w:divBdr>
    </w:div>
    <w:div w:id="1445005556">
      <w:bodyDiv w:val="1"/>
      <w:marLeft w:val="0"/>
      <w:marRight w:val="0"/>
      <w:marTop w:val="0"/>
      <w:marBottom w:val="0"/>
      <w:divBdr>
        <w:top w:val="none" w:sz="0" w:space="0" w:color="auto"/>
        <w:left w:val="none" w:sz="0" w:space="0" w:color="auto"/>
        <w:bottom w:val="none" w:sz="0" w:space="0" w:color="auto"/>
        <w:right w:val="none" w:sz="0" w:space="0" w:color="auto"/>
      </w:divBdr>
      <w:divsChild>
        <w:div w:id="979502309">
          <w:marLeft w:val="0"/>
          <w:marRight w:val="0"/>
          <w:marTop w:val="0"/>
          <w:marBottom w:val="0"/>
          <w:divBdr>
            <w:top w:val="none" w:sz="0" w:space="0" w:color="auto"/>
            <w:left w:val="none" w:sz="0" w:space="0" w:color="auto"/>
            <w:bottom w:val="none" w:sz="0" w:space="0" w:color="auto"/>
            <w:right w:val="none" w:sz="0" w:space="0" w:color="auto"/>
          </w:divBdr>
        </w:div>
      </w:divsChild>
    </w:div>
    <w:div w:id="1477263771">
      <w:bodyDiv w:val="1"/>
      <w:marLeft w:val="0"/>
      <w:marRight w:val="0"/>
      <w:marTop w:val="0"/>
      <w:marBottom w:val="0"/>
      <w:divBdr>
        <w:top w:val="none" w:sz="0" w:space="0" w:color="auto"/>
        <w:left w:val="none" w:sz="0" w:space="0" w:color="auto"/>
        <w:bottom w:val="none" w:sz="0" w:space="0" w:color="auto"/>
        <w:right w:val="none" w:sz="0" w:space="0" w:color="auto"/>
      </w:divBdr>
    </w:div>
    <w:div w:id="1499727991">
      <w:bodyDiv w:val="1"/>
      <w:marLeft w:val="0"/>
      <w:marRight w:val="0"/>
      <w:marTop w:val="0"/>
      <w:marBottom w:val="0"/>
      <w:divBdr>
        <w:top w:val="none" w:sz="0" w:space="0" w:color="auto"/>
        <w:left w:val="none" w:sz="0" w:space="0" w:color="auto"/>
        <w:bottom w:val="none" w:sz="0" w:space="0" w:color="auto"/>
        <w:right w:val="none" w:sz="0" w:space="0" w:color="auto"/>
      </w:divBdr>
    </w:div>
    <w:div w:id="1643391452">
      <w:bodyDiv w:val="1"/>
      <w:marLeft w:val="0"/>
      <w:marRight w:val="0"/>
      <w:marTop w:val="0"/>
      <w:marBottom w:val="0"/>
      <w:divBdr>
        <w:top w:val="none" w:sz="0" w:space="0" w:color="auto"/>
        <w:left w:val="none" w:sz="0" w:space="0" w:color="auto"/>
        <w:bottom w:val="none" w:sz="0" w:space="0" w:color="auto"/>
        <w:right w:val="none" w:sz="0" w:space="0" w:color="auto"/>
      </w:divBdr>
      <w:divsChild>
        <w:div w:id="1120763558">
          <w:marLeft w:val="0"/>
          <w:marRight w:val="0"/>
          <w:marTop w:val="0"/>
          <w:marBottom w:val="0"/>
          <w:divBdr>
            <w:top w:val="none" w:sz="0" w:space="0" w:color="auto"/>
            <w:left w:val="none" w:sz="0" w:space="0" w:color="auto"/>
            <w:bottom w:val="none" w:sz="0" w:space="0" w:color="auto"/>
            <w:right w:val="none" w:sz="0" w:space="0" w:color="auto"/>
          </w:divBdr>
        </w:div>
      </w:divsChild>
    </w:div>
    <w:div w:id="1685940581">
      <w:bodyDiv w:val="1"/>
      <w:marLeft w:val="0"/>
      <w:marRight w:val="0"/>
      <w:marTop w:val="0"/>
      <w:marBottom w:val="0"/>
      <w:divBdr>
        <w:top w:val="none" w:sz="0" w:space="0" w:color="auto"/>
        <w:left w:val="none" w:sz="0" w:space="0" w:color="auto"/>
        <w:bottom w:val="none" w:sz="0" w:space="0" w:color="auto"/>
        <w:right w:val="none" w:sz="0" w:space="0" w:color="auto"/>
      </w:divBdr>
    </w:div>
    <w:div w:id="1723671117">
      <w:bodyDiv w:val="1"/>
      <w:marLeft w:val="0"/>
      <w:marRight w:val="0"/>
      <w:marTop w:val="0"/>
      <w:marBottom w:val="0"/>
      <w:divBdr>
        <w:top w:val="none" w:sz="0" w:space="0" w:color="auto"/>
        <w:left w:val="none" w:sz="0" w:space="0" w:color="auto"/>
        <w:bottom w:val="none" w:sz="0" w:space="0" w:color="auto"/>
        <w:right w:val="none" w:sz="0" w:space="0" w:color="auto"/>
      </w:divBdr>
      <w:divsChild>
        <w:div w:id="1717701682">
          <w:marLeft w:val="0"/>
          <w:marRight w:val="0"/>
          <w:marTop w:val="0"/>
          <w:marBottom w:val="0"/>
          <w:divBdr>
            <w:top w:val="none" w:sz="0" w:space="0" w:color="auto"/>
            <w:left w:val="none" w:sz="0" w:space="0" w:color="auto"/>
            <w:bottom w:val="none" w:sz="0" w:space="0" w:color="auto"/>
            <w:right w:val="none" w:sz="0" w:space="0" w:color="auto"/>
          </w:divBdr>
        </w:div>
      </w:divsChild>
    </w:div>
    <w:div w:id="1827361384">
      <w:bodyDiv w:val="1"/>
      <w:marLeft w:val="0"/>
      <w:marRight w:val="0"/>
      <w:marTop w:val="0"/>
      <w:marBottom w:val="0"/>
      <w:divBdr>
        <w:top w:val="none" w:sz="0" w:space="0" w:color="auto"/>
        <w:left w:val="none" w:sz="0" w:space="0" w:color="auto"/>
        <w:bottom w:val="none" w:sz="0" w:space="0" w:color="auto"/>
        <w:right w:val="none" w:sz="0" w:space="0" w:color="auto"/>
      </w:divBdr>
    </w:div>
    <w:div w:id="1871185681">
      <w:bodyDiv w:val="1"/>
      <w:marLeft w:val="0"/>
      <w:marRight w:val="0"/>
      <w:marTop w:val="0"/>
      <w:marBottom w:val="0"/>
      <w:divBdr>
        <w:top w:val="none" w:sz="0" w:space="0" w:color="auto"/>
        <w:left w:val="none" w:sz="0" w:space="0" w:color="auto"/>
        <w:bottom w:val="none" w:sz="0" w:space="0" w:color="auto"/>
        <w:right w:val="none" w:sz="0" w:space="0" w:color="auto"/>
      </w:divBdr>
    </w:div>
    <w:div w:id="1872526032">
      <w:bodyDiv w:val="1"/>
      <w:marLeft w:val="0"/>
      <w:marRight w:val="0"/>
      <w:marTop w:val="0"/>
      <w:marBottom w:val="0"/>
      <w:divBdr>
        <w:top w:val="none" w:sz="0" w:space="0" w:color="auto"/>
        <w:left w:val="none" w:sz="0" w:space="0" w:color="auto"/>
        <w:bottom w:val="none" w:sz="0" w:space="0" w:color="auto"/>
        <w:right w:val="none" w:sz="0" w:space="0" w:color="auto"/>
      </w:divBdr>
    </w:div>
    <w:div w:id="1928882338">
      <w:bodyDiv w:val="1"/>
      <w:marLeft w:val="0"/>
      <w:marRight w:val="0"/>
      <w:marTop w:val="0"/>
      <w:marBottom w:val="0"/>
      <w:divBdr>
        <w:top w:val="none" w:sz="0" w:space="0" w:color="auto"/>
        <w:left w:val="none" w:sz="0" w:space="0" w:color="auto"/>
        <w:bottom w:val="none" w:sz="0" w:space="0" w:color="auto"/>
        <w:right w:val="none" w:sz="0" w:space="0" w:color="auto"/>
      </w:divBdr>
    </w:div>
    <w:div w:id="1955554917">
      <w:bodyDiv w:val="1"/>
      <w:marLeft w:val="0"/>
      <w:marRight w:val="0"/>
      <w:marTop w:val="0"/>
      <w:marBottom w:val="0"/>
      <w:divBdr>
        <w:top w:val="none" w:sz="0" w:space="0" w:color="auto"/>
        <w:left w:val="none" w:sz="0" w:space="0" w:color="auto"/>
        <w:bottom w:val="none" w:sz="0" w:space="0" w:color="auto"/>
        <w:right w:val="none" w:sz="0" w:space="0" w:color="auto"/>
      </w:divBdr>
    </w:div>
    <w:div w:id="1980838885">
      <w:bodyDiv w:val="1"/>
      <w:marLeft w:val="0"/>
      <w:marRight w:val="0"/>
      <w:marTop w:val="0"/>
      <w:marBottom w:val="0"/>
      <w:divBdr>
        <w:top w:val="none" w:sz="0" w:space="0" w:color="auto"/>
        <w:left w:val="none" w:sz="0" w:space="0" w:color="auto"/>
        <w:bottom w:val="none" w:sz="0" w:space="0" w:color="auto"/>
        <w:right w:val="none" w:sz="0" w:space="0" w:color="auto"/>
      </w:divBdr>
    </w:div>
    <w:div w:id="1993018524">
      <w:bodyDiv w:val="1"/>
      <w:marLeft w:val="0"/>
      <w:marRight w:val="0"/>
      <w:marTop w:val="0"/>
      <w:marBottom w:val="0"/>
      <w:divBdr>
        <w:top w:val="none" w:sz="0" w:space="0" w:color="auto"/>
        <w:left w:val="none" w:sz="0" w:space="0" w:color="auto"/>
        <w:bottom w:val="none" w:sz="0" w:space="0" w:color="auto"/>
        <w:right w:val="none" w:sz="0" w:space="0" w:color="auto"/>
      </w:divBdr>
      <w:divsChild>
        <w:div w:id="98260574">
          <w:marLeft w:val="0"/>
          <w:marRight w:val="0"/>
          <w:marTop w:val="0"/>
          <w:marBottom w:val="0"/>
          <w:divBdr>
            <w:top w:val="none" w:sz="0" w:space="0" w:color="auto"/>
            <w:left w:val="none" w:sz="0" w:space="0" w:color="auto"/>
            <w:bottom w:val="none" w:sz="0" w:space="0" w:color="auto"/>
            <w:right w:val="none" w:sz="0" w:space="0" w:color="auto"/>
          </w:divBdr>
        </w:div>
      </w:divsChild>
    </w:div>
    <w:div w:id="2087217168">
      <w:bodyDiv w:val="1"/>
      <w:marLeft w:val="0"/>
      <w:marRight w:val="0"/>
      <w:marTop w:val="0"/>
      <w:marBottom w:val="0"/>
      <w:divBdr>
        <w:top w:val="none" w:sz="0" w:space="0" w:color="auto"/>
        <w:left w:val="none" w:sz="0" w:space="0" w:color="auto"/>
        <w:bottom w:val="none" w:sz="0" w:space="0" w:color="auto"/>
        <w:right w:val="none" w:sz="0" w:space="0" w:color="auto"/>
      </w:divBdr>
    </w:div>
    <w:div w:id="20938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303" Type="http://schemas.openxmlformats.org/officeDocument/2006/relationships/footer" Target="footer146.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header" Target="header119.xml"/><Relationship Id="rId107" Type="http://schemas.openxmlformats.org/officeDocument/2006/relationships/footer" Target="footer48.xml"/><Relationship Id="rId268" Type="http://schemas.openxmlformats.org/officeDocument/2006/relationships/header" Target="header129.xml"/><Relationship Id="rId289" Type="http://schemas.openxmlformats.org/officeDocument/2006/relationships/header" Target="header140.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314" Type="http://schemas.openxmlformats.org/officeDocument/2006/relationships/footer" Target="footer151.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79" Type="http://schemas.openxmlformats.org/officeDocument/2006/relationships/footer" Target="footer134.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280" Type="http://schemas.openxmlformats.org/officeDocument/2006/relationships/header" Target="header135.xml"/><Relationship Id="rId315" Type="http://schemas.openxmlformats.org/officeDocument/2006/relationships/footer" Target="footer152.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6" Type="http://schemas.openxmlformats.org/officeDocument/2006/relationships/styles" Target="styl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19" Type="http://schemas.openxmlformats.org/officeDocument/2006/relationships/header" Target="header5.xml"/><Relationship Id="rId224" Type="http://schemas.openxmlformats.org/officeDocument/2006/relationships/footer" Target="footer106.xml"/><Relationship Id="rId240" Type="http://schemas.openxmlformats.org/officeDocument/2006/relationships/header" Target="header115.xml"/><Relationship Id="rId245" Type="http://schemas.openxmlformats.org/officeDocument/2006/relationships/footer" Target="footer117.xml"/><Relationship Id="rId261" Type="http://schemas.openxmlformats.org/officeDocument/2006/relationships/footer" Target="footer125.xml"/><Relationship Id="rId266" Type="http://schemas.openxmlformats.org/officeDocument/2006/relationships/footer" Target="footer127.xml"/><Relationship Id="rId287" Type="http://schemas.openxmlformats.org/officeDocument/2006/relationships/footer" Target="footer138.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282" Type="http://schemas.openxmlformats.org/officeDocument/2006/relationships/header" Target="header136.xml"/><Relationship Id="rId312" Type="http://schemas.openxmlformats.org/officeDocument/2006/relationships/header" Target="header151.xml"/><Relationship Id="rId317" Type="http://schemas.openxmlformats.org/officeDocument/2006/relationships/footer" Target="footer153.xm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customXml" Target="../customXml/item3.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1" Type="http://schemas.openxmlformats.org/officeDocument/2006/relationships/footer" Target="footer120.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272" Type="http://schemas.openxmlformats.org/officeDocument/2006/relationships/footer" Target="footer130.xml"/><Relationship Id="rId293" Type="http://schemas.openxmlformats.org/officeDocument/2006/relationships/footer" Target="footer141.xml"/><Relationship Id="rId302" Type="http://schemas.openxmlformats.org/officeDocument/2006/relationships/footer" Target="footer145.xml"/><Relationship Id="rId307" Type="http://schemas.openxmlformats.org/officeDocument/2006/relationships/header" Target="header149.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header" Target="header116.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106" Type="http://schemas.openxmlformats.org/officeDocument/2006/relationships/header" Target="header48.xml"/><Relationship Id="rId127" Type="http://schemas.openxmlformats.org/officeDocument/2006/relationships/header" Target="header59.xml"/><Relationship Id="rId262" Type="http://schemas.openxmlformats.org/officeDocument/2006/relationships/header" Target="header126.xml"/><Relationship Id="rId283" Type="http://schemas.openxmlformats.org/officeDocument/2006/relationships/header" Target="header137.xml"/><Relationship Id="rId313" Type="http://schemas.openxmlformats.org/officeDocument/2006/relationships/header" Target="header152.xml"/><Relationship Id="rId318"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48" Type="http://schemas.openxmlformats.org/officeDocument/2006/relationships/header" Target="header69.xml"/><Relationship Id="rId164" Type="http://schemas.openxmlformats.org/officeDocument/2006/relationships/footer" Target="footer76.xml"/><Relationship Id="rId169" Type="http://schemas.openxmlformats.org/officeDocument/2006/relationships/header" Target="header80.xml"/><Relationship Id="rId185" Type="http://schemas.openxmlformats.org/officeDocument/2006/relationships/footer" Target="footer8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theme" Target="theme/theme1.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198b08-d09d-409c-a169-ca1eb44fa897" xsi:nil="true"/>
    <lcf76f155ced4ddcb4097134ff3c332f xmlns="69540217-dd4d-4552-b080-f316f8754f8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4E1EBFBC69D4E9F6EFDF5C754386E" ma:contentTypeVersion="18" ma:contentTypeDescription="Create a new document." ma:contentTypeScope="" ma:versionID="d96332451acf1fec1844c615f8c704a1">
  <xsd:schema xmlns:xsd="http://www.w3.org/2001/XMLSchema" xmlns:xs="http://www.w3.org/2001/XMLSchema" xmlns:p="http://schemas.microsoft.com/office/2006/metadata/properties" xmlns:ns1="http://schemas.microsoft.com/sharepoint/v3" xmlns:ns2="41198b08-d09d-409c-a169-ca1eb44fa897" xmlns:ns3="69540217-dd4d-4552-b080-f316f8754f84" targetNamespace="http://schemas.microsoft.com/office/2006/metadata/properties" ma:root="true" ma:fieldsID="e0764a8d43d36cf7d9b8c41b6241eaf4" ns1:_="" ns2:_="" ns3:_="">
    <xsd:import namespace="http://schemas.microsoft.com/sharepoint/v3"/>
    <xsd:import namespace="41198b08-d09d-409c-a169-ca1eb44fa897"/>
    <xsd:import namespace="69540217-dd4d-4552-b080-f316f8754f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98b08-d09d-409c-a169-ca1eb44fa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95dfd1e-da9a-49fd-9803-c310180c1525}" ma:internalName="TaxCatchAll" ma:showField="CatchAllData" ma:web="41198b08-d09d-409c-a169-ca1eb44fa8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40217-dd4d-4552-b080-f316f8754f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FA89-C421-4A3B-B1AC-82F2D7B1D3FC}">
  <ds:schemaRefs>
    <ds:schemaRef ds:uri="http://schemas.microsoft.com/sharepoint/v3/contenttype/forms"/>
  </ds:schemaRefs>
</ds:datastoreItem>
</file>

<file path=customXml/itemProps2.xml><?xml version="1.0" encoding="utf-8"?>
<ds:datastoreItem xmlns:ds="http://schemas.openxmlformats.org/officeDocument/2006/customXml" ds:itemID="{36E51E7E-CA7B-4EC4-BCB0-2B584088DAF6}">
  <ds:schemaRefs>
    <ds:schemaRef ds:uri="http://schemas.microsoft.com/office/2006/metadata/properties"/>
    <ds:schemaRef ds:uri="41198b08-d09d-409c-a169-ca1eb44fa897"/>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69540217-dd4d-4552-b080-f316f8754f84"/>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8A408B52-4433-47CA-B69D-AAB115EC1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198b08-d09d-409c-a169-ca1eb44fa897"/>
    <ds:schemaRef ds:uri="69540217-dd4d-4552-b080-f316f87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C262C-8DDB-4A6F-A8EA-BE4F60F8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40227</Words>
  <Characters>229294</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TICHERU Andreea (SG-RECOVER)</dc:creator>
  <cp:keywords/>
  <dc:description/>
  <cp:lastModifiedBy>EC CoDe</cp:lastModifiedBy>
  <cp:revision>24</cp:revision>
  <dcterms:created xsi:type="dcterms:W3CDTF">2023-09-26T15:02:00Z</dcterms:created>
  <dcterms:modified xsi:type="dcterms:W3CDTF">2023-10-09T18:40:00Z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2023-09-07T19:51:18Z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aaf5049d-3fbb-4b12-96b1-ec0b143c7d71</vt:lpwstr>
  </property>
  <property fmtid="{D5CDD505-2E9C-101B-9397-08002B2CF9AE}" pid="8" name="MSIP_Label_6bd9ddd1-4d20-43f6-abfa-fc3c07406f94_ContentBits">
    <vt:lpwstr>0</vt:lpwstr>
  </property>
  <property fmtid="{D5CDD505-2E9C-101B-9397-08002B2CF9AE}" pid="9" name="ContentTypeId">
    <vt:lpwstr>0x0101001904E1EBFBC69D4E9F6EFDF5C754386E</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Created using">
    <vt:lpwstr>LW 9.0, Build 20230317</vt:lpwstr>
  </property>
  <property fmtid="{D5CDD505-2E9C-101B-9397-08002B2CF9AE}" pid="20" name="Last edited using">
    <vt:lpwstr>LW 9.0, Build 20230317</vt:lpwstr>
  </property>
</Properties>
</file>