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85ED" w14:textId="24969045" w:rsidR="00495B23" w:rsidRDefault="00D60762" w:rsidP="00D60762">
      <w:pPr>
        <w:pStyle w:val="Pagedecouverture"/>
        <w:rPr>
          <w:noProof/>
        </w:rPr>
      </w:pPr>
      <w:r>
        <w:rPr>
          <w:noProof/>
        </w:rPr>
        <w:pict w14:anchorId="6F29D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22180D26-8B9A-42E7-9C4B-A873FDA4C774" style="width:455pt;height:396.5pt">
            <v:imagedata r:id="rId7" o:title=""/>
          </v:shape>
        </w:pict>
      </w:r>
    </w:p>
    <w:p w14:paraId="231A8564" w14:textId="77777777" w:rsidR="00495B23" w:rsidRDefault="00495B23" w:rsidP="00495B23">
      <w:pPr>
        <w:rPr>
          <w:noProof/>
        </w:rPr>
        <w:sectPr w:rsidR="00495B23" w:rsidSect="00D60762">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4B7C1692" w14:textId="77777777" w:rsidR="00495B23" w:rsidRDefault="00495B23" w:rsidP="00BB6B30">
      <w:pPr>
        <w:pStyle w:val="Exposdesmotifstitre"/>
        <w:rPr>
          <w:noProof/>
        </w:rPr>
      </w:pPr>
      <w:r w:rsidRPr="006F770D">
        <w:rPr>
          <w:noProof/>
        </w:rPr>
        <w:lastRenderedPageBreak/>
        <w:t>EXPLANATORY MEMORANDUM</w:t>
      </w:r>
    </w:p>
    <w:p w14:paraId="11E5C024" w14:textId="4DD02E88" w:rsidR="00495B23" w:rsidRPr="00550536" w:rsidRDefault="00495B23" w:rsidP="00A12B1D">
      <w:pPr>
        <w:widowControl w:val="0"/>
        <w:shd w:val="clear" w:color="auto" w:fill="FFFFFF"/>
        <w:autoSpaceDE w:val="0"/>
        <w:autoSpaceDN w:val="0"/>
        <w:adjustRightInd w:val="0"/>
        <w:spacing w:before="230" w:after="0" w:line="269" w:lineRule="exact"/>
        <w:ind w:right="86"/>
        <w:rPr>
          <w:rFonts w:eastAsia="Arial Unicode MS"/>
          <w:noProof/>
        </w:rPr>
      </w:pPr>
    </w:p>
    <w:p w14:paraId="16E47265" w14:textId="77777777" w:rsidR="00495B23" w:rsidRDefault="00495B23" w:rsidP="004C78E7">
      <w:pPr>
        <w:rPr>
          <w:noProof/>
        </w:rPr>
        <w:sectPr w:rsidR="00495B23" w:rsidSect="00D60762">
          <w:footerReference w:type="default" r:id="rId14"/>
          <w:footerReference w:type="first" r:id="rId15"/>
          <w:pgSz w:w="11907" w:h="16839"/>
          <w:pgMar w:top="1134" w:right="1417" w:bottom="1134" w:left="1417" w:header="709" w:footer="709" w:gutter="0"/>
          <w:cols w:space="708"/>
          <w:docGrid w:linePitch="360"/>
        </w:sectPr>
      </w:pPr>
    </w:p>
    <w:p w14:paraId="686B6F04" w14:textId="2FE76B1C" w:rsidR="00036FCE" w:rsidRDefault="00D60762" w:rsidP="00D60762">
      <w:pPr>
        <w:pStyle w:val="Rfrenceinterinstitutionnelle"/>
        <w:rPr>
          <w:noProof/>
        </w:rPr>
      </w:pPr>
      <w:r w:rsidRPr="00D60762">
        <w:t>2023/0153 (NLE)</w:t>
      </w:r>
    </w:p>
    <w:p w14:paraId="550548B5" w14:textId="671D419F" w:rsidR="00495B23" w:rsidRPr="006F770D" w:rsidRDefault="005C0CDE" w:rsidP="005C0CDE">
      <w:pPr>
        <w:pStyle w:val="Statut"/>
        <w:rPr>
          <w:noProof/>
        </w:rPr>
      </w:pPr>
      <w:r w:rsidRPr="005C0CDE">
        <w:rPr>
          <w:noProof/>
        </w:rPr>
        <w:t>Joint Proposal for a</w:t>
      </w:r>
    </w:p>
    <w:p w14:paraId="46C3348D" w14:textId="0C709AC2" w:rsidR="00495B23" w:rsidRPr="006F770D" w:rsidRDefault="005C0CDE" w:rsidP="005C0CDE">
      <w:pPr>
        <w:pStyle w:val="Typedudocument"/>
        <w:rPr>
          <w:noProof/>
        </w:rPr>
      </w:pPr>
      <w:r w:rsidRPr="005C0CDE">
        <w:rPr>
          <w:noProof/>
        </w:rPr>
        <w:t>COUNCIL REGULATION</w:t>
      </w:r>
    </w:p>
    <w:p w14:paraId="49C3D52C" w14:textId="7EF9F7EA" w:rsidR="00495B23" w:rsidRPr="00665DE7" w:rsidRDefault="005C0CDE" w:rsidP="005C0CDE">
      <w:pPr>
        <w:pStyle w:val="Titreobjet"/>
        <w:rPr>
          <w:noProof/>
        </w:rPr>
      </w:pPr>
      <w:r w:rsidRPr="005C0CDE">
        <w:rPr>
          <w:noProof/>
        </w:rPr>
        <w:t>amending Council Regulation (EU) No 269/2014 concerning restrictive measures in respect of actions undermining or threatening the territorial integrity, sovereignty and independence of Ukraine</w:t>
      </w:r>
      <w:r w:rsidRPr="005C0CDE">
        <w:rPr>
          <w:noProof/>
        </w:rPr>
        <w:br/>
      </w:r>
    </w:p>
    <w:p w14:paraId="78D5CB8D" w14:textId="77777777" w:rsidR="00495B23" w:rsidRPr="006F770D" w:rsidRDefault="00495B23" w:rsidP="00CE48A5">
      <w:pPr>
        <w:pStyle w:val="Institutionquiagit"/>
        <w:rPr>
          <w:noProof/>
        </w:rPr>
      </w:pPr>
      <w:r w:rsidRPr="006F770D">
        <w:rPr>
          <w:noProof/>
        </w:rPr>
        <w:t>THE COUNCIL OF THE EUROPEAN UNION,</w:t>
      </w:r>
    </w:p>
    <w:p w14:paraId="30287391" w14:textId="77777777" w:rsidR="00495B23" w:rsidRPr="00495B23" w:rsidRDefault="00495B23" w:rsidP="00495B23">
      <w:pPr>
        <w:rPr>
          <w:noProof/>
        </w:rPr>
      </w:pPr>
      <w:r w:rsidRPr="00495B23">
        <w:rPr>
          <w:noProof/>
        </w:rPr>
        <w:t>Having regard to the Treaty on the Functioning of the European Union, and in particular Article 215 thereof,</w:t>
      </w:r>
    </w:p>
    <w:p w14:paraId="1AE65D3E" w14:textId="77777777" w:rsidR="00495B23" w:rsidRPr="00495B23" w:rsidRDefault="00495B23" w:rsidP="00495B23">
      <w:pPr>
        <w:rPr>
          <w:noProof/>
          <w:lang w:eastAsia="fr-BE"/>
        </w:rPr>
      </w:pPr>
      <w:r w:rsidRPr="00495B23">
        <w:rPr>
          <w:noProof/>
        </w:rPr>
        <w:t>Having regard to Council Decision 2014/145/CFSP of 17 March 2014 concerning restrictive measures in respect of actions undermining or threatening the territorial integrity, sovereignty and independence of Ukraine</w:t>
      </w:r>
      <w:r w:rsidRPr="0062644C">
        <w:rPr>
          <w:rStyle w:val="FootnoteReference"/>
          <w:noProof/>
        </w:rPr>
        <w:footnoteReference w:id="1"/>
      </w:r>
      <w:r w:rsidRPr="00495B23">
        <w:rPr>
          <w:noProof/>
          <w:lang w:eastAsia="fr-BE"/>
        </w:rPr>
        <w:t>,</w:t>
      </w:r>
    </w:p>
    <w:p w14:paraId="1293C5A7" w14:textId="77777777" w:rsidR="00495B23" w:rsidRPr="00495B23" w:rsidRDefault="00495B23" w:rsidP="00495B23">
      <w:pPr>
        <w:rPr>
          <w:noProof/>
          <w:szCs w:val="24"/>
        </w:rPr>
      </w:pPr>
      <w:r w:rsidRPr="00495B23">
        <w:rPr>
          <w:noProof/>
          <w:szCs w:val="24"/>
        </w:rPr>
        <w:t>Having regard to the joint proposal of the High Representative of the Union for Foreign Affairs and Security Policy and of the European Commission,</w:t>
      </w:r>
    </w:p>
    <w:p w14:paraId="4A125F00" w14:textId="77777777" w:rsidR="00495B23" w:rsidRPr="00495B23" w:rsidRDefault="00495B23" w:rsidP="00495B23">
      <w:pPr>
        <w:rPr>
          <w:noProof/>
          <w:szCs w:val="24"/>
        </w:rPr>
      </w:pPr>
      <w:r w:rsidRPr="00495B23">
        <w:rPr>
          <w:noProof/>
          <w:szCs w:val="24"/>
        </w:rPr>
        <w:t>Whereas:</w:t>
      </w:r>
      <w:r w:rsidRPr="00495B23">
        <w:rPr>
          <w:noProof/>
        </w:rPr>
        <w:t xml:space="preserve"> </w:t>
      </w:r>
    </w:p>
    <w:p w14:paraId="3DD359D8" w14:textId="0B065651" w:rsidR="00495B23" w:rsidRPr="00495B23" w:rsidRDefault="001C2A25" w:rsidP="001C2A25">
      <w:pPr>
        <w:pStyle w:val="ManualConsidrant"/>
        <w:rPr>
          <w:noProof/>
        </w:rPr>
      </w:pPr>
      <w:r w:rsidRPr="001C2A25">
        <w:rPr>
          <w:noProof/>
        </w:rPr>
        <w:t>(1)</w:t>
      </w:r>
      <w:r w:rsidRPr="001C2A25">
        <w:rPr>
          <w:noProof/>
        </w:rPr>
        <w:tab/>
      </w:r>
      <w:r w:rsidR="00495B23" w:rsidRPr="00495B23">
        <w:rPr>
          <w:noProof/>
        </w:rPr>
        <w:t>Council Regulation (EU) No 269/2014</w:t>
      </w:r>
      <w:r w:rsidR="00495B23" w:rsidRPr="0062644C">
        <w:rPr>
          <w:rStyle w:val="FootnoteReference"/>
          <w:noProof/>
        </w:rPr>
        <w:footnoteReference w:id="2"/>
      </w:r>
      <w:r w:rsidR="00495B23" w:rsidRPr="00495B23">
        <w:rPr>
          <w:noProof/>
        </w:rPr>
        <w:t> gives effect to restrictive measures provided for in Decision 2014/145/CFSP.</w:t>
      </w:r>
    </w:p>
    <w:p w14:paraId="29555633" w14:textId="52FB3AA9" w:rsidR="00746E7B" w:rsidRPr="00532B7F" w:rsidRDefault="001C2A25" w:rsidP="001C2A25">
      <w:pPr>
        <w:pStyle w:val="ManualConsidrant"/>
        <w:rPr>
          <w:noProof/>
        </w:rPr>
      </w:pPr>
      <w:r w:rsidRPr="001C2A25">
        <w:rPr>
          <w:noProof/>
        </w:rPr>
        <w:t>(2)</w:t>
      </w:r>
      <w:r w:rsidRPr="001C2A25">
        <w:rPr>
          <w:noProof/>
        </w:rPr>
        <w:tab/>
      </w:r>
      <w:r w:rsidR="00495B23" w:rsidRPr="00495B23">
        <w:rPr>
          <w:noProof/>
        </w:rPr>
        <w:t>On XXX</w:t>
      </w:r>
      <w:r w:rsidR="00F33AFB">
        <w:rPr>
          <w:noProof/>
        </w:rPr>
        <w:t>/</w:t>
      </w:r>
      <w:r w:rsidR="00495B23" w:rsidRPr="00495B23">
        <w:rPr>
          <w:noProof/>
        </w:rPr>
        <w:t>2023, the Council adopted Decision (CFSP) XXX, amending Decision 2014/145/CFSP</w:t>
      </w:r>
      <w:r w:rsidR="00746E7B">
        <w:rPr>
          <w:noProof/>
        </w:rPr>
        <w:t xml:space="preserve">, </w:t>
      </w:r>
      <w:r w:rsidR="00746E7B" w:rsidRPr="003B61AD">
        <w:rPr>
          <w:noProof/>
        </w:rPr>
        <w:t>which introduced a further criterion for the listing of natural or legal persons, entities or bodies subject to asset freeze and the prohibition to make funds and economic resources available to designated persons and entities</w:t>
      </w:r>
      <w:r w:rsidR="002A5F23">
        <w:rPr>
          <w:noProof/>
        </w:rPr>
        <w:t xml:space="preserve"> </w:t>
      </w:r>
      <w:r w:rsidR="002A5F23" w:rsidRPr="002A5F23">
        <w:rPr>
          <w:noProof/>
        </w:rPr>
        <w:t>in response to information warfare conducted by Russia to implement its war of aggression against Ukraine</w:t>
      </w:r>
      <w:r w:rsidR="00D422AB">
        <w:rPr>
          <w:noProof/>
        </w:rPr>
        <w:t>.</w:t>
      </w:r>
      <w:r w:rsidR="00746E7B">
        <w:rPr>
          <w:noProof/>
        </w:rPr>
        <w:t xml:space="preserve"> </w:t>
      </w:r>
      <w:r w:rsidR="00746E7B" w:rsidRPr="00495B23">
        <w:rPr>
          <w:noProof/>
        </w:rPr>
        <w:t>Decision (</w:t>
      </w:r>
      <w:r w:rsidR="00746E7B" w:rsidRPr="00532B7F">
        <w:rPr>
          <w:noProof/>
        </w:rPr>
        <w:t xml:space="preserve">CFSP) XXX also amended </w:t>
      </w:r>
      <w:r w:rsidR="00D422AB" w:rsidRPr="00532B7F">
        <w:rPr>
          <w:noProof/>
        </w:rPr>
        <w:t xml:space="preserve">one of the existing listing criteria. </w:t>
      </w:r>
    </w:p>
    <w:p w14:paraId="3C59ED4D" w14:textId="469B6840" w:rsidR="007B51EA" w:rsidRDefault="001C2A25" w:rsidP="001C2A25">
      <w:pPr>
        <w:pStyle w:val="ManualConsidrant"/>
        <w:rPr>
          <w:noProof/>
        </w:rPr>
      </w:pPr>
      <w:r w:rsidRPr="001C2A25">
        <w:rPr>
          <w:noProof/>
        </w:rPr>
        <w:t>(3)</w:t>
      </w:r>
      <w:r w:rsidRPr="001C2A25">
        <w:rPr>
          <w:noProof/>
        </w:rPr>
        <w:tab/>
      </w:r>
      <w:r w:rsidR="00C21441" w:rsidRPr="00532B7F">
        <w:rPr>
          <w:noProof/>
        </w:rPr>
        <w:t>Decision (</w:t>
      </w:r>
      <w:r w:rsidR="00C21441" w:rsidRPr="009865B4">
        <w:rPr>
          <w:noProof/>
        </w:rPr>
        <w:t xml:space="preserve">CFSP) XXX </w:t>
      </w:r>
      <w:r w:rsidR="00223DE0" w:rsidRPr="009865B4">
        <w:rPr>
          <w:noProof/>
        </w:rPr>
        <w:t>also introduced further derogation</w:t>
      </w:r>
      <w:r w:rsidR="005F3F74" w:rsidRPr="009865B4">
        <w:rPr>
          <w:noProof/>
        </w:rPr>
        <w:t>s</w:t>
      </w:r>
      <w:r w:rsidR="00223DE0" w:rsidRPr="009865B4">
        <w:rPr>
          <w:noProof/>
        </w:rPr>
        <w:t xml:space="preserve"> from the asset freeze and the prohibition to make funds and economic resources available to </w:t>
      </w:r>
      <w:r w:rsidR="005F3F74" w:rsidRPr="009865B4">
        <w:rPr>
          <w:noProof/>
        </w:rPr>
        <w:t xml:space="preserve">certain listed entities to allow for </w:t>
      </w:r>
      <w:r w:rsidR="005528F3">
        <w:rPr>
          <w:noProof/>
        </w:rPr>
        <w:t xml:space="preserve">the </w:t>
      </w:r>
      <w:r w:rsidR="005528F3" w:rsidRPr="005528F3">
        <w:rPr>
          <w:noProof/>
        </w:rPr>
        <w:t xml:space="preserve">divestment from Russian companies </w:t>
      </w:r>
      <w:r w:rsidR="00D96772">
        <w:rPr>
          <w:noProof/>
        </w:rPr>
        <w:t>and the disposal of certain types of securities held with a listed entity</w:t>
      </w:r>
      <w:r w:rsidR="005F3F74" w:rsidRPr="009865B4">
        <w:rPr>
          <w:noProof/>
        </w:rPr>
        <w:t>.</w:t>
      </w:r>
    </w:p>
    <w:p w14:paraId="338BF599" w14:textId="50F448D8" w:rsidR="00C311B0" w:rsidRPr="009865B4" w:rsidRDefault="001C2A25" w:rsidP="001C2A25">
      <w:pPr>
        <w:pStyle w:val="ManualConsidrant"/>
        <w:rPr>
          <w:noProof/>
        </w:rPr>
      </w:pPr>
      <w:r w:rsidRPr="001C2A25">
        <w:rPr>
          <w:noProof/>
        </w:rPr>
        <w:t>(4)</w:t>
      </w:r>
      <w:r w:rsidRPr="001C2A25">
        <w:rPr>
          <w:noProof/>
        </w:rPr>
        <w:tab/>
      </w:r>
      <w:r w:rsidR="00C21441" w:rsidRPr="009865B4">
        <w:rPr>
          <w:noProof/>
        </w:rPr>
        <w:t xml:space="preserve">Decision (CFSP) XXX also </w:t>
      </w:r>
      <w:r w:rsidR="00C311B0" w:rsidRPr="009865B4">
        <w:rPr>
          <w:noProof/>
        </w:rPr>
        <w:t>extended to certain newly-listed banks derogations from the asset freeze and from the prohibition on making available funds and economic resources that were applicable to previously-listed banks</w:t>
      </w:r>
      <w:r w:rsidR="00C21441" w:rsidRPr="009865B4">
        <w:rPr>
          <w:noProof/>
        </w:rPr>
        <w:t>.</w:t>
      </w:r>
    </w:p>
    <w:p w14:paraId="36980C26" w14:textId="4C6B71A9" w:rsidR="00976043" w:rsidRPr="009865B4" w:rsidRDefault="001C2A25" w:rsidP="001C2A25">
      <w:pPr>
        <w:pStyle w:val="ManualConsidrant"/>
        <w:rPr>
          <w:noProof/>
        </w:rPr>
      </w:pPr>
      <w:r w:rsidRPr="001C2A25">
        <w:rPr>
          <w:noProof/>
        </w:rPr>
        <w:t>(5)</w:t>
      </w:r>
      <w:r w:rsidRPr="001C2A25">
        <w:rPr>
          <w:noProof/>
        </w:rPr>
        <w:tab/>
      </w:r>
      <w:r w:rsidR="00976043" w:rsidRPr="009865B4">
        <w:rPr>
          <w:noProof/>
        </w:rPr>
        <w:t>It is also appropriate to provide further clarifications regarding the processing and exchanging of information by the competent authorities of the Member States.</w:t>
      </w:r>
    </w:p>
    <w:p w14:paraId="08D56442" w14:textId="2FF7B1C4" w:rsidR="00746E7B" w:rsidRPr="009865B4" w:rsidRDefault="001C2A25" w:rsidP="001C2A25">
      <w:pPr>
        <w:pStyle w:val="ManualConsidrant"/>
        <w:rPr>
          <w:noProof/>
        </w:rPr>
      </w:pPr>
      <w:r w:rsidRPr="001C2A25">
        <w:rPr>
          <w:noProof/>
        </w:rPr>
        <w:t>(6)</w:t>
      </w:r>
      <w:r w:rsidRPr="001C2A25">
        <w:rPr>
          <w:noProof/>
        </w:rPr>
        <w:tab/>
      </w:r>
      <w:r w:rsidR="00746E7B" w:rsidRPr="009865B4">
        <w:rPr>
          <w:noProof/>
        </w:rPr>
        <w:t xml:space="preserve">The amendments made to Decision 2014/145/CFSP by </w:t>
      </w:r>
      <w:r w:rsidR="00766723" w:rsidRPr="009865B4">
        <w:rPr>
          <w:noProof/>
        </w:rPr>
        <w:t xml:space="preserve">Decision (CFSP) XXX </w:t>
      </w:r>
      <w:r w:rsidR="00746E7B" w:rsidRPr="009865B4">
        <w:rPr>
          <w:noProof/>
        </w:rPr>
        <w:t xml:space="preserve">fall within the scope of the Treaty </w:t>
      </w:r>
      <w:r w:rsidR="009B2102">
        <w:rPr>
          <w:noProof/>
        </w:rPr>
        <w:t xml:space="preserve">on the Functioning of the EU </w:t>
      </w:r>
      <w:r w:rsidR="00746E7B" w:rsidRPr="009865B4">
        <w:rPr>
          <w:noProof/>
        </w:rPr>
        <w:t>and therefore regulatory action at the level of the Union is necessary in order to implement them, in particular with a view to ensuring their uniform application in all Member States.</w:t>
      </w:r>
    </w:p>
    <w:p w14:paraId="07330134" w14:textId="7BC0D6A7" w:rsidR="00746E7B" w:rsidRPr="003B61AD" w:rsidRDefault="001C2A25" w:rsidP="001C2A25">
      <w:pPr>
        <w:pStyle w:val="ManualConsidrant"/>
        <w:rPr>
          <w:noProof/>
        </w:rPr>
      </w:pPr>
      <w:r w:rsidRPr="001C2A25">
        <w:rPr>
          <w:noProof/>
        </w:rPr>
        <w:t>(7)</w:t>
      </w:r>
      <w:r w:rsidRPr="001C2A25">
        <w:rPr>
          <w:noProof/>
        </w:rPr>
        <w:tab/>
      </w:r>
      <w:r w:rsidR="00746E7B" w:rsidRPr="003B61AD">
        <w:rPr>
          <w:noProof/>
        </w:rPr>
        <w:t>Regulation (EU) No 269/2014 should therefore be amended accordingly,</w:t>
      </w:r>
    </w:p>
    <w:p w14:paraId="411E7BC4" w14:textId="77777777" w:rsidR="00495B23" w:rsidRPr="00495B23" w:rsidRDefault="00495B23" w:rsidP="00495B23">
      <w:pPr>
        <w:pStyle w:val="Formuledadoption"/>
        <w:spacing w:before="360"/>
        <w:rPr>
          <w:noProof/>
        </w:rPr>
      </w:pPr>
      <w:r w:rsidRPr="00495B23">
        <w:rPr>
          <w:noProof/>
        </w:rPr>
        <w:t>HAS ADOPTED THIS REGULATION:</w:t>
      </w:r>
    </w:p>
    <w:p w14:paraId="497ED456" w14:textId="77777777" w:rsidR="00495B23" w:rsidRPr="00495B23" w:rsidRDefault="00495B23" w:rsidP="00495B23">
      <w:pPr>
        <w:pStyle w:val="Titrearticle"/>
        <w:rPr>
          <w:noProof/>
        </w:rPr>
      </w:pPr>
      <w:r w:rsidRPr="00495B23">
        <w:rPr>
          <w:noProof/>
        </w:rPr>
        <w:t>Article 1</w:t>
      </w:r>
    </w:p>
    <w:p w14:paraId="48A71344" w14:textId="27BFF30C" w:rsidR="00495B23" w:rsidRPr="00495B23" w:rsidRDefault="00495B23" w:rsidP="00495B23">
      <w:pPr>
        <w:rPr>
          <w:noProof/>
        </w:rPr>
      </w:pPr>
      <w:r w:rsidRPr="00495B23">
        <w:rPr>
          <w:noProof/>
        </w:rPr>
        <w:t xml:space="preserve">Regulation (EU) No </w:t>
      </w:r>
      <w:r w:rsidR="00746E7B">
        <w:rPr>
          <w:noProof/>
        </w:rPr>
        <w:t>269</w:t>
      </w:r>
      <w:r w:rsidRPr="00495B23">
        <w:rPr>
          <w:noProof/>
        </w:rPr>
        <w:t xml:space="preserve">/2014 is amended as follows: </w:t>
      </w:r>
    </w:p>
    <w:p w14:paraId="4B61E143" w14:textId="5646F8BA" w:rsidR="00766723" w:rsidRDefault="001C2A25" w:rsidP="001C2A25">
      <w:pPr>
        <w:pStyle w:val="Point0"/>
        <w:rPr>
          <w:noProof/>
        </w:rPr>
      </w:pPr>
      <w:r w:rsidRPr="001C2A25">
        <w:rPr>
          <w:noProof/>
        </w:rPr>
        <w:t>(1)</w:t>
      </w:r>
      <w:r w:rsidRPr="001C2A25">
        <w:rPr>
          <w:noProof/>
        </w:rPr>
        <w:tab/>
      </w:r>
      <w:r w:rsidR="00766723" w:rsidRPr="00495B23">
        <w:rPr>
          <w:noProof/>
        </w:rPr>
        <w:t xml:space="preserve">in Article </w:t>
      </w:r>
      <w:r w:rsidR="00766723">
        <w:rPr>
          <w:noProof/>
        </w:rPr>
        <w:t>3(1), letter (h) is replaced by the following:</w:t>
      </w:r>
    </w:p>
    <w:p w14:paraId="220272EC" w14:textId="3F8E77C6" w:rsidR="00766723" w:rsidRPr="00C911EB" w:rsidRDefault="00766723" w:rsidP="00A16B5A">
      <w:pPr>
        <w:rPr>
          <w:noProof/>
        </w:rPr>
      </w:pPr>
      <w:r w:rsidRPr="00C911EB">
        <w:rPr>
          <w:noProof/>
        </w:rPr>
        <w:t>‘(h) natural or legal persons, entities or bodies circumventing the Union’s restrictive measures by activities which have</w:t>
      </w:r>
      <w:r w:rsidRPr="00C911EB">
        <w:rPr>
          <w:b/>
          <w:bCs/>
          <w:noProof/>
        </w:rPr>
        <w:t xml:space="preserve"> </w:t>
      </w:r>
      <w:r w:rsidRPr="00C911EB">
        <w:rPr>
          <w:noProof/>
        </w:rPr>
        <w:t>the aim or result</w:t>
      </w:r>
      <w:r w:rsidRPr="00C911EB">
        <w:rPr>
          <w:b/>
          <w:bCs/>
          <w:noProof/>
        </w:rPr>
        <w:t xml:space="preserve"> </w:t>
      </w:r>
      <w:r w:rsidRPr="00C911EB">
        <w:rPr>
          <w:noProof/>
        </w:rPr>
        <w:t>of frustrating the prohibitions in this Regulation, in Council Regulations (EU) No 692/2014, (EU) No 833/2014 or (EU) 2022/263 or in Council Decisions 2014/ 145/CFSP, 2014/386/CFSP, 2014/512/CFSP or (CFSP) 2022/266;’</w:t>
      </w:r>
    </w:p>
    <w:p w14:paraId="4C9AF67D" w14:textId="301FFD58" w:rsidR="00495B23" w:rsidRDefault="001C2A25" w:rsidP="001C2A25">
      <w:pPr>
        <w:pStyle w:val="Point0"/>
        <w:rPr>
          <w:noProof/>
        </w:rPr>
      </w:pPr>
      <w:r w:rsidRPr="001C2A25">
        <w:rPr>
          <w:noProof/>
        </w:rPr>
        <w:t>(2)</w:t>
      </w:r>
      <w:r w:rsidRPr="001C2A25">
        <w:rPr>
          <w:noProof/>
        </w:rPr>
        <w:tab/>
      </w:r>
      <w:r w:rsidR="00495B23" w:rsidRPr="00495B23">
        <w:rPr>
          <w:noProof/>
        </w:rPr>
        <w:t xml:space="preserve">in Article </w:t>
      </w:r>
      <w:r w:rsidR="00766723">
        <w:rPr>
          <w:noProof/>
        </w:rPr>
        <w:t>3(1)</w:t>
      </w:r>
      <w:r w:rsidR="00766723" w:rsidRPr="00495B23">
        <w:rPr>
          <w:noProof/>
        </w:rPr>
        <w:t xml:space="preserve">, </w:t>
      </w:r>
      <w:r w:rsidR="00495B23" w:rsidRPr="00495B23">
        <w:rPr>
          <w:noProof/>
        </w:rPr>
        <w:t xml:space="preserve">the following point </w:t>
      </w:r>
      <w:r w:rsidR="00766723">
        <w:rPr>
          <w:noProof/>
        </w:rPr>
        <w:t>is</w:t>
      </w:r>
      <w:r w:rsidR="00495B23" w:rsidRPr="00495B23">
        <w:rPr>
          <w:noProof/>
        </w:rPr>
        <w:t xml:space="preserve"> added:</w:t>
      </w:r>
    </w:p>
    <w:p w14:paraId="0BD6966E" w14:textId="7339049B" w:rsidR="00766723" w:rsidRPr="009865B4" w:rsidRDefault="00766723" w:rsidP="00A16B5A">
      <w:pPr>
        <w:rPr>
          <w:noProof/>
        </w:rPr>
      </w:pPr>
      <w:r w:rsidRPr="007B51EA">
        <w:rPr>
          <w:noProof/>
        </w:rPr>
        <w:t xml:space="preserve">‘(i) legal persons, </w:t>
      </w:r>
      <w:r w:rsidRPr="009865B4">
        <w:rPr>
          <w:noProof/>
        </w:rPr>
        <w:t>entities or bodies operating in the Russian IT-sector with a license administered by the FSB Center for Licensing, Certification, and Protection of State Secrets and by the Russian Ministry of Industry and Trade;’</w:t>
      </w:r>
    </w:p>
    <w:p w14:paraId="5B95C41F" w14:textId="0B2546F6" w:rsidR="00756445" w:rsidRPr="009865B4" w:rsidRDefault="001C2A25" w:rsidP="001C2A25">
      <w:pPr>
        <w:pStyle w:val="Point0"/>
        <w:rPr>
          <w:noProof/>
        </w:rPr>
      </w:pPr>
      <w:r w:rsidRPr="001C2A25">
        <w:rPr>
          <w:noProof/>
        </w:rPr>
        <w:t>(3)</w:t>
      </w:r>
      <w:r w:rsidRPr="001C2A25">
        <w:rPr>
          <w:noProof/>
        </w:rPr>
        <w:tab/>
      </w:r>
      <w:r w:rsidR="00756445" w:rsidRPr="009865B4">
        <w:rPr>
          <w:noProof/>
        </w:rPr>
        <w:t>in Article 6b, the following paragraph is added:</w:t>
      </w:r>
    </w:p>
    <w:p w14:paraId="6D72A392" w14:textId="3BB6A28B" w:rsidR="00756445" w:rsidRPr="009865B4" w:rsidRDefault="00756445" w:rsidP="00A16B5A">
      <w:pPr>
        <w:rPr>
          <w:noProof/>
        </w:rPr>
      </w:pPr>
      <w:r w:rsidRPr="009865B4">
        <w:rPr>
          <w:noProof/>
        </w:rPr>
        <w:t xml:space="preserve">‘2e. By way of derogation from Article 2, the competent authorities of a Member State may authorise the release of certain frozen funds or economic resources belonging to the entities listed under entry numbers </w:t>
      </w:r>
      <w:r w:rsidRPr="009865B4">
        <w:rPr>
          <w:i/>
          <w:noProof/>
        </w:rPr>
        <w:t>[</w:t>
      </w:r>
      <w:r w:rsidR="00C311B0" w:rsidRPr="009865B4">
        <w:rPr>
          <w:i/>
          <w:noProof/>
        </w:rPr>
        <w:t>OJ: add numbers of newly listed banks in Annex I</w:t>
      </w:r>
      <w:r w:rsidRPr="009865B4">
        <w:rPr>
          <w:i/>
          <w:noProof/>
        </w:rPr>
        <w:t>]</w:t>
      </w:r>
      <w:r w:rsidRPr="009865B4">
        <w:rPr>
          <w:noProof/>
        </w:rPr>
        <w:t xml:space="preserve"> under the heading “Entities” in Annex I, or the making available of certain funds or economic resources to those entities, under such conditions as the competent authorities deem appropriate and after having determined that such funds or economic resources are necessary for the termination by </w:t>
      </w:r>
      <w:r w:rsidRPr="009865B4">
        <w:rPr>
          <w:i/>
          <w:noProof/>
        </w:rPr>
        <w:t>[</w:t>
      </w:r>
      <w:r w:rsidR="00C311B0" w:rsidRPr="009865B4">
        <w:rPr>
          <w:i/>
          <w:noProof/>
        </w:rPr>
        <w:t>OJ: add date six months after entry into force of this Regulation</w:t>
      </w:r>
      <w:r w:rsidRPr="009865B4">
        <w:rPr>
          <w:i/>
          <w:noProof/>
        </w:rPr>
        <w:t>]</w:t>
      </w:r>
      <w:r w:rsidRPr="009865B4">
        <w:rPr>
          <w:noProof/>
        </w:rPr>
        <w:t xml:space="preserve"> of operations, contracts, or other agreements, including correspondent banking relations, concluded with those entities before </w:t>
      </w:r>
      <w:r w:rsidR="00C311B0" w:rsidRPr="009865B4">
        <w:rPr>
          <w:i/>
          <w:noProof/>
        </w:rPr>
        <w:t>[OJ: add date of entry into force of this Regulation]</w:t>
      </w:r>
      <w:r w:rsidRPr="009865B4">
        <w:rPr>
          <w:noProof/>
        </w:rPr>
        <w:t>.’</w:t>
      </w:r>
    </w:p>
    <w:p w14:paraId="46D42465" w14:textId="388616CB" w:rsidR="002602F8" w:rsidRDefault="001C2A25" w:rsidP="001C2A25">
      <w:pPr>
        <w:pStyle w:val="Point0"/>
        <w:rPr>
          <w:noProof/>
        </w:rPr>
      </w:pPr>
      <w:r w:rsidRPr="001C2A25">
        <w:rPr>
          <w:noProof/>
        </w:rPr>
        <w:t>(4)</w:t>
      </w:r>
      <w:r w:rsidRPr="001C2A25">
        <w:rPr>
          <w:noProof/>
        </w:rPr>
        <w:tab/>
      </w:r>
      <w:r w:rsidR="00495B23" w:rsidRPr="009865B4">
        <w:rPr>
          <w:noProof/>
        </w:rPr>
        <w:t xml:space="preserve">Article </w:t>
      </w:r>
      <w:r w:rsidR="0065587F" w:rsidRPr="009865B4">
        <w:rPr>
          <w:noProof/>
        </w:rPr>
        <w:t>6b</w:t>
      </w:r>
      <w:r w:rsidR="002602F8">
        <w:rPr>
          <w:noProof/>
        </w:rPr>
        <w:t xml:space="preserve"> is amended as follows: </w:t>
      </w:r>
    </w:p>
    <w:p w14:paraId="6B07BD0F" w14:textId="526340D9" w:rsidR="007B51EA" w:rsidRPr="009865B4" w:rsidRDefault="002602F8" w:rsidP="00EA3724">
      <w:pPr>
        <w:rPr>
          <w:noProof/>
        </w:rPr>
      </w:pPr>
      <w:r>
        <w:rPr>
          <w:noProof/>
        </w:rPr>
        <w:t>(a)</w:t>
      </w:r>
      <w:r w:rsidR="00495B23" w:rsidRPr="009865B4">
        <w:rPr>
          <w:noProof/>
        </w:rPr>
        <w:t xml:space="preserve"> the fol</w:t>
      </w:r>
      <w:r w:rsidR="0065587F" w:rsidRPr="009865B4">
        <w:rPr>
          <w:noProof/>
        </w:rPr>
        <w:t xml:space="preserve">lowing </w:t>
      </w:r>
      <w:r w:rsidR="00CC3764" w:rsidRPr="009865B4">
        <w:rPr>
          <w:noProof/>
        </w:rPr>
        <w:t xml:space="preserve">paragraph </w:t>
      </w:r>
      <w:r w:rsidR="002A5F23">
        <w:rPr>
          <w:noProof/>
        </w:rPr>
        <w:t>is</w:t>
      </w:r>
      <w:r w:rsidR="00495B23" w:rsidRPr="009865B4">
        <w:rPr>
          <w:noProof/>
        </w:rPr>
        <w:t xml:space="preserve"> added:</w:t>
      </w:r>
    </w:p>
    <w:p w14:paraId="74D4FBF0" w14:textId="3DB5FFFB" w:rsidR="005528F3" w:rsidRDefault="007B51EA" w:rsidP="005528F3">
      <w:pPr>
        <w:rPr>
          <w:noProof/>
        </w:rPr>
      </w:pPr>
      <w:r w:rsidRPr="009865B4">
        <w:rPr>
          <w:noProof/>
        </w:rPr>
        <w:t>‘</w:t>
      </w:r>
      <w:r w:rsidR="005528F3">
        <w:rPr>
          <w:noProof/>
        </w:rPr>
        <w:t>5aa. By way of derogation from Article 2, competent authorities may authorise the conversion by [</w:t>
      </w:r>
      <w:r w:rsidR="005528F3" w:rsidRPr="005528F3">
        <w:rPr>
          <w:i/>
          <w:iCs/>
          <w:noProof/>
        </w:rPr>
        <w:t>OJ: please insert date 3 months after entry into force</w:t>
      </w:r>
      <w:r w:rsidR="005528F3">
        <w:rPr>
          <w:noProof/>
        </w:rPr>
        <w:t>] by nationals or residents of a Member State or an entity established in the Union of American Depositary Receipts (‘ADRs’) with Russian underlying security held with the entity listed under entry number 101</w:t>
      </w:r>
      <w:r w:rsidR="00C37471">
        <w:rPr>
          <w:noProof/>
        </w:rPr>
        <w:t xml:space="preserve"> </w:t>
      </w:r>
      <w:r w:rsidR="00C37471" w:rsidRPr="00C37471">
        <w:rPr>
          <w:noProof/>
        </w:rPr>
        <w:t>under the heading “Entities”</w:t>
      </w:r>
      <w:r w:rsidR="005528F3">
        <w:rPr>
          <w:noProof/>
        </w:rPr>
        <w:t xml:space="preserve"> in Annex I for the purpose of selling the underlying security, and the making available of funds linked to the conversion of the ADR and to the sale of the underlying security directly or indirectly to </w:t>
      </w:r>
      <w:r w:rsidR="00C37471">
        <w:rPr>
          <w:noProof/>
        </w:rPr>
        <w:t>that</w:t>
      </w:r>
      <w:r w:rsidR="005528F3">
        <w:rPr>
          <w:noProof/>
        </w:rPr>
        <w:t xml:space="preserve"> entity in Russia after having determined that:</w:t>
      </w:r>
    </w:p>
    <w:p w14:paraId="29D209D8" w14:textId="77777777" w:rsidR="005528F3" w:rsidRDefault="005528F3" w:rsidP="005528F3">
      <w:pPr>
        <w:rPr>
          <w:noProof/>
        </w:rPr>
      </w:pPr>
      <w:r>
        <w:rPr>
          <w:noProof/>
        </w:rPr>
        <w:t>(a)</w:t>
      </w:r>
      <w:r>
        <w:rPr>
          <w:noProof/>
        </w:rPr>
        <w:tab/>
        <w:t xml:space="preserve">the ADR was held with the mentioned entity before 3 June 2022; </w:t>
      </w:r>
    </w:p>
    <w:p w14:paraId="79D06D6B" w14:textId="77777777" w:rsidR="005528F3" w:rsidRDefault="005528F3" w:rsidP="005528F3">
      <w:pPr>
        <w:rPr>
          <w:noProof/>
        </w:rPr>
      </w:pPr>
      <w:r>
        <w:rPr>
          <w:noProof/>
        </w:rPr>
        <w:t>(b)</w:t>
      </w:r>
      <w:r>
        <w:rPr>
          <w:noProof/>
        </w:rPr>
        <w:tab/>
        <w:t>the holder of the ADR is able to demonstrate that such conversion is necessary for the sale of the underlying security to a counterparty that has been identified prior to the conversion;</w:t>
      </w:r>
    </w:p>
    <w:p w14:paraId="4C02ACCA" w14:textId="57BF3F6D" w:rsidR="005528F3" w:rsidRDefault="005528F3" w:rsidP="005528F3">
      <w:pPr>
        <w:rPr>
          <w:noProof/>
        </w:rPr>
      </w:pPr>
      <w:r>
        <w:rPr>
          <w:noProof/>
        </w:rPr>
        <w:t>(c)</w:t>
      </w:r>
      <w:r>
        <w:rPr>
          <w:noProof/>
        </w:rPr>
        <w:tab/>
        <w:t xml:space="preserve">the sale of the underlying security is compliant with </w:t>
      </w:r>
      <w:r w:rsidR="00FC06F4">
        <w:rPr>
          <w:noProof/>
        </w:rPr>
        <w:t>prohibitions</w:t>
      </w:r>
      <w:r>
        <w:rPr>
          <w:noProof/>
        </w:rPr>
        <w:t xml:space="preserve"> under Council Regulation No 833/2014, including Articles 5 and 5f; and</w:t>
      </w:r>
    </w:p>
    <w:p w14:paraId="5C42E20D" w14:textId="1768806A" w:rsidR="005528F3" w:rsidRDefault="005528F3" w:rsidP="005528F3">
      <w:pPr>
        <w:rPr>
          <w:noProof/>
        </w:rPr>
      </w:pPr>
      <w:r>
        <w:rPr>
          <w:noProof/>
        </w:rPr>
        <w:t>(d)</w:t>
      </w:r>
      <w:r>
        <w:rPr>
          <w:noProof/>
        </w:rPr>
        <w:tab/>
        <w:t>no funds will be made available to any other entity listed in Annex I.</w:t>
      </w:r>
      <w:r w:rsidR="002602F8">
        <w:rPr>
          <w:noProof/>
        </w:rPr>
        <w:t>’</w:t>
      </w:r>
    </w:p>
    <w:p w14:paraId="4FC53CB6" w14:textId="6E4F0FFA" w:rsidR="002602F8" w:rsidRDefault="002602F8" w:rsidP="00174450">
      <w:pPr>
        <w:rPr>
          <w:noProof/>
        </w:rPr>
      </w:pPr>
      <w:r>
        <w:rPr>
          <w:noProof/>
        </w:rPr>
        <w:t xml:space="preserve">(b) </w:t>
      </w:r>
      <w:r w:rsidRPr="009865B4">
        <w:rPr>
          <w:noProof/>
        </w:rPr>
        <w:t xml:space="preserve"> the following paragraph </w:t>
      </w:r>
      <w:r>
        <w:rPr>
          <w:noProof/>
        </w:rPr>
        <w:t>is</w:t>
      </w:r>
      <w:r w:rsidRPr="009865B4">
        <w:rPr>
          <w:noProof/>
        </w:rPr>
        <w:t xml:space="preserve"> added:</w:t>
      </w:r>
    </w:p>
    <w:p w14:paraId="3BAC1ECB" w14:textId="41B36345" w:rsidR="00495B23" w:rsidRPr="009865B4" w:rsidRDefault="002602F8" w:rsidP="00A16B5A">
      <w:pPr>
        <w:rPr>
          <w:noProof/>
        </w:rPr>
      </w:pPr>
      <w:r>
        <w:rPr>
          <w:noProof/>
        </w:rPr>
        <w:t>‘</w:t>
      </w:r>
      <w:r w:rsidR="0065587F" w:rsidRPr="009865B4">
        <w:rPr>
          <w:noProof/>
        </w:rPr>
        <w:t xml:space="preserve">5c. </w:t>
      </w:r>
      <w:r w:rsidR="007B51EA" w:rsidRPr="009865B4">
        <w:rPr>
          <w:noProof/>
        </w:rPr>
        <w:t>By way of derogation from Article 2, the competent authorities of a Member State may authorise the release of certain frozen funds or economic resources belonging to the natural person listed under entry numbers 695 under the heading ‘Persons’ in Annex I, or the making available of certain funds or economic resources to this natural person or an entity owned by this natural person, under such conditions as the competent authorities deem appropriate and after having determined that such f</w:t>
      </w:r>
      <w:r w:rsidR="008B112F" w:rsidRPr="009865B4">
        <w:rPr>
          <w:noProof/>
        </w:rPr>
        <w:t>unds or economic resources are</w:t>
      </w:r>
      <w:r w:rsidR="007B51EA" w:rsidRPr="009865B4">
        <w:rPr>
          <w:noProof/>
        </w:rPr>
        <w:t xml:space="preserve"> necessary for the </w:t>
      </w:r>
      <w:r w:rsidR="008B112F" w:rsidRPr="009865B4">
        <w:rPr>
          <w:noProof/>
        </w:rPr>
        <w:t>completion of transactions, including sales, which are strictly necessary for the wind-down</w:t>
      </w:r>
      <w:r w:rsidR="007B51EA" w:rsidRPr="009865B4">
        <w:rPr>
          <w:noProof/>
        </w:rPr>
        <w:t xml:space="preserve">, by 31 August 2023, of a joint venture  or similar legal arrangement established in Russia with this natural person or </w:t>
      </w:r>
      <w:r w:rsidR="00D76D6D" w:rsidRPr="009865B4">
        <w:rPr>
          <w:noProof/>
        </w:rPr>
        <w:t>an</w:t>
      </w:r>
      <w:r w:rsidR="007B51EA" w:rsidRPr="009865B4">
        <w:rPr>
          <w:noProof/>
        </w:rPr>
        <w:t xml:space="preserve"> entity owned by this natural person before 28 February 2022.</w:t>
      </w:r>
      <w:r w:rsidR="00CC3764" w:rsidRPr="009865B4">
        <w:rPr>
          <w:noProof/>
        </w:rPr>
        <w:t>’</w:t>
      </w:r>
    </w:p>
    <w:p w14:paraId="323E79E1" w14:textId="3454E947" w:rsidR="00C311B0" w:rsidRPr="009865B4" w:rsidRDefault="001C2A25" w:rsidP="001C2A25">
      <w:pPr>
        <w:pStyle w:val="Point0"/>
        <w:rPr>
          <w:noProof/>
        </w:rPr>
      </w:pPr>
      <w:r w:rsidRPr="001C2A25">
        <w:rPr>
          <w:noProof/>
        </w:rPr>
        <w:t>(5)</w:t>
      </w:r>
      <w:r w:rsidRPr="001C2A25">
        <w:rPr>
          <w:noProof/>
        </w:rPr>
        <w:tab/>
      </w:r>
      <w:r w:rsidR="00756445" w:rsidRPr="009865B4">
        <w:rPr>
          <w:noProof/>
        </w:rPr>
        <w:t>in paragraph 1 of Article 6e, the reference to ‘</w:t>
      </w:r>
      <w:r w:rsidR="00C311B0" w:rsidRPr="009865B4">
        <w:rPr>
          <w:noProof/>
        </w:rPr>
        <w:t xml:space="preserve">entry numbers 53, 54, 55, 79, 80, 81, 82, 108, 126, 127, 198, 199 and 200 under the heading ‘Entities’ in Annex I’ </w:t>
      </w:r>
      <w:r w:rsidR="00756445" w:rsidRPr="009865B4">
        <w:rPr>
          <w:noProof/>
        </w:rPr>
        <w:t xml:space="preserve">is replaced by a reference to </w:t>
      </w:r>
      <w:r w:rsidR="00C311B0" w:rsidRPr="009865B4">
        <w:rPr>
          <w:noProof/>
        </w:rPr>
        <w:t xml:space="preserve">‘entry numbers 53, 54, 55, 79, 80, 81, 82, 108, 126, 127, 198, 199, 200 </w:t>
      </w:r>
      <w:r w:rsidR="00976043" w:rsidRPr="009865B4">
        <w:rPr>
          <w:i/>
          <w:noProof/>
        </w:rPr>
        <w:t>[OJ: add numbers of newly listed banks in Annex I]</w:t>
      </w:r>
      <w:r w:rsidR="00976043" w:rsidRPr="009865B4">
        <w:rPr>
          <w:noProof/>
        </w:rPr>
        <w:t xml:space="preserve"> </w:t>
      </w:r>
      <w:r w:rsidR="00C311B0" w:rsidRPr="009865B4">
        <w:rPr>
          <w:noProof/>
        </w:rPr>
        <w:t>under the heading ‘Entities’ in Annex I’;</w:t>
      </w:r>
    </w:p>
    <w:p w14:paraId="09B736A7" w14:textId="0DB35873" w:rsidR="008764B3" w:rsidRPr="009865B4" w:rsidRDefault="001C2A25" w:rsidP="001C2A25">
      <w:pPr>
        <w:pStyle w:val="Point0"/>
        <w:rPr>
          <w:noProof/>
        </w:rPr>
      </w:pPr>
      <w:r w:rsidRPr="001C2A25">
        <w:rPr>
          <w:noProof/>
        </w:rPr>
        <w:t>(6)</w:t>
      </w:r>
      <w:r w:rsidRPr="001C2A25">
        <w:rPr>
          <w:noProof/>
        </w:rPr>
        <w:tab/>
      </w:r>
      <w:r w:rsidR="008764B3" w:rsidRPr="009865B4">
        <w:rPr>
          <w:noProof/>
        </w:rPr>
        <w:t>in Article 8, paragraph 4 is replaced by the following:</w:t>
      </w:r>
    </w:p>
    <w:p w14:paraId="1FC837DD" w14:textId="0312FEF6" w:rsidR="00995231" w:rsidRPr="009865B4" w:rsidRDefault="00995231" w:rsidP="00A16B5A">
      <w:pPr>
        <w:rPr>
          <w:noProof/>
        </w:rPr>
      </w:pPr>
      <w:r w:rsidRPr="009865B4">
        <w:rPr>
          <w:noProof/>
        </w:rPr>
        <w:t xml:space="preserve">‘4.   The competent authorities of the Member States, including enforcement authorities, customs authorities </w:t>
      </w:r>
      <w:r w:rsidR="00B05E5B" w:rsidRPr="009865B4">
        <w:rPr>
          <w:noProof/>
        </w:rPr>
        <w:t>with</w:t>
      </w:r>
      <w:r w:rsidRPr="009865B4">
        <w:rPr>
          <w:noProof/>
        </w:rPr>
        <w:t>in the meaning of Regulation (EU) No 952/2013, competent authorities in the meaning of the Regulation (EU) 575/2013, Directive (EU) 2015/849 and Directive (EU) 2014/65 as well as administrators of official registers where natural persons, legal persons, entities and bodies as well as immovable or movable property are registered, shall process and exchange without delay information, including personal data and, if necessary, the information referred to in paragraphs 1 and 1a</w:t>
      </w:r>
      <w:r w:rsidR="002C0129" w:rsidRPr="009865B4">
        <w:rPr>
          <w:noProof/>
        </w:rPr>
        <w:t>,</w:t>
      </w:r>
      <w:r w:rsidRPr="009865B4">
        <w:rPr>
          <w:noProof/>
        </w:rPr>
        <w:t xml:space="preserve"> with other competent authorities of their Member State, of other Member States and the Commission, in particular when they detect instances of breach, circumvention and attempts at breach or circumvention of the prohibitions set out in this Regulation.’</w:t>
      </w:r>
    </w:p>
    <w:p w14:paraId="0B126938" w14:textId="77777777" w:rsidR="00495B23" w:rsidRPr="00495B23" w:rsidRDefault="00495B23" w:rsidP="00495B23">
      <w:pPr>
        <w:pStyle w:val="Titrearticle"/>
        <w:rPr>
          <w:noProof/>
        </w:rPr>
      </w:pPr>
      <w:r w:rsidRPr="009865B4">
        <w:rPr>
          <w:noProof/>
        </w:rPr>
        <w:t>Article 2</w:t>
      </w:r>
    </w:p>
    <w:p w14:paraId="5C5B4F1A" w14:textId="77777777" w:rsidR="00495B23" w:rsidRPr="00495B23" w:rsidRDefault="00495B23" w:rsidP="002828F3">
      <w:pPr>
        <w:rPr>
          <w:noProof/>
        </w:rPr>
      </w:pPr>
      <w:r w:rsidRPr="00495B23">
        <w:rPr>
          <w:noProof/>
        </w:rPr>
        <w:t xml:space="preserve">This Regulation shall enter into force on the day following that of its publication in the </w:t>
      </w:r>
      <w:r w:rsidRPr="00495B23">
        <w:rPr>
          <w:i/>
          <w:noProof/>
        </w:rPr>
        <w:t>Official Journal of the European Union</w:t>
      </w:r>
      <w:r w:rsidRPr="00495B23">
        <w:rPr>
          <w:noProof/>
        </w:rPr>
        <w:t>.</w:t>
      </w:r>
    </w:p>
    <w:p w14:paraId="35F67668" w14:textId="77777777" w:rsidR="00495B23" w:rsidRPr="00495B23" w:rsidRDefault="00495B23" w:rsidP="00495B23">
      <w:pPr>
        <w:pStyle w:val="Applicationdirecte"/>
        <w:rPr>
          <w:noProof/>
        </w:rPr>
      </w:pPr>
      <w:r w:rsidRPr="00495B23">
        <w:rPr>
          <w:noProof/>
        </w:rPr>
        <w:t>This Regulation shall be binding in its entirety and directly applicable in all Member States.</w:t>
      </w:r>
    </w:p>
    <w:p w14:paraId="139C0067" w14:textId="51253516" w:rsidR="00495B23" w:rsidRDefault="00D60762" w:rsidP="00D60762">
      <w:pPr>
        <w:pStyle w:val="Fait"/>
        <w:rPr>
          <w:noProof/>
        </w:rPr>
      </w:pPr>
      <w:r w:rsidRPr="00D60762">
        <w:t>Done at Brussels,</w:t>
      </w:r>
    </w:p>
    <w:p w14:paraId="62C81E9F" w14:textId="77777777" w:rsidR="00495B23" w:rsidRDefault="00495B23" w:rsidP="008D268D">
      <w:pPr>
        <w:pStyle w:val="Institutionquisigne"/>
        <w:rPr>
          <w:noProof/>
        </w:rPr>
      </w:pPr>
      <w:r w:rsidRPr="00495B23">
        <w:rPr>
          <w:noProof/>
        </w:rPr>
        <w:tab/>
        <w:t>For the Council</w:t>
      </w:r>
    </w:p>
    <w:p w14:paraId="324BA43C" w14:textId="4D8320DB" w:rsidR="00495B23" w:rsidRPr="00495B23" w:rsidRDefault="00495B23" w:rsidP="00495B23">
      <w:pPr>
        <w:pStyle w:val="Personnequisigne"/>
        <w:rPr>
          <w:noProof/>
        </w:rPr>
      </w:pPr>
      <w:r w:rsidRPr="00495B23">
        <w:rPr>
          <w:noProof/>
        </w:rPr>
        <w:tab/>
      </w:r>
      <w:r>
        <w:rPr>
          <w:noProof/>
        </w:rPr>
        <w:t>T</w:t>
      </w:r>
      <w:r w:rsidRPr="00495B23">
        <w:rPr>
          <w:noProof/>
        </w:rPr>
        <w:t>he President</w:t>
      </w:r>
    </w:p>
    <w:sectPr w:rsidR="00495B23" w:rsidRPr="00495B23" w:rsidSect="00D6076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C720" w14:textId="77777777" w:rsidR="00495B23" w:rsidRDefault="00495B23" w:rsidP="00495B23">
      <w:pPr>
        <w:spacing w:before="0" w:after="0"/>
      </w:pPr>
      <w:r>
        <w:separator/>
      </w:r>
    </w:p>
  </w:endnote>
  <w:endnote w:type="continuationSeparator" w:id="0">
    <w:p w14:paraId="50249053" w14:textId="77777777" w:rsidR="00495B23" w:rsidRDefault="00495B23" w:rsidP="00495B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227E" w14:textId="54AE04E5" w:rsidR="00D60762" w:rsidRPr="00D60762" w:rsidRDefault="00D60762" w:rsidP="00D60762">
    <w:pPr>
      <w:pStyle w:val="Footer"/>
      <w:rPr>
        <w:rFonts w:ascii="Arial" w:hAnsi="Arial" w:cs="Arial"/>
        <w:b/>
        <w:sz w:val="48"/>
      </w:rPr>
    </w:pPr>
    <w:r w:rsidRPr="00D60762">
      <w:rPr>
        <w:rFonts w:ascii="Arial" w:hAnsi="Arial" w:cs="Arial"/>
        <w:b/>
        <w:sz w:val="48"/>
      </w:rPr>
      <w:t>EN</w:t>
    </w:r>
    <w:r w:rsidRPr="00D60762">
      <w:rPr>
        <w:rFonts w:ascii="Arial" w:hAnsi="Arial" w:cs="Arial"/>
        <w:b/>
        <w:sz w:val="48"/>
      </w:rPr>
      <w:tab/>
    </w:r>
    <w:r w:rsidRPr="00D60762">
      <w:rPr>
        <w:rFonts w:ascii="Arial" w:hAnsi="Arial" w:cs="Arial"/>
        <w:b/>
        <w:sz w:val="48"/>
      </w:rPr>
      <w:tab/>
    </w:r>
    <w:r w:rsidRPr="00D60762">
      <w:tab/>
    </w:r>
    <w:r w:rsidRPr="00D6076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635B" w14:textId="58253B41" w:rsidR="00D60762" w:rsidRPr="00D60762" w:rsidRDefault="00D60762" w:rsidP="00D60762">
    <w:pPr>
      <w:pStyle w:val="Footer"/>
      <w:rPr>
        <w:rFonts w:ascii="Arial" w:hAnsi="Arial" w:cs="Arial"/>
        <w:b/>
        <w:sz w:val="48"/>
      </w:rPr>
    </w:pPr>
    <w:r w:rsidRPr="00D60762">
      <w:rPr>
        <w:rFonts w:ascii="Arial" w:hAnsi="Arial" w:cs="Arial"/>
        <w:b/>
        <w:sz w:val="48"/>
      </w:rPr>
      <w:t>EN</w:t>
    </w:r>
    <w:r w:rsidRPr="00D60762">
      <w:rPr>
        <w:rFonts w:ascii="Arial" w:hAnsi="Arial" w:cs="Arial"/>
        <w:b/>
        <w:sz w:val="48"/>
      </w:rPr>
      <w:tab/>
    </w:r>
    <w:r w:rsidRPr="00D60762">
      <w:rPr>
        <w:rFonts w:ascii="Arial" w:hAnsi="Arial" w:cs="Arial"/>
        <w:b/>
        <w:sz w:val="48"/>
      </w:rPr>
      <w:tab/>
    </w:r>
    <w:r w:rsidRPr="00D60762">
      <w:tab/>
    </w:r>
    <w:r w:rsidRPr="00D6076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1B7A" w14:textId="77777777" w:rsidR="00D60762" w:rsidRPr="00D60762" w:rsidRDefault="00D60762" w:rsidP="00D607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1A3E" w14:textId="0DE1F74C" w:rsidR="00D60762" w:rsidRPr="00D60762" w:rsidRDefault="00D60762" w:rsidP="00D60762">
    <w:pPr>
      <w:pStyle w:val="Footer"/>
      <w:rPr>
        <w:rFonts w:ascii="Arial" w:hAnsi="Arial" w:cs="Arial"/>
        <w:b/>
        <w:sz w:val="48"/>
      </w:rPr>
    </w:pPr>
    <w:r w:rsidRPr="00D60762">
      <w:rPr>
        <w:rFonts w:ascii="Arial" w:hAnsi="Arial" w:cs="Arial"/>
        <w:b/>
        <w:sz w:val="48"/>
      </w:rPr>
      <w:t>EN</w:t>
    </w:r>
    <w:r w:rsidRPr="00D60762">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60762">
      <w:tab/>
    </w:r>
    <w:r w:rsidRPr="00D60762">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7ADC" w14:textId="77777777" w:rsidR="00D60762" w:rsidRPr="00D60762" w:rsidRDefault="00D60762" w:rsidP="00D60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55C4B" w14:textId="77777777" w:rsidR="00495B23" w:rsidRDefault="00495B23" w:rsidP="00495B23">
      <w:pPr>
        <w:spacing w:before="0" w:after="0"/>
      </w:pPr>
      <w:r>
        <w:separator/>
      </w:r>
    </w:p>
  </w:footnote>
  <w:footnote w:type="continuationSeparator" w:id="0">
    <w:p w14:paraId="300BD5C6" w14:textId="77777777" w:rsidR="00495B23" w:rsidRDefault="00495B23" w:rsidP="00495B23">
      <w:pPr>
        <w:spacing w:before="0" w:after="0"/>
      </w:pPr>
      <w:r>
        <w:continuationSeparator/>
      </w:r>
    </w:p>
  </w:footnote>
  <w:footnote w:id="1">
    <w:p w14:paraId="4B294514" w14:textId="77777777" w:rsidR="00495B23" w:rsidRPr="008D51FD" w:rsidRDefault="00495B23" w:rsidP="00495B23">
      <w:pPr>
        <w:pStyle w:val="FootnoteText"/>
        <w:rPr>
          <w:sz w:val="16"/>
          <w:szCs w:val="16"/>
          <w:lang w:val="sv-SE"/>
        </w:rPr>
      </w:pPr>
      <w:r w:rsidRPr="00A05C2E">
        <w:rPr>
          <w:rStyle w:val="FootnoteReference"/>
        </w:rPr>
        <w:footnoteRef/>
      </w:r>
      <w:r w:rsidRPr="008D51FD">
        <w:rPr>
          <w:sz w:val="16"/>
          <w:szCs w:val="16"/>
          <w:lang w:val="en-US"/>
        </w:rPr>
        <w:tab/>
      </w:r>
      <w:r w:rsidRPr="008D51FD">
        <w:rPr>
          <w:sz w:val="16"/>
          <w:szCs w:val="16"/>
          <w:lang w:val="pl-PL"/>
        </w:rPr>
        <w:t xml:space="preserve">OJ L </w:t>
      </w:r>
      <w:r w:rsidRPr="008D51FD">
        <w:rPr>
          <w:sz w:val="16"/>
          <w:szCs w:val="16"/>
        </w:rPr>
        <w:t>078</w:t>
      </w:r>
      <w:r w:rsidRPr="008D51FD">
        <w:rPr>
          <w:sz w:val="16"/>
          <w:szCs w:val="16"/>
          <w:lang w:val="pl-PL"/>
        </w:rPr>
        <w:t xml:space="preserve">, </w:t>
      </w:r>
      <w:r w:rsidRPr="008D51FD">
        <w:rPr>
          <w:sz w:val="16"/>
          <w:szCs w:val="16"/>
        </w:rPr>
        <w:t>17.3.2014</w:t>
      </w:r>
      <w:r w:rsidRPr="008D51FD">
        <w:rPr>
          <w:sz w:val="16"/>
          <w:szCs w:val="16"/>
          <w:lang w:val="pl-PL"/>
        </w:rPr>
        <w:t>, p. 16</w:t>
      </w:r>
      <w:r w:rsidRPr="008D51FD">
        <w:rPr>
          <w:sz w:val="16"/>
          <w:szCs w:val="16"/>
        </w:rPr>
        <w:t>.</w:t>
      </w:r>
    </w:p>
  </w:footnote>
  <w:footnote w:id="2">
    <w:p w14:paraId="094BED2E" w14:textId="77777777" w:rsidR="00495B23" w:rsidRPr="008D51FD" w:rsidRDefault="00495B23" w:rsidP="00495B23">
      <w:pPr>
        <w:pStyle w:val="FootnoteText"/>
        <w:rPr>
          <w:sz w:val="16"/>
          <w:szCs w:val="16"/>
          <w:lang w:val="en-IE"/>
        </w:rPr>
      </w:pPr>
      <w:r w:rsidRPr="00A05C2E">
        <w:rPr>
          <w:rStyle w:val="FootnoteReference"/>
        </w:rPr>
        <w:footnoteRef/>
      </w:r>
      <w:r>
        <w:rPr>
          <w:sz w:val="16"/>
          <w:szCs w:val="16"/>
        </w:rPr>
        <w:tab/>
      </w:r>
      <w:r w:rsidRPr="008D51FD">
        <w:rPr>
          <w:sz w:val="16"/>
          <w:szCs w:val="16"/>
          <w:shd w:val="clear" w:color="auto" w:fill="FFFFFF"/>
        </w:rPr>
        <w:t>Council Regulation (EU) No 269/2014 of 17 March 2014 concerning restrictive measures in respect of actions undermining or threatening the territorial integrity, sovereignty and independence of Ukraine (</w:t>
      </w:r>
      <w:r w:rsidRPr="00A464D3">
        <w:rPr>
          <w:sz w:val="16"/>
          <w:szCs w:val="16"/>
          <w:shd w:val="clear" w:color="auto" w:fill="FFFFFF"/>
        </w:rPr>
        <w:t>OJ L 78, 17.3.2014, p. 6</w:t>
      </w:r>
      <w:r w:rsidRPr="008D51FD">
        <w:rPr>
          <w:sz w:val="16"/>
          <w:szCs w:val="16"/>
          <w:shd w:val="clear" w:color="auto" w:fill="FFFFFF"/>
        </w:rPr>
        <w:t>).</w:t>
      </w:r>
      <w:r>
        <w:rPr>
          <w:sz w:val="16"/>
          <w:szCs w:val="1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61A1" w14:textId="77777777" w:rsidR="00D60762" w:rsidRPr="00D60762" w:rsidRDefault="00D60762" w:rsidP="00D60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178C" w14:textId="77777777" w:rsidR="00D60762" w:rsidRPr="00D60762" w:rsidRDefault="00D60762" w:rsidP="00D60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6E60" w14:textId="77777777" w:rsidR="00D60762" w:rsidRPr="00D60762" w:rsidRDefault="00D60762" w:rsidP="00D60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F3EBEF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7F223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972C0D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88ECB3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60A197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7D04CA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85CA9C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FCA4E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98724045">
    <w:abstractNumId w:val="7"/>
  </w:num>
  <w:num w:numId="2" w16cid:durableId="1039356187">
    <w:abstractNumId w:val="5"/>
  </w:num>
  <w:num w:numId="3" w16cid:durableId="1076829416">
    <w:abstractNumId w:val="4"/>
  </w:num>
  <w:num w:numId="4" w16cid:durableId="1237671245">
    <w:abstractNumId w:val="3"/>
  </w:num>
  <w:num w:numId="5" w16cid:durableId="1747267825">
    <w:abstractNumId w:val="22"/>
    <w:lvlOverride w:ilvl="0">
      <w:startOverride w:val="1"/>
    </w:lvlOverride>
  </w:num>
  <w:num w:numId="6" w16cid:durableId="1801872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0270567">
    <w:abstractNumId w:val="6"/>
  </w:num>
  <w:num w:numId="8" w16cid:durableId="177430251">
    <w:abstractNumId w:val="2"/>
  </w:num>
  <w:num w:numId="9" w16cid:durableId="432020015">
    <w:abstractNumId w:val="1"/>
  </w:num>
  <w:num w:numId="10" w16cid:durableId="926890088">
    <w:abstractNumId w:val="0"/>
  </w:num>
  <w:num w:numId="11" w16cid:durableId="477109084">
    <w:abstractNumId w:val="19"/>
  </w:num>
  <w:num w:numId="12" w16cid:durableId="459425568">
    <w:abstractNumId w:val="12"/>
  </w:num>
  <w:num w:numId="13" w16cid:durableId="712120638">
    <w:abstractNumId w:val="21"/>
  </w:num>
  <w:num w:numId="14" w16cid:durableId="772283262">
    <w:abstractNumId w:val="11"/>
  </w:num>
  <w:num w:numId="15" w16cid:durableId="2028436224">
    <w:abstractNumId w:val="13"/>
  </w:num>
  <w:num w:numId="16" w16cid:durableId="20859935">
    <w:abstractNumId w:val="14"/>
  </w:num>
  <w:num w:numId="17" w16cid:durableId="1848715598">
    <w:abstractNumId w:val="9"/>
  </w:num>
  <w:num w:numId="18" w16cid:durableId="1233735106">
    <w:abstractNumId w:val="20"/>
  </w:num>
  <w:num w:numId="19" w16cid:durableId="812059766">
    <w:abstractNumId w:val="8"/>
  </w:num>
  <w:num w:numId="20" w16cid:durableId="1767923878">
    <w:abstractNumId w:val="15"/>
  </w:num>
  <w:num w:numId="21" w16cid:durableId="1804348776">
    <w:abstractNumId w:val="17"/>
  </w:num>
  <w:num w:numId="22" w16cid:durableId="1733041233">
    <w:abstractNumId w:val="18"/>
  </w:num>
  <w:num w:numId="23" w16cid:durableId="593365363">
    <w:abstractNumId w:val="10"/>
  </w:num>
  <w:num w:numId="24" w16cid:durableId="1725831593">
    <w:abstractNumId w:val="16"/>
  </w:num>
  <w:num w:numId="25" w16cid:durableId="125851675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3-10-09 09:47:2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22180D26-8B9A-42E7-9C4B-A873FDA4C774"/>
    <w:docVar w:name="LW_COVERPAGE_TYPE" w:val="1"/>
    <w:docVar w:name="LW_CROSSREFERENCE" w:val="&lt;UNUSED&gt;"/>
    <w:docVar w:name="LW_DocType" w:val="COM"/>
    <w:docVar w:name="LW_EMISSION" w:val="5.5.2023"/>
    <w:docVar w:name="LW_EMISSION_ISODATE" w:val="2023-05-05"/>
    <w:docVar w:name="LW_EMISSION_LOCATION" w:val="BRX"/>
    <w:docVar w:name="LW_EMISSION_PREFIX" w:val="Brussels, "/>
    <w:docVar w:name="LW_EMISSION_SUFFIX" w:val=" "/>
    <w:docVar w:name="LW_ID_DOCMODEL" w:val="SG-057"/>
    <w:docVar w:name="LW_ID_DOCSIGNATURE" w:val="SJ-016"/>
    <w:docVar w:name="LW_ID_DOCSTRUCTURE" w:val="COM/PL/ORG"/>
    <w:docVar w:name="LW_ID_DOCTYPE" w:val="SG-057"/>
    <w:docVar w:name="LW_ID_STATUT" w:val="SG-057"/>
    <w:docVar w:name="LW_INSERT_EXP.MOTIFS.NEW" w:val="1"/>
    <w:docVar w:name="LW_INTERETEEE.CP" w:val="&lt;UNUSED&gt;"/>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PART_NBR" w:val="1"/>
    <w:docVar w:name="LW_PART_NBR_TOTAL" w:val="1"/>
    <w:docVar w:name="LW_REF.II.NEW.CP" w:val="NLE"/>
    <w:docVar w:name="LW_REF.II.NEW.CP_NUMBER" w:val="0153"/>
    <w:docVar w:name="LW_REF.II.NEW.CP_YEAR" w:val="2023"/>
    <w:docVar w:name="LW_REF.INST.NEW" w:val="JOIN"/>
    <w:docVar w:name="LW_REF.INST.NEW_ADOPTED" w:val="final/2               DOWNGRADED ON 10.10.2023"/>
    <w:docVar w:name="LW_REF.INST.NEW_TEXT" w:val="(2023) 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oint Proposal for a"/>
    <w:docVar w:name="LW_SUPERTITRE" w:val="&lt;UNUSED&gt;"/>
    <w:docVar w:name="LW_TITRE.OBJ.CP" w:val="amending Council Regulation (EU) No 269/2014 concerning restrictive measures in respect of actions undermining or threatening the territorial integrity, sovereignty and independence of Ukraine_x000b_"/>
    <w:docVar w:name="LW_TYPE.DOC.CP" w:val="COUNCIL REGULATION"/>
    <w:docVar w:name="LwApiVersions" w:val="LW4CoDe 1.23.2.0; LW 8.0, Build 20211117"/>
  </w:docVars>
  <w:rsids>
    <w:rsidRoot w:val="00495B23"/>
    <w:rsid w:val="00036FCE"/>
    <w:rsid w:val="00045005"/>
    <w:rsid w:val="00065A59"/>
    <w:rsid w:val="000660B3"/>
    <w:rsid w:val="00072E51"/>
    <w:rsid w:val="000A5D15"/>
    <w:rsid w:val="000C18E9"/>
    <w:rsid w:val="001065F5"/>
    <w:rsid w:val="001238EF"/>
    <w:rsid w:val="00123C30"/>
    <w:rsid w:val="00174450"/>
    <w:rsid w:val="00197613"/>
    <w:rsid w:val="001C2A25"/>
    <w:rsid w:val="00223DE0"/>
    <w:rsid w:val="00226F8B"/>
    <w:rsid w:val="00231671"/>
    <w:rsid w:val="00233DC7"/>
    <w:rsid w:val="00247779"/>
    <w:rsid w:val="002602F8"/>
    <w:rsid w:val="002828F3"/>
    <w:rsid w:val="00285BEE"/>
    <w:rsid w:val="0029533F"/>
    <w:rsid w:val="002A5F23"/>
    <w:rsid w:val="002B30AF"/>
    <w:rsid w:val="002C0129"/>
    <w:rsid w:val="002E076E"/>
    <w:rsid w:val="002F3FD4"/>
    <w:rsid w:val="00304F25"/>
    <w:rsid w:val="0033344A"/>
    <w:rsid w:val="003819B4"/>
    <w:rsid w:val="003B4D80"/>
    <w:rsid w:val="003B61AD"/>
    <w:rsid w:val="003C2B52"/>
    <w:rsid w:val="003D2E20"/>
    <w:rsid w:val="00402A5C"/>
    <w:rsid w:val="00403C1A"/>
    <w:rsid w:val="0042648E"/>
    <w:rsid w:val="004461B5"/>
    <w:rsid w:val="00451412"/>
    <w:rsid w:val="004640E8"/>
    <w:rsid w:val="004936D2"/>
    <w:rsid w:val="00495B23"/>
    <w:rsid w:val="005020C5"/>
    <w:rsid w:val="00532B7F"/>
    <w:rsid w:val="005374AB"/>
    <w:rsid w:val="005528F3"/>
    <w:rsid w:val="00555483"/>
    <w:rsid w:val="005B1EB6"/>
    <w:rsid w:val="005C0CDE"/>
    <w:rsid w:val="005F3F74"/>
    <w:rsid w:val="00604F7D"/>
    <w:rsid w:val="0062644C"/>
    <w:rsid w:val="006265E6"/>
    <w:rsid w:val="0065587F"/>
    <w:rsid w:val="006B7BE0"/>
    <w:rsid w:val="007345CE"/>
    <w:rsid w:val="00746E7B"/>
    <w:rsid w:val="00752D8C"/>
    <w:rsid w:val="00756445"/>
    <w:rsid w:val="00766723"/>
    <w:rsid w:val="00773331"/>
    <w:rsid w:val="007913B1"/>
    <w:rsid w:val="007932EF"/>
    <w:rsid w:val="007B51EA"/>
    <w:rsid w:val="007C13A5"/>
    <w:rsid w:val="007E05B0"/>
    <w:rsid w:val="007F3F47"/>
    <w:rsid w:val="00834FD5"/>
    <w:rsid w:val="00857949"/>
    <w:rsid w:val="00862AFF"/>
    <w:rsid w:val="00874D22"/>
    <w:rsid w:val="008764B3"/>
    <w:rsid w:val="008A2914"/>
    <w:rsid w:val="008B112F"/>
    <w:rsid w:val="008C2001"/>
    <w:rsid w:val="008C7CFF"/>
    <w:rsid w:val="008D268D"/>
    <w:rsid w:val="008E4D8E"/>
    <w:rsid w:val="0090368F"/>
    <w:rsid w:val="00920954"/>
    <w:rsid w:val="00976043"/>
    <w:rsid w:val="009865B4"/>
    <w:rsid w:val="00995231"/>
    <w:rsid w:val="009B2102"/>
    <w:rsid w:val="00A12B1D"/>
    <w:rsid w:val="00A16B5A"/>
    <w:rsid w:val="00A32D57"/>
    <w:rsid w:val="00A8074C"/>
    <w:rsid w:val="00AB462D"/>
    <w:rsid w:val="00B05E5B"/>
    <w:rsid w:val="00B4268A"/>
    <w:rsid w:val="00B736FC"/>
    <w:rsid w:val="00BB138D"/>
    <w:rsid w:val="00BB7FDF"/>
    <w:rsid w:val="00BC299E"/>
    <w:rsid w:val="00C12301"/>
    <w:rsid w:val="00C21441"/>
    <w:rsid w:val="00C24FD6"/>
    <w:rsid w:val="00C27725"/>
    <w:rsid w:val="00C27F08"/>
    <w:rsid w:val="00C311B0"/>
    <w:rsid w:val="00C37471"/>
    <w:rsid w:val="00C553EC"/>
    <w:rsid w:val="00C81EC7"/>
    <w:rsid w:val="00C911EB"/>
    <w:rsid w:val="00CC3764"/>
    <w:rsid w:val="00CE10B8"/>
    <w:rsid w:val="00CF701E"/>
    <w:rsid w:val="00D06A75"/>
    <w:rsid w:val="00D20381"/>
    <w:rsid w:val="00D422AB"/>
    <w:rsid w:val="00D60762"/>
    <w:rsid w:val="00D676DC"/>
    <w:rsid w:val="00D76D6D"/>
    <w:rsid w:val="00D77159"/>
    <w:rsid w:val="00D96772"/>
    <w:rsid w:val="00DA33A5"/>
    <w:rsid w:val="00DA38DF"/>
    <w:rsid w:val="00DC50C1"/>
    <w:rsid w:val="00DD37FC"/>
    <w:rsid w:val="00DD3FD9"/>
    <w:rsid w:val="00E2455D"/>
    <w:rsid w:val="00E9151F"/>
    <w:rsid w:val="00EA3724"/>
    <w:rsid w:val="00EB3F9E"/>
    <w:rsid w:val="00F10B6B"/>
    <w:rsid w:val="00F11617"/>
    <w:rsid w:val="00F159AC"/>
    <w:rsid w:val="00F22045"/>
    <w:rsid w:val="00F33AFB"/>
    <w:rsid w:val="00FA5601"/>
    <w:rsid w:val="00FA778F"/>
    <w:rsid w:val="00FB3A9A"/>
    <w:rsid w:val="00FC06F4"/>
    <w:rsid w:val="00FC38F8"/>
    <w:rsid w:val="00FC3C75"/>
    <w:rsid w:val="00FE0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5BC35B3"/>
  <w15:docId w15:val="{400F454D-D46D-442D-8284-F15B9888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C50C1"/>
    <w:pPr>
      <w:numPr>
        <w:numId w:val="1"/>
      </w:numPr>
      <w:contextualSpacing/>
    </w:pPr>
  </w:style>
  <w:style w:type="paragraph" w:styleId="ListBullet2">
    <w:name w:val="List Bullet 2"/>
    <w:basedOn w:val="Normal"/>
    <w:uiPriority w:val="99"/>
    <w:semiHidden/>
    <w:unhideWhenUsed/>
    <w:rsid w:val="00DC50C1"/>
    <w:pPr>
      <w:numPr>
        <w:numId w:val="2"/>
      </w:numPr>
      <w:contextualSpacing/>
    </w:pPr>
  </w:style>
  <w:style w:type="paragraph" w:styleId="ListBullet3">
    <w:name w:val="List Bullet 3"/>
    <w:basedOn w:val="Normal"/>
    <w:uiPriority w:val="99"/>
    <w:semiHidden/>
    <w:unhideWhenUsed/>
    <w:rsid w:val="00DC50C1"/>
    <w:pPr>
      <w:numPr>
        <w:numId w:val="3"/>
      </w:numPr>
      <w:contextualSpacing/>
    </w:pPr>
  </w:style>
  <w:style w:type="paragraph" w:styleId="ListBullet4">
    <w:name w:val="List Bullet 4"/>
    <w:basedOn w:val="Normal"/>
    <w:uiPriority w:val="99"/>
    <w:semiHidden/>
    <w:unhideWhenUsed/>
    <w:rsid w:val="00DC50C1"/>
    <w:pPr>
      <w:numPr>
        <w:numId w:val="4"/>
      </w:numPr>
      <w:contextualSpacing/>
    </w:pPr>
  </w:style>
  <w:style w:type="paragraph" w:styleId="Caption">
    <w:name w:val="caption"/>
    <w:basedOn w:val="Normal"/>
    <w:next w:val="Normal"/>
    <w:uiPriority w:val="35"/>
    <w:semiHidden/>
    <w:unhideWhenUsed/>
    <w:qFormat/>
    <w:rsid w:val="00123C3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23C30"/>
    <w:pPr>
      <w:spacing w:after="0"/>
    </w:pPr>
  </w:style>
  <w:style w:type="paragraph" w:styleId="ListNumber">
    <w:name w:val="List Number"/>
    <w:basedOn w:val="Normal"/>
    <w:uiPriority w:val="99"/>
    <w:semiHidden/>
    <w:unhideWhenUsed/>
    <w:rsid w:val="00123C30"/>
    <w:pPr>
      <w:numPr>
        <w:numId w:val="7"/>
      </w:numPr>
      <w:contextualSpacing/>
    </w:pPr>
  </w:style>
  <w:style w:type="paragraph" w:styleId="ListNumber2">
    <w:name w:val="List Number 2"/>
    <w:basedOn w:val="Normal"/>
    <w:uiPriority w:val="99"/>
    <w:semiHidden/>
    <w:unhideWhenUsed/>
    <w:rsid w:val="00123C30"/>
    <w:pPr>
      <w:numPr>
        <w:numId w:val="8"/>
      </w:numPr>
      <w:contextualSpacing/>
    </w:pPr>
  </w:style>
  <w:style w:type="paragraph" w:styleId="ListNumber3">
    <w:name w:val="List Number 3"/>
    <w:basedOn w:val="Normal"/>
    <w:uiPriority w:val="99"/>
    <w:semiHidden/>
    <w:unhideWhenUsed/>
    <w:rsid w:val="00123C30"/>
    <w:pPr>
      <w:numPr>
        <w:numId w:val="9"/>
      </w:numPr>
      <w:contextualSpacing/>
    </w:pPr>
  </w:style>
  <w:style w:type="paragraph" w:styleId="ListNumber4">
    <w:name w:val="List Number 4"/>
    <w:basedOn w:val="Normal"/>
    <w:uiPriority w:val="99"/>
    <w:semiHidden/>
    <w:unhideWhenUsed/>
    <w:rsid w:val="00123C30"/>
    <w:pPr>
      <w:numPr>
        <w:numId w:val="10"/>
      </w:numPr>
      <w:contextualSpacing/>
    </w:pPr>
  </w:style>
  <w:style w:type="character" w:styleId="CommentReference">
    <w:name w:val="annotation reference"/>
    <w:basedOn w:val="DefaultParagraphFont"/>
    <w:uiPriority w:val="99"/>
    <w:semiHidden/>
    <w:unhideWhenUsed/>
    <w:rsid w:val="0062644C"/>
    <w:rPr>
      <w:sz w:val="16"/>
      <w:szCs w:val="16"/>
    </w:rPr>
  </w:style>
  <w:style w:type="paragraph" w:styleId="CommentText">
    <w:name w:val="annotation text"/>
    <w:basedOn w:val="Normal"/>
    <w:link w:val="CommentTextChar"/>
    <w:uiPriority w:val="99"/>
    <w:semiHidden/>
    <w:unhideWhenUsed/>
    <w:rsid w:val="0062644C"/>
    <w:rPr>
      <w:sz w:val="20"/>
      <w:szCs w:val="20"/>
    </w:rPr>
  </w:style>
  <w:style w:type="character" w:customStyle="1" w:styleId="CommentTextChar">
    <w:name w:val="Comment Text Char"/>
    <w:basedOn w:val="DefaultParagraphFont"/>
    <w:link w:val="CommentText"/>
    <w:uiPriority w:val="99"/>
    <w:semiHidden/>
    <w:rsid w:val="0062644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44C"/>
    <w:rPr>
      <w:b/>
      <w:bCs/>
    </w:rPr>
  </w:style>
  <w:style w:type="character" w:customStyle="1" w:styleId="CommentSubjectChar">
    <w:name w:val="Comment Subject Char"/>
    <w:basedOn w:val="CommentTextChar"/>
    <w:link w:val="CommentSubject"/>
    <w:uiPriority w:val="99"/>
    <w:semiHidden/>
    <w:rsid w:val="0062644C"/>
    <w:rPr>
      <w:rFonts w:ascii="Times New Roman" w:hAnsi="Times New Roman" w:cs="Times New Roman"/>
      <w:b/>
      <w:bCs/>
      <w:sz w:val="20"/>
      <w:szCs w:val="20"/>
      <w:lang w:val="en-GB"/>
    </w:rPr>
  </w:style>
  <w:style w:type="character" w:styleId="Hyperlink">
    <w:name w:val="Hyperlink"/>
    <w:basedOn w:val="DefaultParagraphFont"/>
    <w:uiPriority w:val="99"/>
    <w:unhideWhenUsed/>
    <w:rsid w:val="0062644C"/>
    <w:rPr>
      <w:color w:val="0000FF" w:themeColor="hyperlink"/>
      <w:u w:val="single"/>
    </w:rPr>
  </w:style>
  <w:style w:type="character" w:customStyle="1" w:styleId="UnresolvedMention1">
    <w:name w:val="Unresolved Mention1"/>
    <w:basedOn w:val="DefaultParagraphFont"/>
    <w:uiPriority w:val="99"/>
    <w:semiHidden/>
    <w:unhideWhenUsed/>
    <w:rsid w:val="0062644C"/>
    <w:rPr>
      <w:color w:val="605E5C"/>
      <w:shd w:val="clear" w:color="auto" w:fill="E1DFDD"/>
    </w:rPr>
  </w:style>
  <w:style w:type="paragraph" w:styleId="Revision">
    <w:name w:val="Revision"/>
    <w:hidden/>
    <w:uiPriority w:val="99"/>
    <w:semiHidden/>
    <w:rsid w:val="00746E7B"/>
    <w:pPr>
      <w:spacing w:after="0" w:line="240" w:lineRule="auto"/>
    </w:pPr>
    <w:rPr>
      <w:rFonts w:ascii="Times New Roman" w:hAnsi="Times New Roman" w:cs="Times New Roman"/>
      <w:sz w:val="24"/>
      <w:lang w:val="en-GB"/>
    </w:rPr>
  </w:style>
  <w:style w:type="paragraph" w:customStyle="1" w:styleId="oj-normal">
    <w:name w:val="oj-normal"/>
    <w:basedOn w:val="Normal"/>
    <w:rsid w:val="00746E7B"/>
    <w:pPr>
      <w:spacing w:before="100" w:beforeAutospacing="1" w:after="100" w:afterAutospacing="1"/>
      <w:jc w:val="left"/>
    </w:pPr>
    <w:rPr>
      <w:rFonts w:eastAsia="Times New Roman"/>
      <w:szCs w:val="24"/>
      <w:lang w:val="en-IE" w:eastAsia="en-IE"/>
    </w:rPr>
  </w:style>
  <w:style w:type="paragraph" w:styleId="BalloonText">
    <w:name w:val="Balloon Text"/>
    <w:basedOn w:val="Normal"/>
    <w:link w:val="BalloonTextChar"/>
    <w:uiPriority w:val="99"/>
    <w:semiHidden/>
    <w:unhideWhenUsed/>
    <w:rsid w:val="007B51E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1EA"/>
    <w:rPr>
      <w:rFonts w:ascii="Segoe UI" w:hAnsi="Segoe UI" w:cs="Segoe UI"/>
      <w:sz w:val="18"/>
      <w:szCs w:val="18"/>
      <w:lang w:val="en-GB"/>
    </w:rPr>
  </w:style>
  <w:style w:type="character" w:customStyle="1" w:styleId="no-parag">
    <w:name w:val="no-parag"/>
    <w:basedOn w:val="DefaultParagraphFont"/>
    <w:rsid w:val="008B112F"/>
  </w:style>
  <w:style w:type="character" w:customStyle="1" w:styleId="UnresolvedMention2">
    <w:name w:val="Unresolved Mention2"/>
    <w:basedOn w:val="DefaultParagraphFont"/>
    <w:uiPriority w:val="99"/>
    <w:semiHidden/>
    <w:unhideWhenUsed/>
    <w:rsid w:val="00304F25"/>
    <w:rPr>
      <w:color w:val="605E5C"/>
      <w:shd w:val="clear" w:color="auto" w:fill="E1DFDD"/>
    </w:rPr>
  </w:style>
  <w:style w:type="character" w:customStyle="1" w:styleId="UnresolvedMention3">
    <w:name w:val="Unresolved Mention3"/>
    <w:basedOn w:val="DefaultParagraphFont"/>
    <w:uiPriority w:val="99"/>
    <w:semiHidden/>
    <w:unhideWhenUsed/>
    <w:rsid w:val="00EA3724"/>
    <w:rPr>
      <w:color w:val="605E5C"/>
      <w:shd w:val="clear" w:color="auto" w:fill="E1DFDD"/>
    </w:rPr>
  </w:style>
  <w:style w:type="paragraph" w:styleId="Header">
    <w:name w:val="header"/>
    <w:basedOn w:val="Normal"/>
    <w:link w:val="HeaderChar"/>
    <w:uiPriority w:val="99"/>
    <w:unhideWhenUsed/>
    <w:rsid w:val="00D60762"/>
    <w:pPr>
      <w:tabs>
        <w:tab w:val="center" w:pos="4535"/>
        <w:tab w:val="right" w:pos="9071"/>
      </w:tabs>
      <w:spacing w:before="0"/>
    </w:pPr>
  </w:style>
  <w:style w:type="character" w:customStyle="1" w:styleId="HeaderChar">
    <w:name w:val="Header Char"/>
    <w:basedOn w:val="DefaultParagraphFont"/>
    <w:link w:val="Header"/>
    <w:uiPriority w:val="99"/>
    <w:rsid w:val="00D60762"/>
    <w:rPr>
      <w:rFonts w:ascii="Times New Roman" w:hAnsi="Times New Roman" w:cs="Times New Roman"/>
      <w:sz w:val="24"/>
      <w:lang w:val="en-GB"/>
    </w:rPr>
  </w:style>
  <w:style w:type="paragraph" w:styleId="Footer">
    <w:name w:val="footer"/>
    <w:basedOn w:val="Normal"/>
    <w:link w:val="FooterChar"/>
    <w:uiPriority w:val="99"/>
    <w:unhideWhenUsed/>
    <w:rsid w:val="00D6076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60762"/>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60762"/>
    <w:pPr>
      <w:tabs>
        <w:tab w:val="center" w:pos="7285"/>
        <w:tab w:val="right" w:pos="14003"/>
      </w:tabs>
      <w:spacing w:before="0"/>
    </w:pPr>
  </w:style>
  <w:style w:type="paragraph" w:customStyle="1" w:styleId="FooterLandscape">
    <w:name w:val="FooterLandscape"/>
    <w:basedOn w:val="Normal"/>
    <w:rsid w:val="00D6076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6076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60762"/>
    <w:pPr>
      <w:spacing w:before="0"/>
      <w:jc w:val="right"/>
    </w:pPr>
    <w:rPr>
      <w:sz w:val="28"/>
    </w:rPr>
  </w:style>
  <w:style w:type="paragraph" w:customStyle="1" w:styleId="FooterSensitivity">
    <w:name w:val="Footer Sensitivity"/>
    <w:basedOn w:val="Normal"/>
    <w:rsid w:val="00D6076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6883">
      <w:bodyDiv w:val="1"/>
      <w:marLeft w:val="0"/>
      <w:marRight w:val="0"/>
      <w:marTop w:val="0"/>
      <w:marBottom w:val="0"/>
      <w:divBdr>
        <w:top w:val="none" w:sz="0" w:space="0" w:color="auto"/>
        <w:left w:val="none" w:sz="0" w:space="0" w:color="auto"/>
        <w:bottom w:val="none" w:sz="0" w:space="0" w:color="auto"/>
        <w:right w:val="none" w:sz="0" w:space="0" w:color="auto"/>
      </w:divBdr>
    </w:div>
    <w:div w:id="139736337">
      <w:bodyDiv w:val="1"/>
      <w:marLeft w:val="0"/>
      <w:marRight w:val="0"/>
      <w:marTop w:val="0"/>
      <w:marBottom w:val="0"/>
      <w:divBdr>
        <w:top w:val="none" w:sz="0" w:space="0" w:color="auto"/>
        <w:left w:val="none" w:sz="0" w:space="0" w:color="auto"/>
        <w:bottom w:val="none" w:sz="0" w:space="0" w:color="auto"/>
        <w:right w:val="none" w:sz="0" w:space="0" w:color="auto"/>
      </w:divBdr>
    </w:div>
    <w:div w:id="160439430">
      <w:bodyDiv w:val="1"/>
      <w:marLeft w:val="0"/>
      <w:marRight w:val="0"/>
      <w:marTop w:val="0"/>
      <w:marBottom w:val="0"/>
      <w:divBdr>
        <w:top w:val="none" w:sz="0" w:space="0" w:color="auto"/>
        <w:left w:val="none" w:sz="0" w:space="0" w:color="auto"/>
        <w:bottom w:val="none" w:sz="0" w:space="0" w:color="auto"/>
        <w:right w:val="none" w:sz="0" w:space="0" w:color="auto"/>
      </w:divBdr>
    </w:div>
    <w:div w:id="374549116">
      <w:bodyDiv w:val="1"/>
      <w:marLeft w:val="0"/>
      <w:marRight w:val="0"/>
      <w:marTop w:val="0"/>
      <w:marBottom w:val="0"/>
      <w:divBdr>
        <w:top w:val="none" w:sz="0" w:space="0" w:color="auto"/>
        <w:left w:val="none" w:sz="0" w:space="0" w:color="auto"/>
        <w:bottom w:val="none" w:sz="0" w:space="0" w:color="auto"/>
        <w:right w:val="none" w:sz="0" w:space="0" w:color="auto"/>
      </w:divBdr>
      <w:divsChild>
        <w:div w:id="1886796785">
          <w:marLeft w:val="0"/>
          <w:marRight w:val="0"/>
          <w:marTop w:val="0"/>
          <w:marBottom w:val="0"/>
          <w:divBdr>
            <w:top w:val="none" w:sz="0" w:space="0" w:color="auto"/>
            <w:left w:val="none" w:sz="0" w:space="0" w:color="auto"/>
            <w:bottom w:val="none" w:sz="0" w:space="0" w:color="auto"/>
            <w:right w:val="none" w:sz="0" w:space="0" w:color="auto"/>
          </w:divBdr>
          <w:divsChild>
            <w:div w:id="11721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4712">
      <w:bodyDiv w:val="1"/>
      <w:marLeft w:val="0"/>
      <w:marRight w:val="0"/>
      <w:marTop w:val="0"/>
      <w:marBottom w:val="0"/>
      <w:divBdr>
        <w:top w:val="none" w:sz="0" w:space="0" w:color="auto"/>
        <w:left w:val="none" w:sz="0" w:space="0" w:color="auto"/>
        <w:bottom w:val="none" w:sz="0" w:space="0" w:color="auto"/>
        <w:right w:val="none" w:sz="0" w:space="0" w:color="auto"/>
      </w:divBdr>
    </w:div>
    <w:div w:id="879247201">
      <w:bodyDiv w:val="1"/>
      <w:marLeft w:val="0"/>
      <w:marRight w:val="0"/>
      <w:marTop w:val="0"/>
      <w:marBottom w:val="0"/>
      <w:divBdr>
        <w:top w:val="none" w:sz="0" w:space="0" w:color="auto"/>
        <w:left w:val="none" w:sz="0" w:space="0" w:color="auto"/>
        <w:bottom w:val="none" w:sz="0" w:space="0" w:color="auto"/>
        <w:right w:val="none" w:sz="0" w:space="0" w:color="auto"/>
      </w:divBdr>
      <w:divsChild>
        <w:div w:id="1722241528">
          <w:marLeft w:val="0"/>
          <w:marRight w:val="0"/>
          <w:marTop w:val="0"/>
          <w:marBottom w:val="0"/>
          <w:divBdr>
            <w:top w:val="none" w:sz="0" w:space="0" w:color="auto"/>
            <w:left w:val="none" w:sz="0" w:space="0" w:color="auto"/>
            <w:bottom w:val="none" w:sz="0" w:space="0" w:color="auto"/>
            <w:right w:val="none" w:sz="0" w:space="0" w:color="auto"/>
          </w:divBdr>
        </w:div>
      </w:divsChild>
    </w:div>
    <w:div w:id="884484849">
      <w:bodyDiv w:val="1"/>
      <w:marLeft w:val="0"/>
      <w:marRight w:val="0"/>
      <w:marTop w:val="0"/>
      <w:marBottom w:val="0"/>
      <w:divBdr>
        <w:top w:val="none" w:sz="0" w:space="0" w:color="auto"/>
        <w:left w:val="none" w:sz="0" w:space="0" w:color="auto"/>
        <w:bottom w:val="none" w:sz="0" w:space="0" w:color="auto"/>
        <w:right w:val="none" w:sz="0" w:space="0" w:color="auto"/>
      </w:divBdr>
    </w:div>
    <w:div w:id="960381517">
      <w:bodyDiv w:val="1"/>
      <w:marLeft w:val="0"/>
      <w:marRight w:val="0"/>
      <w:marTop w:val="0"/>
      <w:marBottom w:val="0"/>
      <w:divBdr>
        <w:top w:val="none" w:sz="0" w:space="0" w:color="auto"/>
        <w:left w:val="none" w:sz="0" w:space="0" w:color="auto"/>
        <w:bottom w:val="none" w:sz="0" w:space="0" w:color="auto"/>
        <w:right w:val="none" w:sz="0" w:space="0" w:color="auto"/>
      </w:divBdr>
    </w:div>
    <w:div w:id="1024403201">
      <w:bodyDiv w:val="1"/>
      <w:marLeft w:val="0"/>
      <w:marRight w:val="0"/>
      <w:marTop w:val="0"/>
      <w:marBottom w:val="0"/>
      <w:divBdr>
        <w:top w:val="none" w:sz="0" w:space="0" w:color="auto"/>
        <w:left w:val="none" w:sz="0" w:space="0" w:color="auto"/>
        <w:bottom w:val="none" w:sz="0" w:space="0" w:color="auto"/>
        <w:right w:val="none" w:sz="0" w:space="0" w:color="auto"/>
      </w:divBdr>
    </w:div>
    <w:div w:id="1039353280">
      <w:bodyDiv w:val="1"/>
      <w:marLeft w:val="0"/>
      <w:marRight w:val="0"/>
      <w:marTop w:val="0"/>
      <w:marBottom w:val="0"/>
      <w:divBdr>
        <w:top w:val="none" w:sz="0" w:space="0" w:color="auto"/>
        <w:left w:val="none" w:sz="0" w:space="0" w:color="auto"/>
        <w:bottom w:val="none" w:sz="0" w:space="0" w:color="auto"/>
        <w:right w:val="none" w:sz="0" w:space="0" w:color="auto"/>
      </w:divBdr>
    </w:div>
    <w:div w:id="1092124154">
      <w:bodyDiv w:val="1"/>
      <w:marLeft w:val="0"/>
      <w:marRight w:val="0"/>
      <w:marTop w:val="0"/>
      <w:marBottom w:val="0"/>
      <w:divBdr>
        <w:top w:val="none" w:sz="0" w:space="0" w:color="auto"/>
        <w:left w:val="none" w:sz="0" w:space="0" w:color="auto"/>
        <w:bottom w:val="none" w:sz="0" w:space="0" w:color="auto"/>
        <w:right w:val="none" w:sz="0" w:space="0" w:color="auto"/>
      </w:divBdr>
    </w:div>
    <w:div w:id="2046983155">
      <w:bodyDiv w:val="1"/>
      <w:marLeft w:val="0"/>
      <w:marRight w:val="0"/>
      <w:marTop w:val="0"/>
      <w:marBottom w:val="0"/>
      <w:divBdr>
        <w:top w:val="none" w:sz="0" w:space="0" w:color="auto"/>
        <w:left w:val="none" w:sz="0" w:space="0" w:color="auto"/>
        <w:bottom w:val="none" w:sz="0" w:space="0" w:color="auto"/>
        <w:right w:val="none" w:sz="0" w:space="0" w:color="auto"/>
      </w:divBdr>
    </w:div>
    <w:div w:id="2076589993">
      <w:bodyDiv w:val="1"/>
      <w:marLeft w:val="0"/>
      <w:marRight w:val="0"/>
      <w:marTop w:val="0"/>
      <w:marBottom w:val="0"/>
      <w:divBdr>
        <w:top w:val="none" w:sz="0" w:space="0" w:color="auto"/>
        <w:left w:val="none" w:sz="0" w:space="0" w:color="auto"/>
        <w:bottom w:val="none" w:sz="0" w:space="0" w:color="auto"/>
        <w:right w:val="none" w:sz="0" w:space="0" w:color="auto"/>
      </w:divBdr>
    </w:div>
    <w:div w:id="213189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42</TotalTime>
  <Pages>5</Pages>
  <Words>1219</Words>
  <Characters>6550</Characters>
  <Application>Microsoft Office Word</Application>
  <DocSecurity>0</DocSecurity>
  <Lines>114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ANDRIKAKIS Nikolaos (SG)</cp:lastModifiedBy>
  <cp:revision>138</cp:revision>
  <cp:lastPrinted>2023-05-03T14:20:00Z</cp:lastPrinted>
  <dcterms:created xsi:type="dcterms:W3CDTF">2023-05-04T10:34:00Z</dcterms:created>
  <dcterms:modified xsi:type="dcterms:W3CDTF">2023-10-09T08:52:00Z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2023-05-01T14:22:26Z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0fa38c7f-1f08-4178-ae9d-d44ae40ebe3f</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SG-057</vt:lpwstr>
  </property>
  <property fmtid="{D5CDD505-2E9C-101B-9397-08002B2CF9AE}" pid="17" name="DQCStatus">
    <vt:lpwstr>Yellow (DQC version 03)</vt:lpwstr>
  </property>
</Properties>
</file>